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1-12744</w:t>
      </w:r>
    </w:p>
    <w:p>
      <w:pPr>
        <w:spacing w:after="0" w:line="9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540" w:type="dxa"/>
            <w:vAlign w:val="bottom"/>
          </w:tcPr>
          <w:p>
            <w:pPr>
              <w:jc w:val="center"/>
              <w:ind w:right="790"/>
              <w:spacing w:after="0"/>
              <w:rPr>
                <w:sz w:val="20"/>
                <w:szCs w:val="20"/>
                <w:color w:val="auto"/>
              </w:rPr>
            </w:pPr>
            <w:r>
              <w:rPr>
                <w:rFonts w:ascii="Arial" w:cs="Arial" w:eastAsia="Arial" w:hAnsi="Arial"/>
                <w:sz w:val="18"/>
                <w:szCs w:val="18"/>
                <w:b w:val="1"/>
                <w:bCs w:val="1"/>
                <w:color w:val="auto"/>
                <w:w w:val="94"/>
              </w:rPr>
              <w:t>North Carolina</w:t>
            </w:r>
          </w:p>
        </w:tc>
        <w:tc>
          <w:tcPr>
            <w:tcW w:w="4060" w:type="dxa"/>
            <w:vAlign w:val="bottom"/>
          </w:tcPr>
          <w:p>
            <w:pPr>
              <w:jc w:val="right"/>
              <w:ind w:right="1050"/>
              <w:spacing w:after="0"/>
              <w:rPr>
                <w:sz w:val="20"/>
                <w:szCs w:val="20"/>
                <w:color w:val="auto"/>
              </w:rPr>
            </w:pPr>
            <w:r>
              <w:rPr>
                <w:rFonts w:ascii="Arial" w:cs="Arial" w:eastAsia="Arial" w:hAnsi="Arial"/>
                <w:sz w:val="18"/>
                <w:szCs w:val="18"/>
                <w:b w:val="1"/>
                <w:bCs w:val="1"/>
                <w:color w:val="auto"/>
              </w:rPr>
              <w:t>56-1848578</w:t>
            </w:r>
          </w:p>
        </w:tc>
      </w:tr>
      <w:tr>
        <w:trPr>
          <w:trHeight w:val="234"/>
        </w:trPr>
        <w:tc>
          <w:tcPr>
            <w:tcW w:w="5540" w:type="dxa"/>
            <w:vAlign w:val="bottom"/>
          </w:tcPr>
          <w:p>
            <w:pPr>
              <w:jc w:val="center"/>
              <w:ind w:right="81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4060" w:type="dxa"/>
            <w:vAlign w:val="bottom"/>
          </w:tcPr>
          <w:p>
            <w:pPr>
              <w:jc w:val="center"/>
              <w:ind w:left="830"/>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346"/>
        </w:trPr>
        <w:tc>
          <w:tcPr>
            <w:tcW w:w="554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4123 Parklake Avenue, Raleigh, NC</w:t>
            </w:r>
          </w:p>
        </w:tc>
        <w:tc>
          <w:tcPr>
            <w:tcW w:w="4060" w:type="dxa"/>
            <w:vAlign w:val="bottom"/>
          </w:tcPr>
          <w:p>
            <w:pPr>
              <w:jc w:val="right"/>
              <w:ind w:right="1250"/>
              <w:spacing w:after="0"/>
              <w:rPr>
                <w:sz w:val="20"/>
                <w:szCs w:val="20"/>
                <w:color w:val="auto"/>
              </w:rPr>
            </w:pPr>
            <w:r>
              <w:rPr>
                <w:rFonts w:ascii="Arial" w:cs="Arial" w:eastAsia="Arial" w:hAnsi="Arial"/>
                <w:sz w:val="18"/>
                <w:szCs w:val="18"/>
                <w:b w:val="1"/>
                <w:bCs w:val="1"/>
                <w:color w:val="auto"/>
              </w:rPr>
              <w:t>27612</w:t>
            </w:r>
          </w:p>
        </w:tc>
      </w:tr>
      <w:tr>
        <w:trPr>
          <w:trHeight w:val="234"/>
        </w:trPr>
        <w:tc>
          <w:tcPr>
            <w:tcW w:w="5540" w:type="dxa"/>
            <w:vAlign w:val="bottom"/>
          </w:tcPr>
          <w:p>
            <w:pPr>
              <w:jc w:val="center"/>
              <w:ind w:right="8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060" w:type="dxa"/>
            <w:vAlign w:val="bottom"/>
          </w:tcPr>
          <w:p>
            <w:pPr>
              <w:jc w:val="center"/>
              <w:ind w:left="810"/>
              <w:spacing w:after="0"/>
              <w:rPr>
                <w:sz w:val="20"/>
                <w:szCs w:val="20"/>
                <w:color w:val="auto"/>
              </w:rPr>
            </w:pPr>
            <w:r>
              <w:rPr>
                <w:rFonts w:ascii="Arial" w:cs="Arial" w:eastAsia="Arial" w:hAnsi="Arial"/>
                <w:sz w:val="18"/>
                <w:szCs w:val="18"/>
                <w:b w:val="1"/>
                <w:bCs w:val="1"/>
                <w:color w:val="auto"/>
                <w:w w:val="94"/>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919-781-4550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changes since last report)</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69"/>
        </w:trPr>
        <w:tc>
          <w:tcPr>
            <w:tcW w:w="1200" w:type="dxa"/>
            <w:vAlign w:val="bottom"/>
            <w:tcBorders>
              <w:top w:val="single" w:sz="8" w:color="auto"/>
              <w:left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80" w:type="dxa"/>
            <w:vAlign w:val="bottom"/>
            <w:tcBorders>
              <w:top w:val="single" w:sz="8" w:color="auto"/>
              <w:bottom w:val="single" w:sz="8" w:color="auto"/>
            </w:tcBorders>
            <w:gridSpan w:val="3"/>
          </w:tcPr>
          <w:p>
            <w:pPr>
              <w:jc w:val="center"/>
              <w:ind w:right="40"/>
              <w:spacing w:after="0" w:line="169" w:lineRule="exact"/>
              <w:rPr>
                <w:sz w:val="20"/>
                <w:szCs w:val="20"/>
                <w:color w:val="auto"/>
              </w:rPr>
            </w:pPr>
            <w:r>
              <w:rPr>
                <w:rFonts w:ascii="Arial" w:cs="Arial" w:eastAsia="Arial" w:hAnsi="Arial"/>
                <w:sz w:val="18"/>
                <w:szCs w:val="18"/>
                <w:b w:val="1"/>
                <w:bCs w:val="1"/>
                <w:color w:val="auto"/>
                <w:w w:val="87"/>
              </w:rPr>
              <w:t>Name of each exchange on</w:t>
            </w:r>
          </w:p>
        </w:tc>
        <w:tc>
          <w:tcPr>
            <w:tcW w:w="780" w:type="dxa"/>
            <w:vAlign w:val="bottom"/>
            <w:tcBorders>
              <w:top w:val="single" w:sz="8" w:color="auto"/>
              <w:right w:val="single" w:sz="8" w:color="auto"/>
            </w:tcBorders>
          </w:tcPr>
          <w:p>
            <w:pPr>
              <w:spacing w:after="0"/>
              <w:rPr>
                <w:sz w:val="14"/>
                <w:szCs w:val="14"/>
                <w:color w:val="auto"/>
              </w:rPr>
            </w:pPr>
          </w:p>
        </w:tc>
      </w:tr>
      <w:tr>
        <w:trPr>
          <w:trHeight w:val="196"/>
        </w:trPr>
        <w:tc>
          <w:tcPr>
            <w:tcW w:w="384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89"/>
              </w:rPr>
              <w:t>Title of Each Class</w:t>
            </w:r>
          </w:p>
        </w:tc>
        <w:tc>
          <w:tcPr>
            <w:tcW w:w="1160" w:type="dxa"/>
            <w:vAlign w:val="bottom"/>
          </w:tcPr>
          <w:p>
            <w:pPr>
              <w:spacing w:after="0"/>
              <w:rPr>
                <w:sz w:val="17"/>
                <w:szCs w:val="17"/>
                <w:color w:val="auto"/>
              </w:rPr>
            </w:pPr>
          </w:p>
        </w:tc>
        <w:tc>
          <w:tcPr>
            <w:tcW w:w="2640" w:type="dxa"/>
            <w:vAlign w:val="bottom"/>
            <w:tcBorders>
              <w:right w:val="single" w:sz="8" w:color="auto"/>
            </w:tcBorders>
            <w:gridSpan w:val="2"/>
          </w:tcPr>
          <w:p>
            <w:pPr>
              <w:jc w:val="center"/>
              <w:ind w:right="1200"/>
              <w:spacing w:after="0" w:line="196" w:lineRule="exact"/>
              <w:rPr>
                <w:sz w:val="20"/>
                <w:szCs w:val="20"/>
                <w:color w:val="auto"/>
              </w:rPr>
            </w:pPr>
            <w:r>
              <w:rPr>
                <w:rFonts w:ascii="Arial" w:cs="Arial" w:eastAsia="Arial" w:hAnsi="Arial"/>
                <w:sz w:val="18"/>
                <w:szCs w:val="18"/>
                <w:b w:val="1"/>
                <w:bCs w:val="1"/>
                <w:color w:val="auto"/>
                <w:w w:val="91"/>
              </w:rPr>
              <w:t>Trading Symbol(s)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40" w:type="dxa"/>
            <w:vAlign w:val="bottom"/>
            <w:tcBorders>
              <w:right w:val="single" w:sz="8" w:color="auto"/>
            </w:tcBorders>
            <w:gridSpan w:val="3"/>
          </w:tcPr>
          <w:p>
            <w:pPr>
              <w:jc w:val="center"/>
              <w:ind w:right="1180"/>
              <w:spacing w:after="0" w:line="196" w:lineRule="exact"/>
              <w:rPr>
                <w:sz w:val="20"/>
                <w:szCs w:val="20"/>
                <w:color w:val="auto"/>
              </w:rPr>
            </w:pPr>
            <w:r>
              <w:rPr>
                <w:rFonts w:ascii="Arial" w:cs="Arial" w:eastAsia="Arial" w:hAnsi="Arial"/>
                <w:sz w:val="18"/>
                <w:szCs w:val="18"/>
                <w:b w:val="1"/>
                <w:bCs w:val="1"/>
                <w:color w:val="auto"/>
                <w:w w:val="88"/>
              </w:rPr>
              <w:t>which registered</w:t>
            </w:r>
          </w:p>
        </w:tc>
      </w:tr>
      <w:tr>
        <w:trPr>
          <w:trHeight w:val="21"/>
        </w:trPr>
        <w:tc>
          <w:tcPr>
            <w:tcW w:w="1200" w:type="dxa"/>
            <w:vAlign w:val="bottom"/>
            <w:tcBorders>
              <w:left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Common Stock (Par Value $0.01)</w:t>
            </w:r>
          </w:p>
        </w:tc>
        <w:tc>
          <w:tcPr>
            <w:tcW w:w="1160" w:type="dxa"/>
            <w:vAlign w:val="bottom"/>
            <w:tcBorders>
              <w:bottom w:val="single" w:sz="8" w:color="auto"/>
            </w:tcBorders>
          </w:tcPr>
          <w:p>
            <w:pPr>
              <w:spacing w:after="0"/>
              <w:rPr>
                <w:sz w:val="18"/>
                <w:szCs w:val="18"/>
                <w:color w:val="auto"/>
              </w:rPr>
            </w:pPr>
          </w:p>
        </w:tc>
        <w:tc>
          <w:tcPr>
            <w:tcW w:w="2640" w:type="dxa"/>
            <w:vAlign w:val="bottom"/>
            <w:tcBorders>
              <w:bottom w:val="single" w:sz="8" w:color="auto"/>
              <w:right w:val="single" w:sz="8" w:color="auto"/>
            </w:tcBorders>
            <w:gridSpan w:val="2"/>
          </w:tcPr>
          <w:p>
            <w:pPr>
              <w:jc w:val="center"/>
              <w:ind w:right="1180"/>
              <w:spacing w:after="0"/>
              <w:rPr>
                <w:sz w:val="20"/>
                <w:szCs w:val="20"/>
                <w:color w:val="auto"/>
              </w:rPr>
            </w:pPr>
            <w:r>
              <w:rPr>
                <w:rFonts w:ascii="Arial" w:cs="Arial" w:eastAsia="Arial" w:hAnsi="Arial"/>
                <w:sz w:val="18"/>
                <w:szCs w:val="18"/>
                <w:color w:val="auto"/>
              </w:rPr>
              <w:t>MLM</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gridSpan w:val="3"/>
          </w:tcPr>
          <w:p>
            <w:pPr>
              <w:jc w:val="center"/>
              <w:ind w:right="1200"/>
              <w:spacing w:after="0"/>
              <w:rPr>
                <w:sz w:val="20"/>
                <w:szCs w:val="20"/>
                <w:color w:val="auto"/>
              </w:rPr>
            </w:pPr>
            <w:r>
              <w:rPr>
                <w:rFonts w:ascii="Arial" w:cs="Arial" w:eastAsia="Arial" w:hAnsi="Arial"/>
                <w:sz w:val="18"/>
                <w:szCs w:val="18"/>
                <w:color w:val="auto"/>
                <w:w w:val="97"/>
              </w:rPr>
              <w:t>NYSE</w:t>
            </w:r>
          </w:p>
        </w:tc>
      </w:tr>
    </w:tbl>
    <w:p>
      <w:pPr>
        <w:spacing w:after="0" w:line="9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jc w:val="both"/>
        <w:spacing w:after="0" w:line="27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96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74"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ind w:left="50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620" w:type="dxa"/>
            <w:vAlign w:val="bottom"/>
            <w:gridSpan w:val="2"/>
          </w:tcPr>
          <w:p>
            <w:pPr>
              <w:jc w:val="right"/>
              <w:ind w:right="493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30"/>
        </w:trPr>
        <w:tc>
          <w:tcPr>
            <w:tcW w:w="11240" w:type="dxa"/>
            <w:vAlign w:val="bottom"/>
            <w:gridSpan w:val="4"/>
          </w:tcPr>
          <w:p>
            <w:pPr>
              <w:jc w:val="right"/>
              <w:ind w:right="2250"/>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r>
      <w:tr>
        <w:trPr>
          <w:trHeight w:val="351"/>
        </w:trPr>
        <w:tc>
          <w:tcPr>
            <w:tcW w:w="5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Class</w:t>
            </w:r>
          </w:p>
        </w:tc>
        <w:tc>
          <w:tcPr>
            <w:tcW w:w="120" w:type="dxa"/>
            <w:vAlign w:val="bottom"/>
          </w:tcPr>
          <w:p>
            <w:pPr>
              <w:spacing w:after="0"/>
              <w:rPr>
                <w:sz w:val="24"/>
                <w:szCs w:val="24"/>
                <w:color w:val="auto"/>
              </w:rPr>
            </w:pPr>
          </w:p>
        </w:tc>
        <w:tc>
          <w:tcPr>
            <w:tcW w:w="5500" w:type="dxa"/>
            <w:vAlign w:val="bottom"/>
          </w:tcPr>
          <w:p>
            <w:pPr>
              <w:jc w:val="right"/>
              <w:ind w:right="1450"/>
              <w:spacing w:after="0"/>
              <w:rPr>
                <w:sz w:val="20"/>
                <w:szCs w:val="20"/>
                <w:color w:val="auto"/>
              </w:rPr>
            </w:pPr>
            <w:r>
              <w:rPr>
                <w:rFonts w:ascii="Arial" w:cs="Arial" w:eastAsia="Arial" w:hAnsi="Arial"/>
                <w:sz w:val="18"/>
                <w:szCs w:val="18"/>
                <w:b w:val="1"/>
                <w:bCs w:val="1"/>
                <w:color w:val="auto"/>
              </w:rPr>
              <w:t>Outstanding as of July 23, 2021</w:t>
            </w:r>
          </w:p>
        </w:tc>
      </w:tr>
      <w:tr>
        <w:trPr>
          <w:trHeight w:val="22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0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62,377,334</w:t>
            </w:r>
          </w:p>
        </w:tc>
      </w:tr>
      <w:tr>
        <w:trPr>
          <w:trHeight w:val="161"/>
        </w:trPr>
        <w:tc>
          <w:tcPr>
            <w:tcW w:w="5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797"/>
        </w:trPr>
        <w:tc>
          <w:tcPr>
            <w:tcW w:w="5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680" w:type="dxa"/>
            <w:vAlign w:val="bottom"/>
            <w:gridSpan w:val="17"/>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Page</w:t>
            </w:r>
          </w:p>
        </w:tc>
        <w:tc>
          <w:tcPr>
            <w:tcW w:w="0" w:type="dxa"/>
            <w:vAlign w:val="bottom"/>
          </w:tcPr>
          <w:p>
            <w:pPr>
              <w:spacing w:after="0"/>
              <w:rPr>
                <w:sz w:val="1"/>
                <w:szCs w:val="1"/>
                <w:color w:val="auto"/>
              </w:rPr>
            </w:pPr>
          </w:p>
        </w:tc>
      </w:tr>
      <w:tr>
        <w:trPr>
          <w:trHeight w:val="227"/>
        </w:trPr>
        <w:tc>
          <w:tcPr>
            <w:tcW w:w="10680" w:type="dxa"/>
            <w:vAlign w:val="bottom"/>
            <w:gridSpan w:val="17"/>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220" w:type="dxa"/>
            <w:vAlign w:val="bottom"/>
          </w:tcPr>
          <w:p>
            <w:pPr>
              <w:spacing w:after="0"/>
              <w:rPr>
                <w:sz w:val="24"/>
                <w:szCs w:val="24"/>
                <w:color w:val="auto"/>
              </w:rPr>
            </w:pPr>
          </w:p>
        </w:tc>
        <w:tc>
          <w:tcPr>
            <w:tcW w:w="10460" w:type="dxa"/>
            <w:vAlign w:val="bottom"/>
            <w:gridSpan w:val="16"/>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Item 1. 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40" w:type="dxa"/>
            <w:vAlign w:val="bottom"/>
            <w:gridSpan w:val="15"/>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Consolidated Balance Sheets – June 30, 2021 and December 31, 202</w:t>
              </w:r>
              <w:r>
                <w:rPr>
                  <w:rFonts w:ascii="Arial" w:cs="Arial" w:eastAsia="Arial" w:hAnsi="Arial"/>
                  <w:sz w:val="17"/>
                  <w:szCs w:val="17"/>
                  <w:color w:val="0000EE"/>
                </w:rPr>
                <w:t>0</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0" w:type="dxa"/>
            <w:vAlign w:val="bottom"/>
            <w:tcBorders>
              <w:bottom w:val="single" w:sz="8" w:color="0000EE"/>
            </w:tcBorders>
            <w:gridSpan w:val="14"/>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 xml:space="preserve">Consolidated Statements of Earnings and Comprehensive Earnings – Three and Six Months Ended </w:t>
              </w:r>
              <w:r>
                <w:rPr>
                  <w:rFonts w:ascii="Arial" w:cs="Arial" w:eastAsia="Arial" w:hAnsi="Arial"/>
                  <w:sz w:val="21"/>
                  <w:szCs w:val="21"/>
                  <w:color w:val="0000EE"/>
                  <w:w w:val="88"/>
                </w:rPr>
                <w:t>June</w:t>
              </w:r>
              <w:r>
                <w:rPr>
                  <w:rFonts w:ascii="Arial" w:cs="Arial" w:eastAsia="Arial" w:hAnsi="Arial"/>
                  <w:sz w:val="20"/>
                  <w:szCs w:val="20"/>
                  <w:color w:val="0000EE"/>
                  <w:w w:val="88"/>
                </w:rPr>
                <w:t xml:space="preserve"> 30, 2021 and 2020</w:t>
              </w:r>
            </w:hyperlink>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60" w:type="dxa"/>
            <w:vAlign w:val="bottom"/>
            <w:tcBorders>
              <w:bottom w:val="single" w:sz="8" w:color="0000EE"/>
            </w:tcBorders>
            <w:gridSpan w:val="11"/>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Consolidated Statements of Cash Flows – Six Months Ended June 30, 2021 and 2020</w:t>
              </w:r>
            </w:hyperlink>
          </w:p>
        </w:tc>
        <w:tc>
          <w:tcPr>
            <w:tcW w:w="34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40" w:type="dxa"/>
            <w:vAlign w:val="bottom"/>
            <w:gridSpan w:val="15"/>
          </w:tcPr>
          <w:p>
            <w:pPr>
              <w:spacing w:after="0"/>
              <w:rPr>
                <w:rFonts w:ascii="Arial" w:cs="Arial" w:eastAsia="Arial" w:hAnsi="Arial"/>
                <w:sz w:val="20"/>
                <w:szCs w:val="20"/>
                <w:color w:val="0000EE"/>
              </w:rPr>
            </w:pPr>
            <w:hyperlink w:anchor="page6">
              <w:r>
                <w:rPr>
                  <w:rFonts w:ascii="Arial" w:cs="Arial" w:eastAsia="Arial" w:hAnsi="Arial"/>
                  <w:sz w:val="20"/>
                  <w:szCs w:val="20"/>
                  <w:color w:val="0000EE"/>
                </w:rPr>
                <w:t>Consolidated Statement of Total Equity – Three and Six Months Ended June 30, 2021 and 2020</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80" w:type="dxa"/>
            <w:vAlign w:val="bottom"/>
            <w:tcBorders>
              <w:top w:val="single" w:sz="8" w:color="0000EE"/>
            </w:tcBorders>
            <w:gridSpan w:val="13"/>
          </w:tcPr>
          <w:p>
            <w:pPr>
              <w:spacing w:after="0"/>
              <w:rPr>
                <w:rFonts w:ascii="Arial" w:cs="Arial" w:eastAsia="Arial" w:hAnsi="Arial"/>
                <w:sz w:val="20"/>
                <w:szCs w:val="20"/>
                <w:color w:val="0000EE"/>
              </w:rPr>
            </w:pPr>
            <w:hyperlink w:anchor="page8">
              <w:r>
                <w:rPr>
                  <w:rFonts w:ascii="Arial" w:cs="Arial" w:eastAsia="Arial" w:hAnsi="Arial"/>
                  <w:sz w:val="20"/>
                  <w:szCs w:val="20"/>
                  <w:color w:val="0000EE"/>
                </w:rPr>
                <w:t>Notes to Consolidated Financial Statements</w:t>
              </w:r>
            </w:hyperlink>
          </w:p>
        </w:tc>
        <w:tc>
          <w:tcPr>
            <w:tcW w:w="26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7720" w:type="dxa"/>
            <w:vAlign w:val="bottom"/>
            <w:tcBorders>
              <w:bottom w:val="single" w:sz="8" w:color="0000EE"/>
            </w:tcBorders>
            <w:gridSpan w:val="13"/>
          </w:tcPr>
          <w:p>
            <w:pPr>
              <w:spacing w:after="0"/>
              <w:rPr>
                <w:rFonts w:ascii="Arial" w:cs="Arial" w:eastAsia="Arial" w:hAnsi="Arial"/>
                <w:sz w:val="20"/>
                <w:szCs w:val="20"/>
                <w:color w:val="0000EE"/>
                <w:w w:val="90"/>
              </w:rPr>
            </w:pPr>
            <w:hyperlink w:anchor="page28">
              <w:r>
                <w:rPr>
                  <w:rFonts w:ascii="Arial" w:cs="Arial" w:eastAsia="Arial" w:hAnsi="Arial"/>
                  <w:sz w:val="20"/>
                  <w:szCs w:val="20"/>
                  <w:color w:val="0000EE"/>
                  <w:w w:val="90"/>
                </w:rPr>
                <w:t>Item 2. Management’s Discussion and Analysis of Financial Condition and Results of Operations</w:t>
              </w:r>
            </w:hyperlink>
          </w:p>
        </w:tc>
        <w:tc>
          <w:tcPr>
            <w:tcW w:w="274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5420" w:type="dxa"/>
            <w:vAlign w:val="bottom"/>
            <w:tcBorders>
              <w:bottom w:val="single" w:sz="8" w:color="0000EE"/>
            </w:tcBorders>
            <w:gridSpan w:val="10"/>
          </w:tcPr>
          <w:p>
            <w:pPr>
              <w:spacing w:after="0"/>
              <w:rPr>
                <w:rFonts w:ascii="Arial" w:cs="Arial" w:eastAsia="Arial" w:hAnsi="Arial"/>
                <w:sz w:val="20"/>
                <w:szCs w:val="20"/>
                <w:color w:val="0000EE"/>
                <w:w w:val="91"/>
              </w:rPr>
            </w:pPr>
            <w:hyperlink w:anchor="page48">
              <w:r>
                <w:rPr>
                  <w:rFonts w:ascii="Arial" w:cs="Arial" w:eastAsia="Arial" w:hAnsi="Arial"/>
                  <w:sz w:val="20"/>
                  <w:szCs w:val="20"/>
                  <w:color w:val="0000EE"/>
                  <w:w w:val="91"/>
                </w:rPr>
                <w:t>Item 3. Quantitative and Qualitative Disclosures About Market Risk</w:t>
              </w:r>
            </w:hyperlink>
          </w:p>
        </w:tc>
        <w:tc>
          <w:tcPr>
            <w:tcW w:w="504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560" w:type="dxa"/>
            <w:vAlign w:val="bottom"/>
            <w:tcBorders>
              <w:bottom w:val="single" w:sz="8" w:color="0000EE"/>
            </w:tcBorders>
            <w:gridSpan w:val="7"/>
          </w:tcPr>
          <w:p>
            <w:pPr>
              <w:spacing w:after="0"/>
              <w:rPr>
                <w:rFonts w:ascii="Arial" w:cs="Arial" w:eastAsia="Arial" w:hAnsi="Arial"/>
                <w:sz w:val="20"/>
                <w:szCs w:val="20"/>
                <w:color w:val="0000EE"/>
                <w:w w:val="88"/>
              </w:rPr>
            </w:pPr>
            <w:hyperlink w:anchor="page49">
              <w:r>
                <w:rPr>
                  <w:rFonts w:ascii="Arial" w:cs="Arial" w:eastAsia="Arial" w:hAnsi="Arial"/>
                  <w:sz w:val="20"/>
                  <w:szCs w:val="20"/>
                  <w:color w:val="0000EE"/>
                  <w:w w:val="88"/>
                </w:rPr>
                <w:t>Item 4. Controls and Procedures</w:t>
              </w:r>
            </w:hyperlink>
          </w:p>
        </w:tc>
        <w:tc>
          <w:tcPr>
            <w:tcW w:w="790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376"/>
        </w:trPr>
        <w:tc>
          <w:tcPr>
            <w:tcW w:w="10680" w:type="dxa"/>
            <w:vAlign w:val="bottom"/>
            <w:gridSpan w:val="17"/>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20"/>
                <w:szCs w:val="20"/>
                <w:color w:val="0000EE"/>
                <w:w w:val="94"/>
              </w:rPr>
            </w:pPr>
            <w:hyperlink w:anchor="page50">
              <w:r>
                <w:rPr>
                  <w:rFonts w:ascii="Arial" w:cs="Arial" w:eastAsia="Arial" w:hAnsi="Arial"/>
                  <w:sz w:val="20"/>
                  <w:szCs w:val="20"/>
                  <w:color w:val="0000EE"/>
                  <w:w w:val="94"/>
                </w:rPr>
                <w:t>Item 1.</w:t>
              </w:r>
            </w:hyperlink>
          </w:p>
        </w:tc>
        <w:tc>
          <w:tcPr>
            <w:tcW w:w="9840" w:type="dxa"/>
            <w:vAlign w:val="bottom"/>
            <w:gridSpan w:val="14"/>
          </w:tcPr>
          <w:p>
            <w:pPr>
              <w:spacing w:after="0"/>
              <w:rPr>
                <w:rFonts w:ascii="Arial" w:cs="Arial" w:eastAsia="Arial" w:hAnsi="Arial"/>
                <w:sz w:val="20"/>
                <w:szCs w:val="20"/>
                <w:color w:val="0000EE"/>
              </w:rPr>
            </w:pPr>
            <w:hyperlink w:anchor="page50">
              <w:r>
                <w:rPr>
                  <w:rFonts w:ascii="Arial" w:cs="Arial" w:eastAsia="Arial" w:hAnsi="Arial"/>
                  <w:sz w:val="20"/>
                  <w:szCs w:val="20"/>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4"/>
          </w:tcPr>
          <w:p>
            <w:pPr>
              <w:spacing w:after="0"/>
              <w:rPr>
                <w:rFonts w:ascii="Arial" w:cs="Arial" w:eastAsia="Arial" w:hAnsi="Arial"/>
                <w:sz w:val="20"/>
                <w:szCs w:val="20"/>
                <w:color w:val="0000EE"/>
                <w:w w:val="90"/>
              </w:rPr>
            </w:pPr>
            <w:hyperlink w:anchor="page50">
              <w:r>
                <w:rPr>
                  <w:rFonts w:ascii="Arial" w:cs="Arial" w:eastAsia="Arial" w:hAnsi="Arial"/>
                  <w:sz w:val="20"/>
                  <w:szCs w:val="20"/>
                  <w:color w:val="0000EE"/>
                  <w:w w:val="90"/>
                </w:rPr>
                <w:t>Item 1A. Risk Factors</w:t>
              </w:r>
            </w:hyperlink>
          </w:p>
        </w:tc>
        <w:tc>
          <w:tcPr>
            <w:tcW w:w="320" w:type="dxa"/>
            <w:vAlign w:val="bottom"/>
            <w:tcBorders>
              <w:top w:val="single" w:sz="8" w:color="0000EE"/>
            </w:tcBorders>
          </w:tcPr>
          <w:p>
            <w:pPr>
              <w:spacing w:after="0"/>
              <w:rPr>
                <w:sz w:val="24"/>
                <w:szCs w:val="24"/>
                <w:color w:val="auto"/>
              </w:rPr>
            </w:pPr>
          </w:p>
        </w:tc>
        <w:tc>
          <w:tcPr>
            <w:tcW w:w="838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20"/>
                <w:szCs w:val="20"/>
                <w:color w:val="0000EE"/>
                <w:w w:val="94"/>
              </w:rPr>
            </w:pPr>
            <w:hyperlink w:anchor="page50">
              <w:r>
                <w:rPr>
                  <w:rFonts w:ascii="Arial" w:cs="Arial" w:eastAsia="Arial" w:hAnsi="Arial"/>
                  <w:sz w:val="20"/>
                  <w:szCs w:val="20"/>
                  <w:color w:val="0000EE"/>
                  <w:w w:val="94"/>
                </w:rPr>
                <w:t>Item 2.</w:t>
              </w:r>
            </w:hyperlink>
          </w:p>
        </w:tc>
        <w:tc>
          <w:tcPr>
            <w:tcW w:w="4780" w:type="dxa"/>
            <w:vAlign w:val="bottom"/>
            <w:tcBorders>
              <w:bottom w:val="single" w:sz="8" w:color="0000EE"/>
            </w:tcBorders>
            <w:gridSpan w:val="7"/>
          </w:tcPr>
          <w:p>
            <w:pPr>
              <w:spacing w:after="0"/>
              <w:rPr>
                <w:rFonts w:ascii="Arial" w:cs="Arial" w:eastAsia="Arial" w:hAnsi="Arial"/>
                <w:sz w:val="20"/>
                <w:szCs w:val="20"/>
                <w:color w:val="0000EE"/>
                <w:w w:val="88"/>
              </w:rPr>
            </w:pPr>
            <w:hyperlink w:anchor="page50">
              <w:r>
                <w:rPr>
                  <w:rFonts w:ascii="Arial" w:cs="Arial" w:eastAsia="Arial" w:hAnsi="Arial"/>
                  <w:sz w:val="20"/>
                  <w:szCs w:val="20"/>
                  <w:color w:val="0000EE"/>
                  <w:w w:val="88"/>
                </w:rPr>
                <w:t>Unregistered Sales of Equity Securities and Use of Proceeds</w:t>
              </w:r>
            </w:hyperlink>
          </w:p>
        </w:tc>
        <w:tc>
          <w:tcPr>
            <w:tcW w:w="506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20"/>
                <w:szCs w:val="20"/>
                <w:color w:val="0000EE"/>
                <w:w w:val="94"/>
              </w:rPr>
            </w:pPr>
            <w:hyperlink w:anchor="page50">
              <w:r>
                <w:rPr>
                  <w:rFonts w:ascii="Arial" w:cs="Arial" w:eastAsia="Arial" w:hAnsi="Arial"/>
                  <w:sz w:val="20"/>
                  <w:szCs w:val="20"/>
                  <w:color w:val="0000EE"/>
                  <w:w w:val="94"/>
                </w:rPr>
                <w:t>Item 4.</w:t>
              </w:r>
            </w:hyperlink>
          </w:p>
        </w:tc>
        <w:tc>
          <w:tcPr>
            <w:tcW w:w="1940" w:type="dxa"/>
            <w:vAlign w:val="bottom"/>
            <w:tcBorders>
              <w:bottom w:val="single" w:sz="8" w:color="0000EE"/>
            </w:tcBorders>
            <w:gridSpan w:val="5"/>
          </w:tcPr>
          <w:p>
            <w:pPr>
              <w:spacing w:after="0"/>
              <w:rPr>
                <w:rFonts w:ascii="Arial" w:cs="Arial" w:eastAsia="Arial" w:hAnsi="Arial"/>
                <w:sz w:val="20"/>
                <w:szCs w:val="20"/>
                <w:color w:val="0000EE"/>
                <w:w w:val="89"/>
              </w:rPr>
            </w:pPr>
            <w:hyperlink w:anchor="page50">
              <w:r>
                <w:rPr>
                  <w:rFonts w:ascii="Arial" w:cs="Arial" w:eastAsia="Arial" w:hAnsi="Arial"/>
                  <w:sz w:val="20"/>
                  <w:szCs w:val="20"/>
                  <w:color w:val="0000EE"/>
                  <w:w w:val="89"/>
                </w:rPr>
                <w:t>Mine Safety Disclosures</w:t>
              </w:r>
            </w:hyperlink>
          </w:p>
        </w:tc>
        <w:tc>
          <w:tcPr>
            <w:tcW w:w="790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20"/>
                <w:szCs w:val="20"/>
                <w:color w:val="0000EE"/>
                <w:w w:val="94"/>
              </w:rPr>
            </w:pPr>
            <w:hyperlink w:anchor="page51">
              <w:r>
                <w:rPr>
                  <w:rFonts w:ascii="Arial" w:cs="Arial" w:eastAsia="Arial" w:hAnsi="Arial"/>
                  <w:sz w:val="20"/>
                  <w:szCs w:val="20"/>
                  <w:color w:val="0000EE"/>
                  <w:w w:val="94"/>
                </w:rPr>
                <w:t>Item 6.</w:t>
              </w:r>
            </w:hyperlink>
          </w:p>
        </w:tc>
        <w:tc>
          <w:tcPr>
            <w:tcW w:w="660" w:type="dxa"/>
            <w:vAlign w:val="bottom"/>
            <w:tcBorders>
              <w:bottom w:val="single" w:sz="8" w:color="0000EE"/>
            </w:tcBorders>
          </w:tcPr>
          <w:p>
            <w:pPr>
              <w:spacing w:after="0"/>
              <w:rPr>
                <w:rFonts w:ascii="Arial" w:cs="Arial" w:eastAsia="Arial" w:hAnsi="Arial"/>
                <w:sz w:val="20"/>
                <w:szCs w:val="20"/>
                <w:color w:val="0000EE"/>
                <w:w w:val="91"/>
              </w:rPr>
            </w:pPr>
            <w:hyperlink w:anchor="page51">
              <w:r>
                <w:rPr>
                  <w:rFonts w:ascii="Arial" w:cs="Arial" w:eastAsia="Arial" w:hAnsi="Arial"/>
                  <w:sz w:val="20"/>
                  <w:szCs w:val="20"/>
                  <w:color w:val="0000EE"/>
                  <w:w w:val="91"/>
                </w:rPr>
                <w:t>Exhibits</w:t>
              </w:r>
            </w:hyperlink>
          </w:p>
        </w:tc>
        <w:tc>
          <w:tcPr>
            <w:tcW w:w="918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331"/>
        </w:trPr>
        <w:tc>
          <w:tcPr>
            <w:tcW w:w="10680" w:type="dxa"/>
            <w:vAlign w:val="bottom"/>
            <w:gridSpan w:val="17"/>
          </w:tcPr>
          <w:p>
            <w:pPr>
              <w:spacing w:after="0"/>
              <w:rPr>
                <w:rFonts w:ascii="Arial" w:cs="Arial" w:eastAsia="Arial" w:hAnsi="Arial"/>
                <w:sz w:val="20"/>
                <w:szCs w:val="20"/>
                <w:color w:val="0000EE"/>
              </w:rPr>
            </w:pPr>
            <w:hyperlink w:anchor="page52">
              <w:r>
                <w:rPr>
                  <w:rFonts w:ascii="Arial" w:cs="Arial" w:eastAsia="Arial" w:hAnsi="Arial"/>
                  <w:sz w:val="20"/>
                  <w:szCs w:val="20"/>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June 30,</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7"/>
                <w:szCs w:val="17"/>
                <w:color w:val="auto"/>
              </w:rPr>
              <w:t>December 31,</w:t>
            </w:r>
          </w:p>
        </w:tc>
      </w:tr>
      <w:tr>
        <w:trPr>
          <w:trHeight w:val="218"/>
        </w:trPr>
        <w:tc>
          <w:tcPr>
            <w:tcW w:w="5420" w:type="dxa"/>
            <w:vAlign w:val="bottom"/>
          </w:tcPr>
          <w:p>
            <w:pPr>
              <w:spacing w:after="0"/>
              <w:rPr>
                <w:sz w:val="18"/>
                <w:szCs w:val="18"/>
                <w:color w:val="auto"/>
              </w:rPr>
            </w:pPr>
          </w:p>
        </w:tc>
        <w:tc>
          <w:tcPr>
            <w:tcW w:w="2620" w:type="dxa"/>
            <w:vAlign w:val="bottom"/>
            <w:gridSpan w:val="2"/>
          </w:tcPr>
          <w:p>
            <w:pPr>
              <w:jc w:val="right"/>
              <w:ind w:right="100"/>
              <w:spacing w:after="0"/>
              <w:rPr>
                <w:sz w:val="20"/>
                <w:szCs w:val="20"/>
                <w:color w:val="auto"/>
              </w:rPr>
            </w:pPr>
            <w:r>
              <w:rPr>
                <w:rFonts w:ascii="Arial" w:cs="Arial" w:eastAsia="Arial" w:hAnsi="Arial"/>
                <w:sz w:val="17"/>
                <w:szCs w:val="17"/>
                <w:color w:val="auto"/>
              </w:rPr>
              <w:t>2021</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ind w:right="795"/>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8"/>
                <w:szCs w:val="18"/>
                <w:color w:val="auto"/>
              </w:rPr>
            </w:pPr>
          </w:p>
        </w:tc>
      </w:tr>
      <w:tr>
        <w:trPr>
          <w:trHeight w:val="212"/>
        </w:trPr>
        <w:tc>
          <w:tcPr>
            <w:tcW w:w="5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80" w:type="dxa"/>
            <w:vAlign w:val="bottom"/>
            <w:tcBorders>
              <w:top w:val="single" w:sz="8" w:color="auto"/>
            </w:tcBorders>
            <w:gridSpan w:val="5"/>
          </w:tcPr>
          <w:p>
            <w:pPr>
              <w:jc w:val="right"/>
              <w:ind w:right="615"/>
              <w:spacing w:after="0"/>
              <w:rPr>
                <w:sz w:val="20"/>
                <w:szCs w:val="20"/>
                <w:color w:val="auto"/>
              </w:rPr>
            </w:pPr>
            <w:r>
              <w:rPr>
                <w:rFonts w:ascii="Arial" w:cs="Arial" w:eastAsia="Arial" w:hAnsi="Arial"/>
                <w:sz w:val="17"/>
                <w:szCs w:val="17"/>
                <w:i w:val="1"/>
                <w:iCs w:val="1"/>
                <w:color w:val="auto"/>
              </w:rPr>
              <w:t>(Dollars in Millions, Except Par Value Data)</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Current Assets:</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2620" w:type="dxa"/>
            <w:vAlign w:val="bottom"/>
            <w:gridSpan w:val="2"/>
            <w:shd w:val="clear" w:color="auto" w:fill="CFF0FC"/>
          </w:tcPr>
          <w:p>
            <w:pPr>
              <w:jc w:val="right"/>
              <w:ind w:right="12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53.1</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207.3</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Restricted cash</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97.1</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Accounts receivable, net</w:t>
            </w: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722.0</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575.1</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Inventories, net</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729.1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709.0</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Other current assets</w:t>
            </w:r>
          </w:p>
        </w:tc>
        <w:tc>
          <w:tcPr>
            <w:tcW w:w="124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94.9</w:t>
            </w:r>
          </w:p>
        </w:tc>
        <w:tc>
          <w:tcPr>
            <w:tcW w:w="3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79.8</w:t>
            </w:r>
          </w:p>
        </w:tc>
        <w:tc>
          <w:tcPr>
            <w:tcW w:w="100" w:type="dxa"/>
            <w:vAlign w:val="bottom"/>
            <w:shd w:val="clear" w:color="auto" w:fill="CFF0FC"/>
          </w:tcPr>
          <w:p>
            <w:pPr>
              <w:spacing w:after="0"/>
              <w:rPr>
                <w:sz w:val="18"/>
                <w:szCs w:val="18"/>
                <w:color w:val="auto"/>
              </w:rPr>
            </w:pPr>
          </w:p>
        </w:tc>
      </w:tr>
      <w:tr>
        <w:trPr>
          <w:trHeight w:val="209"/>
        </w:trPr>
        <w:tc>
          <w:tcPr>
            <w:tcW w:w="54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Current Assets</w:t>
            </w:r>
          </w:p>
        </w:tc>
        <w:tc>
          <w:tcPr>
            <w:tcW w:w="124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1,616.3</w:t>
            </w:r>
          </w:p>
        </w:tc>
        <w:tc>
          <w:tcPr>
            <w:tcW w:w="3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1,668.3</w:t>
            </w:r>
          </w:p>
        </w:tc>
        <w:tc>
          <w:tcPr>
            <w:tcW w:w="100" w:type="dxa"/>
            <w:vAlign w:val="bottom"/>
            <w:tcBorders>
              <w:bottom w:val="single" w:sz="8" w:color="CFF0FC"/>
            </w:tcBorders>
          </w:tcPr>
          <w:p>
            <w:pPr>
              <w:spacing w:after="0"/>
              <w:rPr>
                <w:sz w:val="18"/>
                <w:szCs w:val="18"/>
                <w:color w:val="auto"/>
              </w:rPr>
            </w:pPr>
          </w:p>
        </w:tc>
      </w:tr>
      <w:tr>
        <w:trPr>
          <w:trHeight w:val="210"/>
        </w:trPr>
        <w:tc>
          <w:tcPr>
            <w:tcW w:w="5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9,390.7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8,955.0</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Allowances for depreciation, depletion and amortization</w:t>
            </w: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(3,841.7)</w:t>
            </w:r>
          </w:p>
        </w:tc>
        <w:tc>
          <w:tcPr>
            <w:tcW w:w="3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(3,712.7)</w:t>
            </w:r>
          </w:p>
        </w:tc>
      </w:tr>
      <w:tr>
        <w:trPr>
          <w:trHeight w:val="209"/>
        </w:trPr>
        <w:tc>
          <w:tcPr>
            <w:tcW w:w="5420" w:type="dxa"/>
            <w:vAlign w:val="bottom"/>
          </w:tcPr>
          <w:p>
            <w:pPr>
              <w:spacing w:after="0"/>
              <w:rPr>
                <w:sz w:val="20"/>
                <w:szCs w:val="20"/>
                <w:color w:val="auto"/>
              </w:rPr>
            </w:pPr>
            <w:r>
              <w:rPr>
                <w:rFonts w:ascii="Arial" w:cs="Arial" w:eastAsia="Arial" w:hAnsi="Arial"/>
                <w:sz w:val="17"/>
                <w:szCs w:val="17"/>
                <w:color w:val="auto"/>
              </w:rPr>
              <w:t>Net property, plant and equipment</w:t>
            </w:r>
          </w:p>
        </w:tc>
        <w:tc>
          <w:tcPr>
            <w:tcW w:w="1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5,549.0</w:t>
            </w: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5,242.3</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2,599.6</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2,414.0</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Other intangibles, net</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725.0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508.0</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assets, net</w:t>
            </w: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434.3</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453.0</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noncurrent assets</w:t>
            </w:r>
          </w:p>
        </w:tc>
        <w:tc>
          <w:tcPr>
            <w:tcW w:w="124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298.9</w:t>
            </w:r>
          </w:p>
        </w:tc>
        <w:tc>
          <w:tcPr>
            <w:tcW w:w="3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295.2</w:t>
            </w:r>
          </w:p>
        </w:tc>
        <w:tc>
          <w:tcPr>
            <w:tcW w:w="100" w:type="dxa"/>
            <w:vAlign w:val="bottom"/>
            <w:tcBorders>
              <w:bottom w:val="single" w:sz="8" w:color="CFF0FC"/>
            </w:tcBorders>
          </w:tcPr>
          <w:p>
            <w:pPr>
              <w:spacing w:after="0"/>
              <w:rPr>
                <w:sz w:val="18"/>
                <w:szCs w:val="18"/>
                <w:color w:val="auto"/>
              </w:rPr>
            </w:pPr>
          </w:p>
        </w:tc>
      </w:tr>
      <w:tr>
        <w:trPr>
          <w:trHeight w:val="209"/>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Total Assets</w:t>
            </w:r>
          </w:p>
        </w:tc>
        <w:tc>
          <w:tcPr>
            <w:tcW w:w="124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22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9"/>
              </w:rPr>
              <w:t>11,223.1</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10,580.8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AND EQUITY</w:t>
            </w: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Current Liabilities:</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w:t>
            </w:r>
          </w:p>
        </w:tc>
        <w:tc>
          <w:tcPr>
            <w:tcW w:w="2620" w:type="dxa"/>
            <w:vAlign w:val="bottom"/>
            <w:gridSpan w:val="2"/>
            <w:shd w:val="clear" w:color="auto" w:fill="CFF0FC"/>
          </w:tcPr>
          <w:p>
            <w:pPr>
              <w:jc w:val="right"/>
              <w:ind w:right="12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243.6</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207.8</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Accrued salaries, benefits and payroll taxes</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54.0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Accrued other taxes</w:t>
            </w: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54.9</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45.4</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Current maturities of long-term debt and short-term facilities</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240.1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Accrued interest</w:t>
            </w: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124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99.9</w:t>
            </w:r>
          </w:p>
        </w:tc>
        <w:tc>
          <w:tcPr>
            <w:tcW w:w="3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96.6</w:t>
            </w:r>
          </w:p>
        </w:tc>
        <w:tc>
          <w:tcPr>
            <w:tcW w:w="100" w:type="dxa"/>
            <w:vAlign w:val="bottom"/>
            <w:shd w:val="clear" w:color="auto" w:fill="CFF0FC"/>
          </w:tcPr>
          <w:p>
            <w:pPr>
              <w:spacing w:after="0"/>
              <w:rPr>
                <w:sz w:val="18"/>
                <w:szCs w:val="18"/>
                <w:color w:val="auto"/>
              </w:rPr>
            </w:pPr>
          </w:p>
        </w:tc>
      </w:tr>
      <w:tr>
        <w:trPr>
          <w:trHeight w:val="210"/>
        </w:trPr>
        <w:tc>
          <w:tcPr>
            <w:tcW w:w="54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Current Liabilities</w:t>
            </w:r>
          </w:p>
        </w:tc>
        <w:tc>
          <w:tcPr>
            <w:tcW w:w="124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758.0</w:t>
            </w:r>
          </w:p>
        </w:tc>
        <w:tc>
          <w:tcPr>
            <w:tcW w:w="3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499.3</w:t>
            </w:r>
          </w:p>
        </w:tc>
        <w:tc>
          <w:tcPr>
            <w:tcW w:w="100" w:type="dxa"/>
            <w:vAlign w:val="bottom"/>
            <w:tcBorders>
              <w:bottom w:val="single" w:sz="8" w:color="CFF0FC"/>
            </w:tcBorders>
          </w:tcPr>
          <w:p>
            <w:pPr>
              <w:spacing w:after="0"/>
              <w:rPr>
                <w:sz w:val="18"/>
                <w:szCs w:val="18"/>
                <w:color w:val="auto"/>
              </w:rPr>
            </w:pPr>
          </w:p>
        </w:tc>
      </w:tr>
      <w:tr>
        <w:trPr>
          <w:trHeight w:val="209"/>
        </w:trPr>
        <w:tc>
          <w:tcPr>
            <w:tcW w:w="5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Long-term debt</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2,627.2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2,625.8</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 net</w:t>
            </w: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786.3</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781.5</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391.7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410.4</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24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531.7</w:t>
            </w:r>
          </w:p>
        </w:tc>
        <w:tc>
          <w:tcPr>
            <w:tcW w:w="3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370.5</w:t>
            </w:r>
          </w:p>
        </w:tc>
        <w:tc>
          <w:tcPr>
            <w:tcW w:w="100" w:type="dxa"/>
            <w:vAlign w:val="bottom"/>
            <w:shd w:val="clear" w:color="auto" w:fill="CFF0FC"/>
          </w:tcPr>
          <w:p>
            <w:pPr>
              <w:spacing w:after="0"/>
              <w:rPr>
                <w:sz w:val="18"/>
                <w:szCs w:val="18"/>
                <w:color w:val="auto"/>
              </w:rPr>
            </w:pPr>
          </w:p>
        </w:tc>
      </w:tr>
      <w:tr>
        <w:trPr>
          <w:trHeight w:val="209"/>
        </w:trPr>
        <w:tc>
          <w:tcPr>
            <w:tcW w:w="54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Liabilities</w:t>
            </w:r>
          </w:p>
        </w:tc>
        <w:tc>
          <w:tcPr>
            <w:tcW w:w="124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5,094.9</w:t>
            </w:r>
          </w:p>
        </w:tc>
        <w:tc>
          <w:tcPr>
            <w:tcW w:w="3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4,687.5</w:t>
            </w:r>
          </w:p>
        </w:tc>
        <w:tc>
          <w:tcPr>
            <w:tcW w:w="100" w:type="dxa"/>
            <w:vAlign w:val="bottom"/>
            <w:tcBorders>
              <w:bottom w:val="single" w:sz="8" w:color="CFF0FC"/>
            </w:tcBorders>
          </w:tcPr>
          <w:p>
            <w:pPr>
              <w:spacing w:after="0"/>
              <w:rPr>
                <w:sz w:val="18"/>
                <w:szCs w:val="18"/>
                <w:color w:val="auto"/>
              </w:rPr>
            </w:pPr>
          </w:p>
        </w:tc>
      </w:tr>
      <w:tr>
        <w:trPr>
          <w:trHeight w:val="210"/>
        </w:trPr>
        <w:tc>
          <w:tcPr>
            <w:tcW w:w="5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Equity:</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Common stock, par value $0.01 per share</w:t>
            </w: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Preferred stock, par value $0.01 per share</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Additional paid-in capital</w:t>
            </w:r>
          </w:p>
        </w:tc>
        <w:tc>
          <w:tcPr>
            <w:tcW w:w="1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3,451.1</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3,440.8</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(153.0)</w:t>
            </w:r>
          </w:p>
        </w:tc>
        <w:tc>
          <w:tcPr>
            <w:tcW w:w="32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7"/>
                <w:szCs w:val="17"/>
                <w:color w:val="auto"/>
              </w:rPr>
              <w:t>(158.4)</w:t>
            </w: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Retained earnings</w:t>
            </w:r>
          </w:p>
        </w:tc>
        <w:tc>
          <w:tcPr>
            <w:tcW w:w="124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2,827.2</w:t>
            </w:r>
          </w:p>
        </w:tc>
        <w:tc>
          <w:tcPr>
            <w:tcW w:w="3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2,607.7</w:t>
            </w:r>
          </w:p>
        </w:tc>
        <w:tc>
          <w:tcPr>
            <w:tcW w:w="100" w:type="dxa"/>
            <w:vAlign w:val="bottom"/>
            <w:shd w:val="clear" w:color="auto" w:fill="CFF0FC"/>
          </w:tcPr>
          <w:p>
            <w:pPr>
              <w:spacing w:after="0"/>
              <w:rPr>
                <w:sz w:val="18"/>
                <w:szCs w:val="18"/>
                <w:color w:val="auto"/>
              </w:rPr>
            </w:pPr>
          </w:p>
        </w:tc>
      </w:tr>
      <w:tr>
        <w:trPr>
          <w:trHeight w:val="210"/>
        </w:trPr>
        <w:tc>
          <w:tcPr>
            <w:tcW w:w="5420" w:type="dxa"/>
            <w:vAlign w:val="bottom"/>
          </w:tcPr>
          <w:p>
            <w:pPr>
              <w:ind w:left="260"/>
              <w:spacing w:after="0"/>
              <w:rPr>
                <w:sz w:val="20"/>
                <w:szCs w:val="20"/>
                <w:color w:val="auto"/>
              </w:rPr>
            </w:pPr>
            <w:r>
              <w:rPr>
                <w:rFonts w:ascii="Arial" w:cs="Arial" w:eastAsia="Arial" w:hAnsi="Arial"/>
                <w:sz w:val="17"/>
                <w:szCs w:val="17"/>
                <w:color w:val="auto"/>
              </w:rPr>
              <w:t>Total Shareholders' Equity</w:t>
            </w:r>
          </w:p>
        </w:tc>
        <w:tc>
          <w:tcPr>
            <w:tcW w:w="1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6,125.9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5,890.7</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Noncontrolling interests</w:t>
            </w:r>
          </w:p>
        </w:tc>
        <w:tc>
          <w:tcPr>
            <w:tcW w:w="124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3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FF0FC"/>
          </w:tcPr>
          <w:p>
            <w:pPr>
              <w:spacing w:after="0"/>
              <w:rPr>
                <w:sz w:val="18"/>
                <w:szCs w:val="18"/>
                <w:color w:val="auto"/>
              </w:rPr>
            </w:pPr>
          </w:p>
        </w:tc>
      </w:tr>
      <w:tr>
        <w:trPr>
          <w:trHeight w:val="209"/>
        </w:trPr>
        <w:tc>
          <w:tcPr>
            <w:tcW w:w="54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Equity</w:t>
            </w:r>
          </w:p>
        </w:tc>
        <w:tc>
          <w:tcPr>
            <w:tcW w:w="124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6,128.2</w:t>
            </w:r>
          </w:p>
        </w:tc>
        <w:tc>
          <w:tcPr>
            <w:tcW w:w="3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5,893.3</w:t>
            </w:r>
          </w:p>
        </w:tc>
        <w:tc>
          <w:tcPr>
            <w:tcW w:w="100" w:type="dxa"/>
            <w:vAlign w:val="bottom"/>
            <w:tcBorders>
              <w:bottom w:val="single" w:sz="8" w:color="CFF0FC"/>
            </w:tcBorders>
          </w:tcPr>
          <w:p>
            <w:pPr>
              <w:spacing w:after="0"/>
              <w:rPr>
                <w:sz w:val="18"/>
                <w:szCs w:val="18"/>
                <w:color w:val="auto"/>
              </w:rPr>
            </w:pPr>
          </w:p>
        </w:tc>
      </w:tr>
      <w:tr>
        <w:trPr>
          <w:trHeight w:val="209"/>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Total Liabilities and Equity</w:t>
            </w:r>
          </w:p>
        </w:tc>
        <w:tc>
          <w:tcPr>
            <w:tcW w:w="124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22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9"/>
              </w:rPr>
              <w:t>11,223.1</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10,580.8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6"/>
          </w:tcPr>
          <w:p>
            <w:pPr>
              <w:jc w:val="right"/>
              <w:ind w:right="82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9"/>
                <w:szCs w:val="19"/>
                <w:color w:val="auto"/>
              </w:rPr>
            </w:pPr>
          </w:p>
        </w:tc>
        <w:tc>
          <w:tcPr>
            <w:tcW w:w="2580" w:type="dxa"/>
            <w:vAlign w:val="bottom"/>
            <w:gridSpan w:val="6"/>
          </w:tcPr>
          <w:p>
            <w:pPr>
              <w:jc w:val="right"/>
              <w:ind w:right="8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6"/>
          </w:tcPr>
          <w:p>
            <w:pPr>
              <w:jc w:val="right"/>
              <w:ind w:right="180"/>
              <w:spacing w:after="0"/>
              <w:rPr>
                <w:sz w:val="20"/>
                <w:szCs w:val="20"/>
                <w:color w:val="auto"/>
              </w:rPr>
            </w:pPr>
            <w:r>
              <w:rPr>
                <w:rFonts w:ascii="Arial" w:cs="Arial" w:eastAsia="Arial" w:hAnsi="Arial"/>
                <w:sz w:val="18"/>
                <w:szCs w:val="18"/>
                <w:i w:val="1"/>
                <w:iCs w:val="1"/>
                <w:color w:val="auto"/>
                <w:w w:val="92"/>
              </w:rPr>
              <w:t>(In Millions, Except Per Share Data)</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Products and services 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1,295.3</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3"/>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2,217.2</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revenues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1,270.6</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 products and services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 - freight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and expenses,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60"/>
              <w:spacing w:after="0"/>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306.4</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5460" w:type="dxa"/>
            <w:vAlign w:val="bottom"/>
          </w:tcPr>
          <w:p>
            <w:pPr>
              <w:ind w:left="260"/>
              <w:spacing w:after="0"/>
              <w:rPr>
                <w:sz w:val="20"/>
                <w:szCs w:val="20"/>
                <w:color w:val="auto"/>
              </w:rPr>
            </w:pPr>
            <w:r>
              <w:rPr>
                <w:rFonts w:ascii="Arial" w:cs="Arial" w:eastAsia="Arial" w:hAnsi="Arial"/>
                <w:sz w:val="18"/>
                <w:szCs w:val="18"/>
                <w:color w:val="auto"/>
              </w:rPr>
              <w:t>Earnings before income tax expense</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Consolidated net earnings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2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Consolidated Comprehensive Earnings: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attributable to Martin Marietta Materials, Inc.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3"/>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60"/>
              <w:spacing w:after="0"/>
              <w:rPr>
                <w:sz w:val="20"/>
                <w:szCs w:val="20"/>
                <w:color w:val="auto"/>
              </w:rPr>
            </w:pPr>
            <w:r>
              <w:rPr>
                <w:rFonts w:ascii="Arial" w:cs="Arial" w:eastAsia="Arial" w:hAnsi="Arial"/>
                <w:sz w:val="18"/>
                <w:szCs w:val="18"/>
                <w:color w:val="auto"/>
              </w:rPr>
              <w:t>Earnings attributable to noncontrolling interests</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 Common Share: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500"/>
              <w:spacing w:after="0"/>
              <w:rPr>
                <w:sz w:val="20"/>
                <w:szCs w:val="20"/>
                <w:color w:val="auto"/>
              </w:rPr>
            </w:pPr>
            <w:r>
              <w:rPr>
                <w:rFonts w:ascii="Arial" w:cs="Arial" w:eastAsia="Arial" w:hAnsi="Arial"/>
                <w:sz w:val="18"/>
                <w:szCs w:val="18"/>
                <w:color w:val="auto"/>
              </w:rPr>
              <w:t>Basic attributable to common shareholders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23"/>
                <w:szCs w:val="23"/>
                <w:color w:val="auto"/>
              </w:rPr>
            </w:pPr>
          </w:p>
        </w:tc>
        <w:tc>
          <w:tcPr>
            <w:tcW w:w="40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23"/>
                <w:szCs w:val="23"/>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 attributable to common shareholders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8"/>
              </w:rPr>
              <w:t>(Dollars in Millions)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earnings</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jc w:val="right"/>
              <w:ind w:right="4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jc w:val="right"/>
              <w:ind w:right="4970"/>
              <w:spacing w:after="0"/>
              <w:rPr>
                <w:sz w:val="20"/>
                <w:szCs w:val="20"/>
                <w:color w:val="auto"/>
              </w:rPr>
            </w:pPr>
            <w:r>
              <w:rPr>
                <w:rFonts w:ascii="Arial" w:cs="Arial" w:eastAsia="Arial" w:hAnsi="Arial"/>
                <w:sz w:val="18"/>
                <w:szCs w:val="18"/>
                <w:color w:val="auto"/>
                <w:w w:val="97"/>
              </w:rPr>
              <w:t>provided by operating activities: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depletion and amortization</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divestitures and sales of assets</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(19.2)</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(7.3)</w:t>
            </w: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 net of effects of</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jc w:val="right"/>
              <w:ind w:right="4970"/>
              <w:spacing w:after="0"/>
              <w:rPr>
                <w:sz w:val="20"/>
                <w:szCs w:val="20"/>
                <w:color w:val="auto"/>
              </w:rPr>
            </w:pPr>
            <w:r>
              <w:rPr>
                <w:rFonts w:ascii="Arial" w:cs="Arial" w:eastAsia="Arial" w:hAnsi="Arial"/>
                <w:sz w:val="18"/>
                <w:szCs w:val="18"/>
                <w:color w:val="auto"/>
              </w:rPr>
              <w:t>acquisitions and divestitures: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(137.8)</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30"/>
        </w:trPr>
        <w:tc>
          <w:tcPr>
            <w:tcW w:w="754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7540" w:type="dxa"/>
            <w:vAlign w:val="bottom"/>
          </w:tcPr>
          <w:p>
            <w:pPr>
              <w:ind w:left="500"/>
              <w:spacing w:after="0"/>
              <w:rPr>
                <w:sz w:val="20"/>
                <w:szCs w:val="20"/>
                <w:color w:val="auto"/>
              </w:rPr>
            </w:pPr>
            <w:r>
              <w:rPr>
                <w:rFonts w:ascii="Arial" w:cs="Arial" w:eastAsia="Arial" w:hAnsi="Arial"/>
                <w:sz w:val="18"/>
                <w:szCs w:val="18"/>
                <w:color w:val="auto"/>
              </w:rPr>
              <w:t>Other assets and liabilities, net</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w:t>
            </w: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(213.0)</w:t>
            </w:r>
          </w:p>
        </w:tc>
        <w:tc>
          <w:tcPr>
            <w:tcW w:w="6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 net of cash acquired</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(653.2)</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Proceeds from divestitures and sales of assets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life insurance contracts, net</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Other investing activities,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Cash Used for Investing Activities</w:t>
            </w: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(823.1)</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Borrowings of debt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400.0</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Repayments of debt</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(160.0)</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Payments on financing leases</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Distributions to owners of noncontrolling interest</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(71.8)</w:t>
            </w:r>
          </w:p>
        </w:tc>
        <w:tc>
          <w:tcPr>
            <w:tcW w:w="6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Shares withheld for employees' income tax obligations</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(16.1)</w:t>
            </w:r>
          </w:p>
        </w:tc>
        <w:tc>
          <w:tcPr>
            <w:tcW w:w="6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for) Financing Activities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(234.1)</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304.4</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ind w:right="4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Shares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8"/>
                <w:szCs w:val="18"/>
                <w:color w:val="auto"/>
                <w:w w:val="98"/>
              </w:rPr>
              <w:t>Additional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Other</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Common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Paid-</w:t>
            </w:r>
          </w:p>
        </w:tc>
        <w:tc>
          <w:tcPr>
            <w:tcW w:w="1400" w:type="dxa"/>
            <w:vAlign w:val="bottom"/>
            <w:gridSpan w:val="4"/>
          </w:tcPr>
          <w:p>
            <w:pPr>
              <w:ind w:left="60"/>
              <w:spacing w:after="0"/>
              <w:rPr>
                <w:sz w:val="20"/>
                <w:szCs w:val="20"/>
                <w:color w:val="auto"/>
              </w:rPr>
            </w:pPr>
            <w:r>
              <w:rPr>
                <w:rFonts w:ascii="Arial" w:cs="Arial" w:eastAsia="Arial" w:hAnsi="Arial"/>
                <w:sz w:val="18"/>
                <w:szCs w:val="18"/>
                <w:color w:val="auto"/>
              </w:rPr>
              <w:t>Comprehensive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Retained</w:t>
            </w:r>
          </w:p>
        </w:tc>
        <w:tc>
          <w:tcPr>
            <w:tcW w:w="1100" w:type="dxa"/>
            <w:vAlign w:val="bottom"/>
            <w:gridSpan w:val="3"/>
          </w:tcPr>
          <w:p>
            <w:pPr>
              <w:spacing w:after="0"/>
              <w:rPr>
                <w:sz w:val="20"/>
                <w:szCs w:val="20"/>
                <w:color w:val="auto"/>
              </w:rPr>
            </w:pPr>
            <w:r>
              <w:rPr>
                <w:rFonts w:ascii="Arial" w:cs="Arial" w:eastAsia="Arial" w:hAnsi="Arial"/>
                <w:sz w:val="18"/>
                <w:szCs w:val="18"/>
                <w:color w:val="auto"/>
                <w:w w:val="97"/>
              </w:rPr>
              <w:t>Shareholders'</w:t>
            </w:r>
          </w:p>
        </w:tc>
        <w:tc>
          <w:tcPr>
            <w:tcW w:w="1600" w:type="dxa"/>
            <w:vAlign w:val="bottom"/>
            <w:gridSpan w:val="4"/>
          </w:tcPr>
          <w:p>
            <w:pPr>
              <w:ind w:left="80"/>
              <w:spacing w:after="0"/>
              <w:rPr>
                <w:sz w:val="20"/>
                <w:szCs w:val="20"/>
                <w:color w:val="auto"/>
              </w:rPr>
            </w:pPr>
            <w:r>
              <w:rPr>
                <w:rFonts w:ascii="Arial" w:cs="Arial" w:eastAsia="Arial" w:hAnsi="Arial"/>
                <w:sz w:val="18"/>
                <w:szCs w:val="18"/>
                <w:color w:val="auto"/>
              </w:rPr>
              <w:t>Noncontrolling</w:t>
            </w: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Share Data)</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Stock</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Stock</w:t>
            </w:r>
          </w:p>
        </w:tc>
        <w:tc>
          <w:tcPr>
            <w:tcW w:w="200" w:type="dxa"/>
            <w:vAlign w:val="bottom"/>
          </w:tcPr>
          <w:p>
            <w:pPr>
              <w:spacing w:after="0"/>
              <w:rPr>
                <w:sz w:val="20"/>
                <w:szCs w:val="20"/>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in Capital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Loss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Earnings</w:t>
            </w:r>
          </w:p>
        </w:tc>
        <w:tc>
          <w:tcPr>
            <w:tcW w:w="1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Interests</w:t>
            </w: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Equity</w:t>
            </w: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3,441.7</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$ 2,637.2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5,923.9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Consolidated net earnings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Dividends declared ($0.57</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per share)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Shares withheld for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employees'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income tax obligations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6"/>
              </w:rPr>
              <w:t>Stock-based compensation</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Distributions to owners of</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noncontrolling interest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23"/>
        </w:trPr>
        <w:tc>
          <w:tcPr>
            <w:tcW w:w="2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$ 2,827.2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3,440.8</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(158.4)</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$ 2,607.7</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5,890.7</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5,893.3</w:t>
            </w:r>
          </w:p>
        </w:tc>
        <w:tc>
          <w:tcPr>
            <w:tcW w:w="100" w:type="dxa"/>
            <w:vAlign w:val="bottom"/>
            <w:shd w:val="clear" w:color="auto" w:fill="CFF0FC"/>
          </w:tcPr>
          <w:p>
            <w:pPr>
              <w:spacing w:after="0"/>
              <w:rPr>
                <w:sz w:val="20"/>
                <w:szCs w:val="20"/>
                <w:color w:val="auto"/>
              </w:rPr>
            </w:pPr>
          </w:p>
        </w:tc>
      </w:tr>
      <w:tr>
        <w:trPr>
          <w:trHeight w:val="229"/>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Consolidated net earnings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Pr>
          <w:p>
            <w:pPr>
              <w:spacing w:after="0"/>
              <w:rPr>
                <w:sz w:val="19"/>
                <w:szCs w:val="19"/>
                <w:color w:val="auto"/>
              </w:rPr>
            </w:pP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Dividends declared ($1.14</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per share)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Shares withheld for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employees'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income tax obligations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6"/>
              </w:rPr>
              <w:t>Stock-based compensation</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Distributions to owners of</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noncontrolling interest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23"/>
        </w:trPr>
        <w:tc>
          <w:tcPr>
            <w:tcW w:w="2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$ 2,827.2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jc w:val="both"/>
        <w:ind w:left="2480" w:right="2460" w:firstLine="11"/>
        <w:spacing w:after="0" w:line="308" w:lineRule="auto"/>
        <w:rPr>
          <w:sz w:val="20"/>
          <w:szCs w:val="20"/>
          <w:color w:val="auto"/>
        </w:rPr>
      </w:pPr>
      <w:r>
        <w:rPr>
          <w:rFonts w:ascii="Arial" w:cs="Arial" w:eastAsia="Arial" w:hAnsi="Arial"/>
          <w:sz w:val="17"/>
          <w:szCs w:val="17"/>
          <w:color w:val="auto"/>
        </w:rPr>
        <w:t>MARTIN MARIETTA MATERIALS, INC. AND CONSOLIDATED SUBSIDIARIES (UNAUDITED) CONSOLIDATED STATEMENTS OF TOTAL EQUITY (Continued)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Shares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color w:val="auto"/>
              </w:rPr>
              <w:t>Additional</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60" w:type="dxa"/>
            <w:vAlign w:val="bottom"/>
          </w:tcPr>
          <w:p>
            <w:pPr>
              <w:spacing w:after="0"/>
              <w:rPr>
                <w:sz w:val="18"/>
                <w:szCs w:val="18"/>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Common</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Paid-</w:t>
            </w:r>
          </w:p>
        </w:tc>
        <w:tc>
          <w:tcPr>
            <w:tcW w:w="1620" w:type="dxa"/>
            <w:vAlign w:val="bottom"/>
            <w:gridSpan w:val="3"/>
          </w:tcPr>
          <w:p>
            <w:pPr>
              <w:ind w:left="40"/>
              <w:spacing w:after="0"/>
              <w:rPr>
                <w:sz w:val="20"/>
                <w:szCs w:val="20"/>
                <w:color w:val="auto"/>
              </w:rPr>
            </w:pPr>
            <w:r>
              <w:rPr>
                <w:rFonts w:ascii="Arial" w:cs="Arial" w:eastAsia="Arial" w:hAnsi="Arial"/>
                <w:sz w:val="18"/>
                <w:szCs w:val="18"/>
                <w:color w:val="auto"/>
              </w:rPr>
              <w:t>Accumulated Other</w:t>
            </w:r>
          </w:p>
        </w:tc>
        <w:tc>
          <w:tcPr>
            <w:tcW w:w="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Retained</w:t>
            </w:r>
          </w:p>
        </w:tc>
        <w:tc>
          <w:tcPr>
            <w:tcW w:w="1120" w:type="dxa"/>
            <w:vAlign w:val="bottom"/>
            <w:gridSpan w:val="4"/>
          </w:tcPr>
          <w:p>
            <w:pPr>
              <w:ind w:left="40"/>
              <w:spacing w:after="0"/>
              <w:rPr>
                <w:sz w:val="20"/>
                <w:szCs w:val="20"/>
                <w:color w:val="auto"/>
              </w:rPr>
            </w:pPr>
            <w:r>
              <w:rPr>
                <w:rFonts w:ascii="Arial" w:cs="Arial" w:eastAsia="Arial" w:hAnsi="Arial"/>
                <w:sz w:val="18"/>
                <w:szCs w:val="18"/>
                <w:color w:val="auto"/>
                <w:w w:val="95"/>
              </w:rPr>
              <w:t>Shareholders'</w:t>
            </w:r>
          </w:p>
        </w:tc>
        <w:tc>
          <w:tcPr>
            <w:tcW w:w="1560" w:type="dxa"/>
            <w:vAlign w:val="bottom"/>
            <w:gridSpan w:val="4"/>
          </w:tcPr>
          <w:p>
            <w:pPr>
              <w:ind w:left="60"/>
              <w:spacing w:after="0"/>
              <w:rPr>
                <w:sz w:val="20"/>
                <w:szCs w:val="20"/>
                <w:color w:val="auto"/>
              </w:rPr>
            </w:pPr>
            <w:r>
              <w:rPr>
                <w:rFonts w:ascii="Arial" w:cs="Arial" w:eastAsia="Arial" w:hAnsi="Arial"/>
                <w:sz w:val="18"/>
                <w:szCs w:val="18"/>
                <w:color w:val="auto"/>
              </w:rPr>
              <w:t>Noncontrolling</w:t>
            </w:r>
          </w:p>
        </w:tc>
        <w:tc>
          <w:tcPr>
            <w:tcW w:w="12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Total</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Share Data)</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Stock</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Stock</w:t>
            </w:r>
          </w:p>
        </w:tc>
        <w:tc>
          <w:tcPr>
            <w:tcW w:w="1000" w:type="dxa"/>
            <w:vAlign w:val="bottom"/>
            <w:gridSpan w:val="3"/>
          </w:tcPr>
          <w:p>
            <w:pPr>
              <w:ind w:left="60"/>
              <w:spacing w:after="0"/>
              <w:rPr>
                <w:sz w:val="20"/>
                <w:szCs w:val="20"/>
                <w:color w:val="auto"/>
              </w:rPr>
            </w:pPr>
            <w:r>
              <w:rPr>
                <w:rFonts w:ascii="Arial" w:cs="Arial" w:eastAsia="Arial" w:hAnsi="Arial"/>
                <w:sz w:val="18"/>
                <w:szCs w:val="18"/>
                <w:color w:val="auto"/>
              </w:rPr>
              <w:t>in Capital</w:t>
            </w:r>
          </w:p>
        </w:tc>
        <w:tc>
          <w:tcPr>
            <w:tcW w:w="1620" w:type="dxa"/>
            <w:vAlign w:val="bottom"/>
            <w:gridSpan w:val="3"/>
          </w:tcPr>
          <w:p>
            <w:pPr>
              <w:spacing w:after="0"/>
              <w:rPr>
                <w:sz w:val="20"/>
                <w:szCs w:val="20"/>
                <w:color w:val="auto"/>
              </w:rPr>
            </w:pPr>
            <w:r>
              <w:rPr>
                <w:rFonts w:ascii="Arial" w:cs="Arial" w:eastAsia="Arial" w:hAnsi="Arial"/>
                <w:sz w:val="18"/>
                <w:szCs w:val="18"/>
                <w:color w:val="auto"/>
                <w:w w:val="94"/>
              </w:rPr>
              <w:t>Comprehensive Loss</w:t>
            </w:r>
          </w:p>
        </w:tc>
        <w:tc>
          <w:tcPr>
            <w:tcW w:w="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Earnings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Equity</w:t>
            </w:r>
          </w:p>
        </w:tc>
      </w:tr>
      <w:tr>
        <w:trPr>
          <w:trHeight w:val="222"/>
        </w:trPr>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Balance at March 31, 2020</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3,423.1</w:t>
            </w:r>
          </w:p>
        </w:tc>
        <w:tc>
          <w:tcPr>
            <w:tcW w:w="180" w:type="dxa"/>
            <w:vAlign w:val="bottom"/>
          </w:tcPr>
          <w:p>
            <w:pPr>
              <w:spacing w:after="0"/>
              <w:rPr>
                <w:sz w:val="19"/>
                <w:szCs w:val="19"/>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$ 2,018.6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5,299.4</w:t>
            </w:r>
          </w:p>
        </w:tc>
        <w:tc>
          <w:tcPr>
            <w:tcW w:w="80" w:type="dxa"/>
            <w:vAlign w:val="bottom"/>
          </w:tcPr>
          <w:p>
            <w:pPr>
              <w:spacing w:after="0"/>
              <w:rPr>
                <w:sz w:val="19"/>
                <w:szCs w:val="19"/>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Consolidated net earnings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217.6</w:t>
            </w:r>
          </w:p>
        </w:tc>
        <w:tc>
          <w:tcPr>
            <w:tcW w:w="80" w:type="dxa"/>
            <w:vAlign w:val="bottom"/>
          </w:tcPr>
          <w:p>
            <w:pPr>
              <w:spacing w:after="0"/>
              <w:rPr>
                <w:sz w:val="20"/>
                <w:szCs w:val="20"/>
                <w:color w:val="auto"/>
              </w:rPr>
            </w:pP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Dividends declared ($0.55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per share)</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Shares withheld for</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employees'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income tax obligations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20"/>
                <w:szCs w:val="20"/>
                <w:color w:val="auto"/>
              </w:rPr>
            </w:pPr>
          </w:p>
        </w:tc>
      </w:tr>
      <w:tr>
        <w:trPr>
          <w:trHeight w:val="263"/>
        </w:trPr>
        <w:tc>
          <w:tcPr>
            <w:tcW w:w="2380" w:type="dxa"/>
            <w:vAlign w:val="bottom"/>
            <w:gridSpan w:val="2"/>
          </w:tcPr>
          <w:p>
            <w:pPr>
              <w:spacing w:after="0"/>
              <w:rPr>
                <w:sz w:val="20"/>
                <w:szCs w:val="20"/>
                <w:color w:val="auto"/>
              </w:rPr>
            </w:pPr>
            <w:r>
              <w:rPr>
                <w:rFonts w:ascii="Arial" w:cs="Arial" w:eastAsia="Arial" w:hAnsi="Arial"/>
                <w:sz w:val="18"/>
                <w:szCs w:val="18"/>
                <w:color w:val="auto"/>
              </w:rPr>
              <w:t>Balance at June 30, 2020</w:t>
            </w:r>
          </w:p>
        </w:tc>
        <w:tc>
          <w:tcPr>
            <w:tcW w:w="7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3,431.0</w:t>
            </w:r>
          </w:p>
        </w:tc>
        <w:tc>
          <w:tcPr>
            <w:tcW w:w="180" w:type="dxa"/>
            <w:vAlign w:val="bottom"/>
          </w:tcPr>
          <w:p>
            <w:pPr>
              <w:spacing w:after="0"/>
              <w:rPr>
                <w:sz w:val="22"/>
                <w:szCs w:val="22"/>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(142.2)</w:t>
            </w: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7"/>
              </w:rPr>
              <w:t>$ 2,201.7</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5,491.1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5,493.6</w:t>
            </w:r>
          </w:p>
        </w:tc>
        <w:tc>
          <w:tcPr>
            <w:tcW w:w="80" w:type="dxa"/>
            <w:vAlign w:val="bottom"/>
          </w:tcPr>
          <w:p>
            <w:pPr>
              <w:spacing w:after="0"/>
              <w:rPr>
                <w:sz w:val="22"/>
                <w:szCs w:val="22"/>
                <w:color w:val="auto"/>
              </w:rPr>
            </w:pPr>
          </w:p>
        </w:tc>
      </w:tr>
      <w:tr>
        <w:trPr>
          <w:trHeight w:val="210"/>
        </w:trPr>
        <w:tc>
          <w:tcPr>
            <w:tcW w:w="2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5"/>
        </w:trPr>
        <w:tc>
          <w:tcPr>
            <w:tcW w:w="238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3,418.8</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(145.8)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$ 2,077.2</w:t>
            </w:r>
          </w:p>
        </w:tc>
        <w:tc>
          <w:tcPr>
            <w:tcW w:w="12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5,350.8</w:t>
            </w:r>
          </w:p>
        </w:tc>
        <w:tc>
          <w:tcPr>
            <w:tcW w:w="10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5,353.3</w:t>
            </w:r>
          </w:p>
        </w:tc>
        <w:tc>
          <w:tcPr>
            <w:tcW w:w="80" w:type="dxa"/>
            <w:vAlign w:val="bottom"/>
          </w:tcPr>
          <w:p>
            <w:pPr>
              <w:spacing w:after="0"/>
              <w:rPr>
                <w:sz w:val="20"/>
                <w:szCs w:val="20"/>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Consolidated net earnings</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80" w:type="dxa"/>
            <w:vAlign w:val="bottom"/>
            <w:shd w:val="clear" w:color="auto" w:fill="CFF0FC"/>
          </w:tcPr>
          <w:p>
            <w:pPr>
              <w:spacing w:after="0"/>
              <w:rPr>
                <w:sz w:val="19"/>
                <w:szCs w:val="19"/>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Other comprehensive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earnings,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net of tax</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declared ($1.10</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per share)</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(69.0)</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(69.0)</w:t>
            </w: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Issuances of common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stock for stock</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award plans</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Shares withheld for</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employees'</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income tax obligations</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(13.1)</w:t>
            </w:r>
          </w:p>
        </w:tc>
        <w:tc>
          <w:tcPr>
            <w:tcW w:w="5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w:t>
            </w: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Repurchases of common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stock</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FF0FC"/>
          </w:tcPr>
          <w:p>
            <w:pPr>
              <w:spacing w:after="0"/>
              <w:rPr>
                <w:sz w:val="20"/>
                <w:szCs w:val="20"/>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Balance at June 30, 2020</w:t>
            </w:r>
          </w:p>
        </w:tc>
        <w:tc>
          <w:tcPr>
            <w:tcW w:w="7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3,431.0</w:t>
            </w:r>
          </w:p>
        </w:tc>
        <w:tc>
          <w:tcPr>
            <w:tcW w:w="18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(142.2)</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7"/>
              </w:rPr>
              <w:t>$ 2,201.7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5,491.1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5,493.6</w:t>
            </w:r>
          </w:p>
        </w:tc>
        <w:tc>
          <w:tcPr>
            <w:tcW w:w="80" w:type="dxa"/>
            <w:vAlign w:val="bottom"/>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15" w:lineRule="exact"/>
        <w:rPr>
          <w:sz w:val="20"/>
          <w:szCs w:val="20"/>
          <w:color w:val="auto"/>
        </w:rPr>
      </w:pPr>
    </w:p>
    <w:p>
      <w:pPr>
        <w:ind w:left="280" w:right="8340" w:hanging="272"/>
        <w:spacing w:after="0" w:line="355" w:lineRule="auto"/>
        <w:tabs>
          <w:tab w:leader="none" w:pos="269"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280"/>
        <w:spacing w:after="0" w:line="256" w:lineRule="auto"/>
        <w:rPr>
          <w:rFonts w:ascii="Arial" w:cs="Arial" w:eastAsia="Arial" w:hAnsi="Arial"/>
          <w:sz w:val="20"/>
          <w:szCs w:val="20"/>
          <w:b w:val="1"/>
          <w:bCs w:val="1"/>
          <w:color w:val="auto"/>
        </w:rPr>
      </w:pPr>
      <w:r>
        <w:rPr>
          <w:rFonts w:ascii="Arial" w:cs="Arial" w:eastAsia="Arial" w:hAnsi="Arial"/>
          <w:sz w:val="19"/>
          <w:szCs w:val="19"/>
          <w:color w:val="auto"/>
        </w:rPr>
        <w:t>Martin Marietta Materials, Inc. (the Company or Martin Marietta) is a natural resource-based building materials company. The Company supplies aggregates (crushed stone, sand and gravel) through its network of approximately 310 quarries, mines and distribution yards in 26 states, Canada and The Bahamas. In the southwestern and western United States, Martin Marietta also provides cement and downstream products and services, namely, ready mixed concrete, asphalt and paving, in vertically-integrated structured markets where the Company has a leading aggregates position. The Company also provides asphalt in Minnesota subsequent to a business combination in the quarter ended June 30, 2021.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76" w:lineRule="exact"/>
        <w:rPr>
          <w:rFonts w:ascii="Arial" w:cs="Arial" w:eastAsia="Arial" w:hAnsi="Arial"/>
          <w:sz w:val="20"/>
          <w:szCs w:val="20"/>
          <w:b w:val="1"/>
          <w:bCs w:val="1"/>
          <w:color w:val="auto"/>
        </w:rPr>
      </w:pPr>
    </w:p>
    <w:p>
      <w:pPr>
        <w:ind w:left="280"/>
        <w:spacing w:after="0"/>
        <w:rPr>
          <w:rFonts w:ascii="Arial" w:cs="Arial" w:eastAsia="Arial" w:hAnsi="Arial"/>
          <w:sz w:val="20"/>
          <w:szCs w:val="20"/>
          <w:b w:val="1"/>
          <w:bCs w:val="1"/>
          <w:color w:val="auto"/>
        </w:rPr>
      </w:pPr>
      <w:r>
        <w:rPr>
          <w:rFonts w:ascii="Arial" w:cs="Arial" w:eastAsia="Arial" w:hAnsi="Arial"/>
          <w:sz w:val="20"/>
          <w:szCs w:val="20"/>
          <w:color w:val="auto"/>
        </w:rPr>
        <w:t>The Company’s Building Materials business includes two reportable segments: the East Group and the West Group.</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Reportable Segments</w:t>
            </w:r>
          </w:p>
        </w:tc>
        <w:tc>
          <w:tcPr>
            <w:tcW w:w="39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88"/>
              </w:rPr>
              <w:t>East Group</w:t>
            </w: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West Group</w:t>
            </w:r>
          </w:p>
        </w:tc>
      </w:tr>
      <w:tr>
        <w:trPr>
          <w:trHeight w:val="206"/>
        </w:trPr>
        <w:tc>
          <w:tcPr>
            <w:tcW w:w="31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Operating Locations</w:t>
            </w:r>
          </w:p>
        </w:tc>
        <w:tc>
          <w:tcPr>
            <w:tcW w:w="180" w:type="dxa"/>
            <w:vAlign w:val="bottom"/>
          </w:tcPr>
          <w:p>
            <w:pPr>
              <w:spacing w:after="0"/>
              <w:rPr>
                <w:sz w:val="17"/>
                <w:szCs w:val="17"/>
                <w:color w:val="auto"/>
              </w:rPr>
            </w:pPr>
          </w:p>
        </w:tc>
        <w:tc>
          <w:tcPr>
            <w:tcW w:w="372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Alabama, Florida, Georgia, Indiana,</w:t>
            </w:r>
          </w:p>
        </w:tc>
        <w:tc>
          <w:tcPr>
            <w:tcW w:w="180" w:type="dxa"/>
            <w:vAlign w:val="bottom"/>
          </w:tcPr>
          <w:p>
            <w:pPr>
              <w:spacing w:after="0"/>
              <w:rPr>
                <w:sz w:val="17"/>
                <w:szCs w:val="17"/>
                <w:color w:val="auto"/>
              </w:rPr>
            </w:pPr>
          </w:p>
        </w:tc>
        <w:tc>
          <w:tcPr>
            <w:tcW w:w="40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Arkansas, Colorado, Louisiana, western</w:t>
            </w: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90"/>
              </w:rPr>
              <w:t>Iowa, Kansas, Kentucky, Maryland,</w:t>
            </w:r>
          </w:p>
        </w:tc>
        <w:tc>
          <w:tcPr>
            <w:tcW w:w="4000" w:type="dxa"/>
            <w:vAlign w:val="bottom"/>
          </w:tcPr>
          <w:p>
            <w:pPr>
              <w:jc w:val="center"/>
              <w:spacing w:after="0"/>
              <w:rPr>
                <w:sz w:val="20"/>
                <w:szCs w:val="20"/>
                <w:color w:val="auto"/>
              </w:rPr>
            </w:pPr>
            <w:r>
              <w:rPr>
                <w:rFonts w:ascii="Arial" w:cs="Arial" w:eastAsia="Arial" w:hAnsi="Arial"/>
                <w:sz w:val="20"/>
                <w:szCs w:val="20"/>
                <w:color w:val="auto"/>
                <w:w w:val="88"/>
              </w:rPr>
              <w:t>Nebraska, Oklahoma, Texas, Utah,</w:t>
            </w:r>
          </w:p>
        </w:tc>
      </w:tr>
      <w:tr>
        <w:trPr>
          <w:trHeight w:val="229"/>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Minnesota, Missouri, eastern</w:t>
            </w:r>
          </w:p>
        </w:tc>
        <w:tc>
          <w:tcPr>
            <w:tcW w:w="4000" w:type="dxa"/>
            <w:vAlign w:val="bottom"/>
          </w:tcPr>
          <w:p>
            <w:pPr>
              <w:jc w:val="center"/>
              <w:spacing w:after="0"/>
              <w:rPr>
                <w:sz w:val="20"/>
                <w:szCs w:val="20"/>
                <w:color w:val="auto"/>
              </w:rPr>
            </w:pPr>
            <w:r>
              <w:rPr>
                <w:rFonts w:ascii="Arial" w:cs="Arial" w:eastAsia="Arial" w:hAnsi="Arial"/>
                <w:sz w:val="20"/>
                <w:szCs w:val="20"/>
                <w:color w:val="auto"/>
                <w:w w:val="90"/>
              </w:rPr>
              <w:t>Washington and Wyoming</w:t>
            </w: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160"/>
              <w:spacing w:after="0"/>
              <w:rPr>
                <w:sz w:val="20"/>
                <w:szCs w:val="20"/>
                <w:color w:val="auto"/>
              </w:rPr>
            </w:pPr>
            <w:r>
              <w:rPr>
                <w:rFonts w:ascii="Arial" w:cs="Arial" w:eastAsia="Arial" w:hAnsi="Arial"/>
                <w:sz w:val="20"/>
                <w:szCs w:val="20"/>
                <w:color w:val="auto"/>
                <w:w w:val="90"/>
              </w:rPr>
              <w:t>Nebraska, North Carolina, Ohio,</w:t>
            </w:r>
          </w:p>
        </w:tc>
        <w:tc>
          <w:tcPr>
            <w:tcW w:w="400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Pennsylvania, South Carolina,</w:t>
            </w:r>
          </w:p>
        </w:tc>
        <w:tc>
          <w:tcPr>
            <w:tcW w:w="400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Tennessee, Virginia, West Virginia,</w:t>
            </w:r>
          </w:p>
        </w:tc>
        <w:tc>
          <w:tcPr>
            <w:tcW w:w="4000" w:type="dxa"/>
            <w:vAlign w:val="bottom"/>
          </w:tcPr>
          <w:p>
            <w:pPr>
              <w:spacing w:after="0"/>
              <w:rPr>
                <w:sz w:val="19"/>
                <w:szCs w:val="19"/>
                <w:color w:val="auto"/>
              </w:rPr>
            </w:pPr>
          </w:p>
        </w:tc>
      </w:tr>
      <w:tr>
        <w:trPr>
          <w:trHeight w:val="250"/>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00" w:type="dxa"/>
            <w:vAlign w:val="bottom"/>
            <w:gridSpan w:val="2"/>
          </w:tcPr>
          <w:p>
            <w:pPr>
              <w:jc w:val="center"/>
              <w:ind w:right="180"/>
              <w:spacing w:after="0"/>
              <w:rPr>
                <w:sz w:val="20"/>
                <w:szCs w:val="20"/>
                <w:color w:val="auto"/>
              </w:rPr>
            </w:pPr>
            <w:r>
              <w:rPr>
                <w:rFonts w:ascii="Arial" w:cs="Arial" w:eastAsia="Arial" w:hAnsi="Arial"/>
                <w:sz w:val="20"/>
                <w:szCs w:val="20"/>
                <w:color w:val="auto"/>
                <w:w w:val="88"/>
              </w:rPr>
              <w:t>Nova Scotia and The Bahamas</w:t>
            </w:r>
          </w:p>
        </w:tc>
        <w:tc>
          <w:tcPr>
            <w:tcW w:w="4000" w:type="dxa"/>
            <w:vAlign w:val="bottom"/>
          </w:tcPr>
          <w:p>
            <w:pPr>
              <w:spacing w:after="0"/>
              <w:rPr>
                <w:sz w:val="21"/>
                <w:szCs w:val="21"/>
                <w:color w:val="auto"/>
              </w:rPr>
            </w:pPr>
          </w:p>
        </w:tc>
      </w:tr>
      <w:tr>
        <w:trPr>
          <w:trHeight w:val="438"/>
        </w:trPr>
        <w:tc>
          <w:tcPr>
            <w:tcW w:w="3340" w:type="dxa"/>
            <w:vAlign w:val="bottom"/>
            <w:gridSpan w:val="2"/>
          </w:tcPr>
          <w:p>
            <w:pPr>
              <w:spacing w:after="0"/>
              <w:rPr>
                <w:sz w:val="20"/>
                <w:szCs w:val="20"/>
                <w:color w:val="auto"/>
              </w:rPr>
            </w:pPr>
            <w:r>
              <w:rPr>
                <w:rFonts w:ascii="Arial" w:cs="Arial" w:eastAsia="Arial" w:hAnsi="Arial"/>
                <w:sz w:val="20"/>
                <w:szCs w:val="20"/>
                <w:color w:val="auto"/>
              </w:rPr>
              <w:t>Product Lines</w:t>
            </w:r>
          </w:p>
        </w:tc>
        <w:tc>
          <w:tcPr>
            <w:tcW w:w="3900" w:type="dxa"/>
            <w:vAlign w:val="bottom"/>
            <w:gridSpan w:val="2"/>
          </w:tcPr>
          <w:p>
            <w:pPr>
              <w:jc w:val="center"/>
              <w:ind w:right="160"/>
              <w:spacing w:after="0"/>
              <w:rPr>
                <w:sz w:val="20"/>
                <w:szCs w:val="20"/>
                <w:color w:val="auto"/>
              </w:rPr>
            </w:pPr>
            <w:r>
              <w:rPr>
                <w:rFonts w:ascii="Arial" w:cs="Arial" w:eastAsia="Arial" w:hAnsi="Arial"/>
                <w:sz w:val="20"/>
                <w:szCs w:val="20"/>
                <w:color w:val="auto"/>
                <w:w w:val="88"/>
              </w:rPr>
              <w:t>Aggregates and Asphalt</w:t>
            </w:r>
          </w:p>
        </w:tc>
        <w:tc>
          <w:tcPr>
            <w:tcW w:w="4000" w:type="dxa"/>
            <w:vAlign w:val="bottom"/>
          </w:tcPr>
          <w:p>
            <w:pPr>
              <w:jc w:val="center"/>
              <w:spacing w:after="0"/>
              <w:rPr>
                <w:sz w:val="20"/>
                <w:szCs w:val="20"/>
                <w:color w:val="auto"/>
              </w:rPr>
            </w:pPr>
            <w:r>
              <w:rPr>
                <w:rFonts w:ascii="Arial" w:cs="Arial" w:eastAsia="Arial" w:hAnsi="Arial"/>
                <w:sz w:val="20"/>
                <w:szCs w:val="20"/>
                <w:color w:val="auto"/>
                <w:w w:val="89"/>
              </w:rPr>
              <w:t>Aggregates, Cement, Ready Mixed Concrete,</w:t>
            </w:r>
          </w:p>
        </w:tc>
      </w:tr>
      <w:tr>
        <w:trPr>
          <w:trHeight w:val="250"/>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90"/>
              </w:rPr>
              <w:t>Asphalt and Paving</w:t>
            </w:r>
          </w:p>
        </w:tc>
      </w:tr>
    </w:tbl>
    <w:p>
      <w:pPr>
        <w:spacing w:after="0" w:line="195" w:lineRule="exact"/>
        <w:rPr>
          <w:sz w:val="20"/>
          <w:szCs w:val="20"/>
          <w:color w:val="auto"/>
        </w:rPr>
      </w:pPr>
    </w:p>
    <w:p>
      <w:pPr>
        <w:jc w:val="both"/>
        <w:ind w:left="280"/>
        <w:spacing w:after="0" w:line="291" w:lineRule="auto"/>
        <w:rPr>
          <w:sz w:val="20"/>
          <w:szCs w:val="20"/>
          <w:color w:val="auto"/>
        </w:rPr>
      </w:pPr>
      <w:r>
        <w:rPr>
          <w:rFonts w:ascii="Arial" w:cs="Arial" w:eastAsia="Arial" w:hAnsi="Arial"/>
          <w:sz w:val="18"/>
          <w:szCs w:val="18"/>
          <w:color w:val="auto"/>
        </w:rPr>
        <w:t>The Company’s Magnesia Specialties business, which represents a separate reportable segment, has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280"/>
        <w:spacing w:after="0" w:line="271" w:lineRule="auto"/>
        <w:rPr>
          <w:sz w:val="20"/>
          <w:szCs w:val="20"/>
          <w:color w:val="auto"/>
        </w:rPr>
      </w:pPr>
      <w:r>
        <w:rPr>
          <w:rFonts w:ascii="Arial" w:cs="Arial" w:eastAsia="Arial" w:hAnsi="Arial"/>
          <w:sz w:val="18"/>
          <w:szCs w:val="18"/>
          <w:color w:val="auto"/>
        </w:rPr>
        <w:t>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The Company has continued to follow the accounting policies set forth in the audited consolidated financial statements and related notes thereto included in the Company’s Annual Report on Form 10-K for the year ended December 31, 2020.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and six months ended June 30, 2021 are not necessarily indicative of the results expected for other interim periods or the full year. The consolidated balance sheet at December 31, 2020 has been derived from the audited consolidated financial statements at that date but does not include all of the information and notes required by U.S. GAAP for complete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280"/>
        <w:spacing w:after="0" w:line="287" w:lineRule="auto"/>
        <w:rPr>
          <w:sz w:val="20"/>
          <w:szCs w:val="20"/>
          <w:color w:val="auto"/>
        </w:rPr>
      </w:pPr>
      <w:r>
        <w:rPr>
          <w:rFonts w:ascii="Arial" w:cs="Arial" w:eastAsia="Arial" w:hAnsi="Arial"/>
          <w:sz w:val="19"/>
          <w:szCs w:val="19"/>
          <w:color w:val="auto"/>
        </w:rPr>
        <w:t>financial statements. These consolidated financial statements should be read in conjunction with the audited consolidated financial statements and notes thereto included in the Company’s Annual Report on Form 10-K for the year ended December 31, 2020.</w:t>
      </w:r>
    </w:p>
    <w:p>
      <w:pPr>
        <w:spacing w:after="0" w:line="44" w:lineRule="exact"/>
        <w:rPr>
          <w:sz w:val="20"/>
          <w:szCs w:val="20"/>
          <w:color w:val="auto"/>
        </w:rPr>
      </w:pPr>
    </w:p>
    <w:p>
      <w:pPr>
        <w:jc w:val="both"/>
        <w:ind w:left="280"/>
        <w:spacing w:after="0" w:line="246" w:lineRule="auto"/>
        <w:rPr>
          <w:sz w:val="20"/>
          <w:szCs w:val="20"/>
          <w:color w:val="auto"/>
        </w:rPr>
      </w:pPr>
      <w:r>
        <w:rPr>
          <w:rFonts w:ascii="Arial" w:cs="Arial" w:eastAsia="Arial" w:hAnsi="Arial"/>
          <w:sz w:val="20"/>
          <w:szCs w:val="20"/>
          <w:color w:val="auto"/>
        </w:rPr>
        <w:t>The preparation of the Company’s consolidated financial statements requires management to make certain estimates and assumptions about future events. As future events and their effects cannot be fully determined with precision, actual results could differ significantly from estimates. Changes in estimates are reflected in the consolidated financial statements in the period in which the change in estimate occurs.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Reclassifications</w:t>
      </w:r>
    </w:p>
    <w:p>
      <w:pPr>
        <w:spacing w:after="0" w:line="114" w:lineRule="exact"/>
        <w:rPr>
          <w:sz w:val="20"/>
          <w:szCs w:val="20"/>
          <w:color w:val="auto"/>
        </w:rPr>
      </w:pPr>
    </w:p>
    <w:p>
      <w:pPr>
        <w:jc w:val="both"/>
        <w:ind w:left="280"/>
        <w:spacing w:after="0" w:line="269" w:lineRule="auto"/>
        <w:rPr>
          <w:sz w:val="20"/>
          <w:szCs w:val="20"/>
          <w:color w:val="auto"/>
        </w:rPr>
      </w:pPr>
      <w:r>
        <w:rPr>
          <w:rFonts w:ascii="Arial" w:cs="Arial" w:eastAsia="Arial" w:hAnsi="Arial"/>
          <w:sz w:val="19"/>
          <w:szCs w:val="19"/>
          <w:color w:val="auto"/>
        </w:rPr>
        <w:t xml:space="preserve">As of January 1, 2021, the Company reclassified accrued income taxes from </w:t>
      </w:r>
      <w:r>
        <w:rPr>
          <w:rFonts w:ascii="Arial" w:cs="Arial" w:eastAsia="Arial" w:hAnsi="Arial"/>
          <w:sz w:val="19"/>
          <w:szCs w:val="19"/>
          <w:i w:val="1"/>
          <w:iCs w:val="1"/>
          <w:color w:val="auto"/>
        </w:rPr>
        <w:t>Other current liabilities</w:t>
      </w:r>
      <w:r>
        <w:rPr>
          <w:rFonts w:ascii="Arial" w:cs="Arial" w:eastAsia="Arial" w:hAnsi="Arial"/>
          <w:sz w:val="19"/>
          <w:szCs w:val="19"/>
          <w:color w:val="auto"/>
        </w:rPr>
        <w:t xml:space="preserve"> to </w:t>
      </w:r>
      <w:r>
        <w:rPr>
          <w:rFonts w:ascii="Arial" w:cs="Arial" w:eastAsia="Arial" w:hAnsi="Arial"/>
          <w:sz w:val="19"/>
          <w:szCs w:val="19"/>
          <w:i w:val="1"/>
          <w:iCs w:val="1"/>
          <w:color w:val="auto"/>
        </w:rPr>
        <w:t>Accrued other taxes</w:t>
      </w:r>
      <w:r>
        <w:rPr>
          <w:rFonts w:ascii="Arial" w:cs="Arial" w:eastAsia="Arial" w:hAnsi="Arial"/>
          <w:sz w:val="19"/>
          <w:szCs w:val="19"/>
          <w:color w:val="auto"/>
        </w:rPr>
        <w:t xml:space="preserve"> on the Company’s consolidated balance sheet. Prior-year information has been reclassified to conform to current year presentation. The reclassification had no impact on the Company’s previously reported results of operations, financial position or cash flows.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Consolidated Comprehensive Earnings/Loss and Accumulated Other Comprehensive Loss</w:t>
      </w:r>
    </w:p>
    <w:p>
      <w:pPr>
        <w:spacing w:after="0" w:line="114" w:lineRule="exact"/>
        <w:rPr>
          <w:sz w:val="20"/>
          <w:szCs w:val="20"/>
          <w:color w:val="auto"/>
        </w:rPr>
      </w:pPr>
    </w:p>
    <w:p>
      <w:pPr>
        <w:jc w:val="both"/>
        <w:ind w:left="280"/>
        <w:spacing w:after="0" w:line="250" w:lineRule="auto"/>
        <w:rPr>
          <w:sz w:val="20"/>
          <w:szCs w:val="20"/>
          <w:color w:val="auto"/>
        </w:rPr>
      </w:pPr>
      <w:r>
        <w:rPr>
          <w:rFonts w:ascii="Arial" w:cs="Arial" w:eastAsia="Arial" w:hAnsi="Arial"/>
          <w:sz w:val="20"/>
          <w:szCs w:val="20"/>
          <w:color w:val="auto"/>
        </w:rPr>
        <w:t>Consolidated comprehensive earnings/loss and accumulated other comprehensive loss consist of consolidated net earnings; adjustments for the funded status of pension and postretirement benefit plans; and foreign currency translation adjustments; and are presented in the Company’s consolidated statements of earnings and comprehensive earnings.</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20"/>
          <w:szCs w:val="20"/>
          <w:color w:val="auto"/>
        </w:rPr>
        <w:t>Comprehensive earnings attributable to Martin Marietta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80" w:type="dxa"/>
            <w:vAlign w:val="bottom"/>
            <w:gridSpan w:val="5"/>
          </w:tcPr>
          <w:p>
            <w:pPr>
              <w:ind w:left="280"/>
              <w:spacing w:after="0"/>
              <w:rPr>
                <w:sz w:val="20"/>
                <w:szCs w:val="20"/>
                <w:color w:val="auto"/>
              </w:rPr>
            </w:pPr>
            <w:r>
              <w:rPr>
                <w:rFonts w:ascii="Arial" w:cs="Arial" w:eastAsia="Arial" w:hAnsi="Arial"/>
                <w:sz w:val="20"/>
                <w:szCs w:val="20"/>
                <w:color w:val="auto"/>
              </w:rPr>
              <w:t>Three Months Ended</w:t>
            </w:r>
          </w:p>
        </w:tc>
        <w:tc>
          <w:tcPr>
            <w:tcW w:w="260" w:type="dxa"/>
            <w:vAlign w:val="bottom"/>
          </w:tcPr>
          <w:p>
            <w:pPr>
              <w:spacing w:after="0"/>
              <w:rPr>
                <w:sz w:val="21"/>
                <w:szCs w:val="21"/>
                <w:color w:val="auto"/>
              </w:rPr>
            </w:pPr>
          </w:p>
        </w:tc>
        <w:tc>
          <w:tcPr>
            <w:tcW w:w="2680" w:type="dxa"/>
            <w:vAlign w:val="bottom"/>
            <w:gridSpan w:val="5"/>
          </w:tcPr>
          <w:p>
            <w:pPr>
              <w:ind w:left="420"/>
              <w:spacing w:after="0"/>
              <w:rPr>
                <w:sz w:val="20"/>
                <w:szCs w:val="20"/>
                <w:color w:val="auto"/>
              </w:rPr>
            </w:pPr>
            <w:r>
              <w:rPr>
                <w:rFonts w:ascii="Arial" w:cs="Arial" w:eastAsia="Arial" w:hAnsi="Arial"/>
                <w:sz w:val="20"/>
                <w:szCs w:val="20"/>
                <w:color w:val="auto"/>
              </w:rPr>
              <w:t>Six Months Ended</w:t>
            </w:r>
          </w:p>
        </w:tc>
      </w:tr>
      <w:tr>
        <w:trPr>
          <w:trHeight w:val="246"/>
        </w:trPr>
        <w:tc>
          <w:tcPr>
            <w:tcW w:w="5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2021</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2021</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2020</w:t>
            </w:r>
          </w:p>
        </w:tc>
        <w:tc>
          <w:tcPr>
            <w:tcW w:w="100" w:type="dxa"/>
            <w:vAlign w:val="bottom"/>
          </w:tcPr>
          <w:p>
            <w:pPr>
              <w:spacing w:after="0"/>
              <w:rPr>
                <w:sz w:val="20"/>
                <w:szCs w:val="20"/>
                <w:color w:val="auto"/>
              </w:rPr>
            </w:pPr>
          </w:p>
        </w:tc>
      </w:tr>
      <w:tr>
        <w:trPr>
          <w:trHeight w:val="236"/>
        </w:trPr>
        <w:tc>
          <w:tcPr>
            <w:tcW w:w="5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260"/>
              <w:spacing w:after="0"/>
              <w:rPr>
                <w:sz w:val="20"/>
                <w:szCs w:val="20"/>
                <w:color w:val="auto"/>
              </w:rPr>
            </w:pPr>
            <w:r>
              <w:rPr>
                <w:rFonts w:ascii="Arial" w:cs="Arial" w:eastAsia="Arial" w:hAnsi="Arial"/>
                <w:sz w:val="20"/>
                <w:szCs w:val="20"/>
                <w:i w:val="1"/>
                <w:iCs w:val="1"/>
                <w:color w:val="auto"/>
              </w:rPr>
              <w:t>(Dollars in Millions)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225.8</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291.1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243.5</w:t>
            </w:r>
          </w:p>
        </w:tc>
        <w:tc>
          <w:tcPr>
            <w:tcW w:w="100" w:type="dxa"/>
            <w:vAlign w:val="bottom"/>
            <w:shd w:val="clear" w:color="auto" w:fill="CFF0FC"/>
          </w:tcPr>
          <w:p>
            <w:pPr>
              <w:spacing w:after="0"/>
              <w:rPr>
                <w:sz w:val="21"/>
                <w:szCs w:val="21"/>
                <w:color w:val="auto"/>
              </w:rPr>
            </w:pPr>
          </w:p>
        </w:tc>
      </w:tr>
      <w:tr>
        <w:trPr>
          <w:trHeight w:val="243"/>
        </w:trPr>
        <w:tc>
          <w:tcPr>
            <w:tcW w:w="52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c>
          <w:tcPr>
            <w:tcW w:w="100" w:type="dxa"/>
            <w:vAlign w:val="bottom"/>
            <w:tcBorders>
              <w:bottom w:val="single" w:sz="8" w:color="CFF0FC"/>
            </w:tcBorders>
          </w:tcPr>
          <w:p>
            <w:pPr>
              <w:spacing w:after="0"/>
              <w:rPr>
                <w:sz w:val="21"/>
                <w:szCs w:val="21"/>
                <w:color w:val="auto"/>
              </w:rPr>
            </w:pPr>
          </w:p>
        </w:tc>
      </w:tr>
      <w:tr>
        <w:trPr>
          <w:trHeight w:val="220"/>
        </w:trPr>
        <w:tc>
          <w:tcPr>
            <w:tcW w:w="524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Comprehensive earnings attributable to Martin</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2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Marietta</w:t>
            </w: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228.4</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220.8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296.5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247.1</w:t>
            </w:r>
          </w:p>
        </w:tc>
        <w:tc>
          <w:tcPr>
            <w:tcW w:w="100" w:type="dxa"/>
            <w:vAlign w:val="bottom"/>
            <w:shd w:val="clear" w:color="auto" w:fill="CFF0FC"/>
          </w:tcPr>
          <w:p>
            <w:pPr>
              <w:spacing w:after="0"/>
              <w:rPr>
                <w:sz w:val="21"/>
                <w:szCs w:val="2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3" w:lineRule="exact"/>
        <w:rPr>
          <w:sz w:val="20"/>
          <w:szCs w:val="20"/>
          <w:color w:val="auto"/>
        </w:rPr>
      </w:pPr>
    </w:p>
    <w:p>
      <w:pPr>
        <w:ind w:left="280"/>
        <w:spacing w:after="0"/>
        <w:rPr>
          <w:sz w:val="20"/>
          <w:szCs w:val="20"/>
          <w:color w:val="auto"/>
        </w:rPr>
      </w:pPr>
      <w:r>
        <w:rPr>
          <w:rFonts w:ascii="Arial" w:cs="Arial" w:eastAsia="Arial" w:hAnsi="Arial"/>
          <w:sz w:val="20"/>
          <w:szCs w:val="20"/>
          <w:color w:val="auto"/>
        </w:rPr>
        <w:t>Changes in accumulated other comprehensive loss, net of tax,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9"/>
                <w:szCs w:val="19"/>
                <w:i w:val="1"/>
                <w:iCs w:val="1"/>
                <w:color w:val="auto"/>
                <w:w w:val="98"/>
              </w:rPr>
              <w:t>(Dollars in Millions)</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ind w:right="46"/>
              <w:spacing w:after="0" w:line="201" w:lineRule="exact"/>
              <w:rPr>
                <w:sz w:val="20"/>
                <w:szCs w:val="20"/>
                <w:color w:val="auto"/>
              </w:rPr>
            </w:pPr>
            <w:r>
              <w:rPr>
                <w:rFonts w:ascii="Arial" w:cs="Arial" w:eastAsia="Arial" w:hAnsi="Arial"/>
                <w:sz w:val="19"/>
                <w:szCs w:val="19"/>
                <w:color w:val="auto"/>
                <w:w w:val="91"/>
              </w:rPr>
              <w:t>Accumulated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300"/>
              <w:spacing w:after="0" w:line="216" w:lineRule="exact"/>
              <w:rPr>
                <w:sz w:val="20"/>
                <w:szCs w:val="20"/>
                <w:color w:val="auto"/>
              </w:rPr>
            </w:pPr>
            <w:r>
              <w:rPr>
                <w:rFonts w:ascii="Arial" w:cs="Arial" w:eastAsia="Arial" w:hAnsi="Arial"/>
                <w:sz w:val="19"/>
                <w:szCs w:val="19"/>
                <w:color w:val="auto"/>
                <w:w w:val="87"/>
              </w:rPr>
              <w:t>Pension and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300"/>
              <w:spacing w:after="0" w:line="216" w:lineRule="exact"/>
              <w:rPr>
                <w:sz w:val="20"/>
                <w:szCs w:val="20"/>
                <w:color w:val="auto"/>
              </w:rPr>
            </w:pPr>
            <w:r>
              <w:rPr>
                <w:rFonts w:ascii="Arial" w:cs="Arial" w:eastAsia="Arial" w:hAnsi="Arial"/>
                <w:sz w:val="19"/>
                <w:szCs w:val="19"/>
                <w:color w:val="auto"/>
                <w:w w:val="90"/>
              </w:rPr>
              <w:t>Postretirement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0"/>
              </w:rPr>
              <w:t>Comprehensive</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9"/>
                <w:szCs w:val="19"/>
                <w:color w:val="auto"/>
                <w:w w:val="89"/>
              </w:rPr>
              <w:t>Benefit Plans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gridSpan w:val="4"/>
          </w:tcPr>
          <w:p>
            <w:pPr>
              <w:jc w:val="center"/>
              <w:ind w:right="260"/>
              <w:spacing w:after="0"/>
              <w:rPr>
                <w:sz w:val="20"/>
                <w:szCs w:val="20"/>
                <w:color w:val="auto"/>
              </w:rPr>
            </w:pPr>
            <w:r>
              <w:rPr>
                <w:rFonts w:ascii="Arial" w:cs="Arial" w:eastAsia="Arial" w:hAnsi="Arial"/>
                <w:sz w:val="19"/>
                <w:szCs w:val="19"/>
                <w:color w:val="auto"/>
                <w:w w:val="91"/>
              </w:rPr>
              <w:t>Foreign Currency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9"/>
                <w:szCs w:val="19"/>
                <w:color w:val="auto"/>
                <w:w w:val="89"/>
              </w:rPr>
              <w:t>Loss</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900" w:type="dxa"/>
            <w:vAlign w:val="bottom"/>
            <w:tcBorders>
              <w:top w:val="single" w:sz="8" w:color="auto"/>
              <w:bottom w:val="single" w:sz="8" w:color="auto"/>
            </w:tcBorders>
            <w:gridSpan w:val="13"/>
          </w:tcPr>
          <w:p>
            <w:pPr>
              <w:jc w:val="center"/>
              <w:ind w:right="66"/>
              <w:spacing w:after="0"/>
              <w:rPr>
                <w:sz w:val="20"/>
                <w:szCs w:val="20"/>
                <w:color w:val="auto"/>
              </w:rPr>
            </w:pPr>
            <w:r>
              <w:rPr>
                <w:rFonts w:ascii="Arial" w:cs="Arial" w:eastAsia="Arial" w:hAnsi="Arial"/>
                <w:sz w:val="19"/>
                <w:szCs w:val="19"/>
                <w:color w:val="auto"/>
                <w:w w:val="89"/>
              </w:rPr>
              <w:t>Three Months Ended June 30, 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tcPr>
          <w:p>
            <w:pPr>
              <w:jc w:val="right"/>
              <w:ind w:right="80"/>
              <w:spacing w:after="0"/>
              <w:rPr>
                <w:sz w:val="20"/>
                <w:szCs w:val="20"/>
                <w:color w:val="auto"/>
              </w:rPr>
            </w:pPr>
            <w:r>
              <w:rPr>
                <w:rFonts w:ascii="Arial" w:cs="Arial" w:eastAsia="Arial" w:hAnsi="Arial"/>
                <w:sz w:val="19"/>
                <w:szCs w:val="19"/>
                <w:color w:val="auto"/>
              </w:rPr>
              <w:t>(155.6)</w:t>
            </w:r>
          </w:p>
        </w:tc>
        <w:tc>
          <w:tcPr>
            <w:tcW w:w="760" w:type="dxa"/>
            <w:vAlign w:val="bottom"/>
            <w:gridSpan w:val="3"/>
          </w:tcPr>
          <w:p>
            <w:pPr>
              <w:jc w:val="right"/>
              <w:ind w:right="466"/>
              <w:spacing w:after="0"/>
              <w:rPr>
                <w:sz w:val="20"/>
                <w:szCs w:val="20"/>
                <w:color w:val="auto"/>
              </w:rPr>
            </w:pPr>
            <w:r>
              <w:rPr>
                <w:rFonts w:ascii="Arial" w:cs="Arial" w:eastAsia="Arial" w:hAnsi="Arial"/>
                <w:sz w:val="19"/>
                <w:szCs w:val="19"/>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9"/>
                <w:szCs w:val="19"/>
                <w:color w:val="auto"/>
              </w:rPr>
              <w:t>—</w:t>
            </w:r>
          </w:p>
        </w:tc>
        <w:tc>
          <w:tcPr>
            <w:tcW w:w="140" w:type="dxa"/>
            <w:vAlign w:val="bottom"/>
            <w:gridSpan w:val="3"/>
          </w:tcPr>
          <w:p>
            <w:pPr>
              <w:jc w:val="right"/>
              <w:spacing w:after="0"/>
              <w:rPr>
                <w:sz w:val="20"/>
                <w:szCs w:val="20"/>
                <w:color w:val="auto"/>
              </w:rPr>
            </w:pPr>
            <w:r>
              <w:rPr>
                <w:rFonts w:ascii="Arial" w:cs="Arial" w:eastAsia="Arial" w:hAnsi="Arial"/>
                <w:sz w:val="19"/>
                <w:szCs w:val="19"/>
                <w:color w:val="auto"/>
                <w:w w:val="94"/>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(155.6)</w:t>
            </w:r>
          </w:p>
        </w:tc>
        <w:tc>
          <w:tcPr>
            <w:tcW w:w="0" w:type="dxa"/>
            <w:vAlign w:val="bottom"/>
          </w:tcPr>
          <w:p>
            <w:pPr>
              <w:spacing w:after="0"/>
              <w:rPr>
                <w:sz w:val="1"/>
                <w:szCs w:val="1"/>
                <w:color w:val="auto"/>
              </w:rPr>
            </w:pPr>
          </w:p>
        </w:tc>
      </w:tr>
      <w:tr>
        <w:trPr>
          <w:trHeight w:val="207"/>
        </w:trPr>
        <w:tc>
          <w:tcPr>
            <w:tcW w:w="608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Other comprehensive earnings before reclassifications,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0FC"/>
          </w:tcPr>
          <w:p>
            <w:pPr>
              <w:ind w:left="140"/>
              <w:spacing w:after="0"/>
              <w:rPr>
                <w:sz w:val="20"/>
                <w:szCs w:val="20"/>
                <w:color w:val="auto"/>
              </w:rPr>
            </w:pPr>
            <w:r>
              <w:rPr>
                <w:rFonts w:ascii="Arial" w:cs="Arial" w:eastAsia="Arial" w:hAnsi="Arial"/>
                <w:sz w:val="19"/>
                <w:szCs w:val="19"/>
                <w:color w:val="auto"/>
              </w:rPr>
              <w:t>net of tax</w:t>
            </w:r>
          </w:p>
        </w:tc>
        <w:tc>
          <w:tcPr>
            <w:tcW w:w="14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0.5</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 other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140"/>
              <w:spacing w:after="0"/>
              <w:rPr>
                <w:sz w:val="20"/>
                <w:szCs w:val="20"/>
                <w:color w:val="auto"/>
              </w:rPr>
            </w:pPr>
            <w:r>
              <w:rPr>
                <w:rFonts w:ascii="Arial" w:cs="Arial" w:eastAsia="Arial" w:hAnsi="Arial"/>
                <w:sz w:val="19"/>
                <w:szCs w:val="19"/>
                <w:color w:val="auto"/>
              </w:rPr>
              <w:t>comprehensive loss, net of tax</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9"/>
                <w:szCs w:val="19"/>
                <w:color w:val="auto"/>
              </w:rPr>
              <w:t>Other comprehensive earnings, net of tax</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2.1</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0.5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tcPr>
          <w:p>
            <w:pPr>
              <w:jc w:val="right"/>
              <w:ind w:right="80"/>
              <w:spacing w:after="0"/>
              <w:rPr>
                <w:sz w:val="20"/>
                <w:szCs w:val="20"/>
                <w:color w:val="auto"/>
              </w:rPr>
            </w:pPr>
            <w:r>
              <w:rPr>
                <w:rFonts w:ascii="Arial" w:cs="Arial" w:eastAsia="Arial" w:hAnsi="Arial"/>
                <w:sz w:val="19"/>
                <w:szCs w:val="19"/>
                <w:color w:val="auto"/>
              </w:rPr>
              <w:t>(153.5)</w:t>
            </w:r>
          </w:p>
        </w:tc>
        <w:tc>
          <w:tcPr>
            <w:tcW w:w="100" w:type="dxa"/>
            <w:vAlign w:val="bottom"/>
          </w:tcPr>
          <w:p>
            <w:pPr>
              <w:spacing w:after="0"/>
              <w:rPr>
                <w:sz w:val="19"/>
                <w:szCs w:val="19"/>
                <w:color w:val="auto"/>
              </w:rPr>
            </w:pPr>
          </w:p>
        </w:tc>
        <w:tc>
          <w:tcPr>
            <w:tcW w:w="660" w:type="dxa"/>
            <w:vAlign w:val="bottom"/>
            <w:gridSpan w:val="2"/>
          </w:tcPr>
          <w:p>
            <w:pPr>
              <w:jc w:val="right"/>
              <w:ind w:right="466"/>
              <w:spacing w:after="0"/>
              <w:rPr>
                <w:sz w:val="20"/>
                <w:szCs w:val="20"/>
                <w:color w:val="auto"/>
              </w:rPr>
            </w:pPr>
            <w:r>
              <w:rPr>
                <w:rFonts w:ascii="Arial" w:cs="Arial" w:eastAsia="Arial" w:hAnsi="Arial"/>
                <w:sz w:val="19"/>
                <w:szCs w:val="19"/>
                <w:color w:val="auto"/>
                <w:w w:val="75"/>
              </w:rPr>
              <w:t>$</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0.5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(153.0)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3"/>
          </w:tcPr>
          <w:p>
            <w:pPr>
              <w:jc w:val="center"/>
              <w:ind w:right="66"/>
              <w:spacing w:after="0"/>
              <w:rPr>
                <w:sz w:val="20"/>
                <w:szCs w:val="20"/>
                <w:color w:val="auto"/>
              </w:rPr>
            </w:pPr>
            <w:r>
              <w:rPr>
                <w:rFonts w:ascii="Arial" w:cs="Arial" w:eastAsia="Arial" w:hAnsi="Arial"/>
                <w:sz w:val="19"/>
                <w:szCs w:val="19"/>
                <w:color w:val="auto"/>
                <w:w w:val="89"/>
              </w:rPr>
              <w:t>Three Months Ended June 30, 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tcPr>
          <w:p>
            <w:pPr>
              <w:jc w:val="right"/>
              <w:ind w:right="80"/>
              <w:spacing w:after="0"/>
              <w:rPr>
                <w:sz w:val="20"/>
                <w:szCs w:val="20"/>
                <w:color w:val="auto"/>
              </w:rPr>
            </w:pPr>
            <w:r>
              <w:rPr>
                <w:rFonts w:ascii="Arial" w:cs="Arial" w:eastAsia="Arial" w:hAnsi="Arial"/>
                <w:sz w:val="19"/>
                <w:szCs w:val="19"/>
                <w:color w:val="auto"/>
              </w:rPr>
              <w:t>(142.4)</w:t>
            </w:r>
          </w:p>
        </w:tc>
        <w:tc>
          <w:tcPr>
            <w:tcW w:w="760" w:type="dxa"/>
            <w:vAlign w:val="bottom"/>
            <w:gridSpan w:val="3"/>
          </w:tcPr>
          <w:p>
            <w:pPr>
              <w:jc w:val="right"/>
              <w:ind w:right="466"/>
              <w:spacing w:after="0"/>
              <w:rPr>
                <w:sz w:val="20"/>
                <w:szCs w:val="20"/>
                <w:color w:val="auto"/>
              </w:rPr>
            </w:pPr>
            <w:r>
              <w:rPr>
                <w:rFonts w:ascii="Arial" w:cs="Arial" w:eastAsia="Arial" w:hAnsi="Arial"/>
                <w:sz w:val="19"/>
                <w:szCs w:val="19"/>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9"/>
                <w:szCs w:val="19"/>
                <w:color w:val="auto"/>
              </w:rPr>
              <w:t>(3.0)</w:t>
            </w:r>
          </w:p>
        </w:tc>
        <w:tc>
          <w:tcPr>
            <w:tcW w:w="140" w:type="dxa"/>
            <w:vAlign w:val="bottom"/>
            <w:gridSpan w:val="3"/>
          </w:tcPr>
          <w:p>
            <w:pPr>
              <w:jc w:val="right"/>
              <w:spacing w:after="0"/>
              <w:rPr>
                <w:sz w:val="20"/>
                <w:szCs w:val="20"/>
                <w:color w:val="auto"/>
              </w:rPr>
            </w:pPr>
            <w:r>
              <w:rPr>
                <w:rFonts w:ascii="Arial" w:cs="Arial" w:eastAsia="Arial" w:hAnsi="Arial"/>
                <w:sz w:val="19"/>
                <w:szCs w:val="19"/>
                <w:color w:val="auto"/>
                <w:w w:val="94"/>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(145.4)</w:t>
            </w:r>
          </w:p>
        </w:tc>
        <w:tc>
          <w:tcPr>
            <w:tcW w:w="0" w:type="dxa"/>
            <w:vAlign w:val="bottom"/>
          </w:tcPr>
          <w:p>
            <w:pPr>
              <w:spacing w:after="0"/>
              <w:rPr>
                <w:sz w:val="1"/>
                <w:szCs w:val="1"/>
                <w:color w:val="auto"/>
              </w:rPr>
            </w:pPr>
          </w:p>
        </w:tc>
      </w:tr>
      <w:tr>
        <w:trPr>
          <w:trHeight w:val="207"/>
        </w:trPr>
        <w:tc>
          <w:tcPr>
            <w:tcW w:w="608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Other comprehensive earnings before reclassifications,</w:t>
            </w:r>
          </w:p>
        </w:tc>
        <w:tc>
          <w:tcPr>
            <w:tcW w:w="140" w:type="dxa"/>
            <w:vAlign w:val="bottom"/>
            <w:shd w:val="clear" w:color="auto" w:fill="CFF2FA"/>
          </w:tcPr>
          <w:p>
            <w:pPr>
              <w:spacing w:after="0"/>
              <w:rPr>
                <w:sz w:val="18"/>
                <w:szCs w:val="18"/>
                <w:color w:val="auto"/>
              </w:rPr>
            </w:pPr>
          </w:p>
        </w:tc>
        <w:tc>
          <w:tcPr>
            <w:tcW w:w="134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6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2FA"/>
          </w:tcPr>
          <w:p>
            <w:pPr>
              <w:ind w:left="140"/>
              <w:spacing w:after="0"/>
              <w:rPr>
                <w:sz w:val="20"/>
                <w:szCs w:val="20"/>
                <w:color w:val="auto"/>
              </w:rPr>
            </w:pPr>
            <w:r>
              <w:rPr>
                <w:rFonts w:ascii="Arial" w:cs="Arial" w:eastAsia="Arial" w:hAnsi="Arial"/>
                <w:sz w:val="19"/>
                <w:szCs w:val="19"/>
                <w:color w:val="auto"/>
              </w:rPr>
              <w:t>net of tax</w:t>
            </w:r>
          </w:p>
        </w:tc>
        <w:tc>
          <w:tcPr>
            <w:tcW w:w="140" w:type="dxa"/>
            <w:vAlign w:val="bottom"/>
            <w:shd w:val="clear" w:color="auto" w:fill="CFF2FA"/>
          </w:tcPr>
          <w:p>
            <w:pPr>
              <w:spacing w:after="0"/>
              <w:rPr>
                <w:sz w:val="20"/>
                <w:szCs w:val="20"/>
                <w:color w:val="auto"/>
              </w:rPr>
            </w:pPr>
          </w:p>
        </w:tc>
        <w:tc>
          <w:tcPr>
            <w:tcW w:w="1500" w:type="dxa"/>
            <w:vAlign w:val="bottom"/>
            <w:gridSpan w:val="3"/>
            <w:shd w:val="clear" w:color="auto" w:fill="CFF2FA"/>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640" w:type="dxa"/>
            <w:vAlign w:val="bottom"/>
            <w:shd w:val="clear" w:color="auto" w:fill="CFF2FA"/>
          </w:tcPr>
          <w:p>
            <w:pPr>
              <w:spacing w:after="0"/>
              <w:rPr>
                <w:sz w:val="20"/>
                <w:szCs w:val="20"/>
                <w:color w:val="auto"/>
              </w:rPr>
            </w:pPr>
          </w:p>
        </w:tc>
        <w:tc>
          <w:tcPr>
            <w:tcW w:w="880" w:type="dxa"/>
            <w:vAlign w:val="bottom"/>
            <w:gridSpan w:val="2"/>
            <w:shd w:val="clear" w:color="auto" w:fill="CFF2FA"/>
          </w:tcPr>
          <w:p>
            <w:pPr>
              <w:jc w:val="right"/>
              <w:spacing w:after="0"/>
              <w:rPr>
                <w:sz w:val="20"/>
                <w:szCs w:val="20"/>
                <w:color w:val="auto"/>
              </w:rPr>
            </w:pPr>
            <w:r>
              <w:rPr>
                <w:rFonts w:ascii="Arial" w:cs="Arial" w:eastAsia="Arial" w:hAnsi="Arial"/>
                <w:sz w:val="19"/>
                <w:szCs w:val="19"/>
                <w:color w:val="auto"/>
              </w:rPr>
              <w:t>0.8</w:t>
            </w:r>
          </w:p>
        </w:tc>
        <w:tc>
          <w:tcPr>
            <w:tcW w:w="24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9"/>
                <w:szCs w:val="19"/>
                <w:color w:val="auto"/>
              </w:rPr>
              <w:t>0.8</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 other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140"/>
              <w:spacing w:after="0"/>
              <w:rPr>
                <w:sz w:val="20"/>
                <w:szCs w:val="20"/>
                <w:color w:val="auto"/>
              </w:rPr>
            </w:pPr>
            <w:r>
              <w:rPr>
                <w:rFonts w:ascii="Arial" w:cs="Arial" w:eastAsia="Arial" w:hAnsi="Arial"/>
                <w:sz w:val="19"/>
                <w:szCs w:val="19"/>
                <w:color w:val="auto"/>
              </w:rPr>
              <w:t>comprehensive loss, net of tax</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9"/>
                <w:szCs w:val="19"/>
                <w:color w:val="auto"/>
              </w:rPr>
              <w:t>Other comprehensive earnings, net of tax</w:t>
            </w:r>
          </w:p>
        </w:tc>
        <w:tc>
          <w:tcPr>
            <w:tcW w:w="140" w:type="dxa"/>
            <w:vAlign w:val="bottom"/>
            <w:tcBorders>
              <w:top w:val="single" w:sz="8" w:color="auto"/>
              <w:bottom w:val="single" w:sz="8" w:color="auto"/>
            </w:tcBorders>
            <w:shd w:val="clear" w:color="auto" w:fill="CFF2FA"/>
          </w:tcPr>
          <w:p>
            <w:pPr>
              <w:spacing w:after="0"/>
              <w:rPr>
                <w:sz w:val="19"/>
                <w:szCs w:val="19"/>
                <w:color w:val="auto"/>
              </w:rPr>
            </w:pPr>
          </w:p>
        </w:tc>
        <w:tc>
          <w:tcPr>
            <w:tcW w:w="13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2.4</w:t>
            </w:r>
          </w:p>
        </w:tc>
        <w:tc>
          <w:tcPr>
            <w:tcW w:w="2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c>
          <w:tcPr>
            <w:tcW w:w="20" w:type="dxa"/>
            <w:vAlign w:val="bottom"/>
            <w:tcBorders>
              <w:top w:val="single" w:sz="8" w:color="auto"/>
              <w:bottom w:val="single" w:sz="8" w:color="auto"/>
            </w:tcBorders>
            <w:shd w:val="clear" w:color="auto" w:fill="CFF2FA"/>
          </w:tcPr>
          <w:p>
            <w:pPr>
              <w:spacing w:after="0"/>
              <w:rPr>
                <w:sz w:val="19"/>
                <w:szCs w:val="19"/>
                <w:color w:val="auto"/>
              </w:rPr>
            </w:pPr>
          </w:p>
        </w:tc>
        <w:tc>
          <w:tcPr>
            <w:tcW w:w="640" w:type="dxa"/>
            <w:vAlign w:val="bottom"/>
            <w:tcBorders>
              <w:top w:val="single" w:sz="8" w:color="auto"/>
              <w:bottom w:val="single" w:sz="8" w:color="auto"/>
            </w:tcBorders>
            <w:shd w:val="clear" w:color="auto" w:fill="CFF2FA"/>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2FA"/>
          </w:tcPr>
          <w:p>
            <w:pPr>
              <w:jc w:val="right"/>
              <w:spacing w:after="0"/>
              <w:rPr>
                <w:sz w:val="20"/>
                <w:szCs w:val="20"/>
                <w:color w:val="auto"/>
              </w:rPr>
            </w:pPr>
            <w:r>
              <w:rPr>
                <w:rFonts w:ascii="Arial" w:cs="Arial" w:eastAsia="Arial" w:hAnsi="Arial"/>
                <w:sz w:val="19"/>
                <w:szCs w:val="19"/>
                <w:color w:val="auto"/>
              </w:rPr>
              <w:t>0.8</w:t>
            </w:r>
          </w:p>
        </w:tc>
        <w:tc>
          <w:tcPr>
            <w:tcW w:w="240" w:type="dxa"/>
            <w:vAlign w:val="bottom"/>
            <w:tcBorders>
              <w:top w:val="single" w:sz="8" w:color="CFF2FA"/>
            </w:tcBorders>
            <w:shd w:val="clear" w:color="auto" w:fill="CFF2FA"/>
          </w:tcPr>
          <w:p>
            <w:pPr>
              <w:spacing w:after="0"/>
              <w:rPr>
                <w:sz w:val="19"/>
                <w:szCs w:val="19"/>
                <w:color w:val="auto"/>
              </w:rPr>
            </w:pPr>
          </w:p>
        </w:tc>
        <w:tc>
          <w:tcPr>
            <w:tcW w:w="20" w:type="dxa"/>
            <w:vAlign w:val="bottom"/>
            <w:tcBorders>
              <w:top w:val="single" w:sz="8" w:color="CFF2FA"/>
            </w:tcBorders>
            <w:shd w:val="clear" w:color="auto" w:fill="CFF2FA"/>
          </w:tcPr>
          <w:p>
            <w:pPr>
              <w:spacing w:after="0"/>
              <w:rPr>
                <w:sz w:val="19"/>
                <w:szCs w:val="19"/>
                <w:color w:val="auto"/>
              </w:rPr>
            </w:pPr>
          </w:p>
        </w:tc>
        <w:tc>
          <w:tcPr>
            <w:tcW w:w="2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3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3.2</w:t>
            </w:r>
          </w:p>
        </w:tc>
        <w:tc>
          <w:tcPr>
            <w:tcW w:w="1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tcPr>
          <w:p>
            <w:pPr>
              <w:jc w:val="right"/>
              <w:ind w:right="80"/>
              <w:spacing w:after="0"/>
              <w:rPr>
                <w:sz w:val="20"/>
                <w:szCs w:val="20"/>
                <w:color w:val="auto"/>
              </w:rPr>
            </w:pPr>
            <w:r>
              <w:rPr>
                <w:rFonts w:ascii="Arial" w:cs="Arial" w:eastAsia="Arial" w:hAnsi="Arial"/>
                <w:sz w:val="19"/>
                <w:szCs w:val="19"/>
                <w:color w:val="auto"/>
              </w:rPr>
              <w:t>(140.0)</w:t>
            </w:r>
          </w:p>
        </w:tc>
        <w:tc>
          <w:tcPr>
            <w:tcW w:w="100" w:type="dxa"/>
            <w:vAlign w:val="bottom"/>
          </w:tcPr>
          <w:p>
            <w:pPr>
              <w:spacing w:after="0"/>
              <w:rPr>
                <w:sz w:val="19"/>
                <w:szCs w:val="19"/>
                <w:color w:val="auto"/>
              </w:rPr>
            </w:pPr>
          </w:p>
        </w:tc>
        <w:tc>
          <w:tcPr>
            <w:tcW w:w="660" w:type="dxa"/>
            <w:vAlign w:val="bottom"/>
            <w:gridSpan w:val="2"/>
          </w:tcPr>
          <w:p>
            <w:pPr>
              <w:jc w:val="right"/>
              <w:ind w:right="466"/>
              <w:spacing w:after="0"/>
              <w:rPr>
                <w:sz w:val="20"/>
                <w:szCs w:val="20"/>
                <w:color w:val="auto"/>
              </w:rPr>
            </w:pPr>
            <w:r>
              <w:rPr>
                <w:rFonts w:ascii="Arial" w:cs="Arial" w:eastAsia="Arial" w:hAnsi="Arial"/>
                <w:sz w:val="19"/>
                <w:szCs w:val="19"/>
                <w:color w:val="auto"/>
                <w:w w:val="75"/>
              </w:rPr>
              <w:t>$</w:t>
            </w:r>
          </w:p>
        </w:tc>
        <w:tc>
          <w:tcPr>
            <w:tcW w:w="1120" w:type="dxa"/>
            <w:vAlign w:val="bottom"/>
            <w:gridSpan w:val="3"/>
          </w:tcPr>
          <w:p>
            <w:pPr>
              <w:jc w:val="right"/>
              <w:ind w:right="180"/>
              <w:spacing w:after="0"/>
              <w:rPr>
                <w:sz w:val="20"/>
                <w:szCs w:val="20"/>
                <w:color w:val="auto"/>
              </w:rPr>
            </w:pPr>
            <w:r>
              <w:rPr>
                <w:rFonts w:ascii="Arial" w:cs="Arial" w:eastAsia="Arial" w:hAnsi="Arial"/>
                <w:sz w:val="19"/>
                <w:szCs w:val="19"/>
                <w:color w:val="auto"/>
              </w:rPr>
              <w:t>(2.2)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(142.2)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9"/>
                <w:szCs w:val="19"/>
                <w:i w:val="1"/>
                <w:iCs w:val="1"/>
                <w:color w:val="auto"/>
                <w:w w:val="98"/>
              </w:rPr>
              <w:t>(Dollars in Millions)</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ind w:right="46"/>
              <w:spacing w:after="0" w:line="201" w:lineRule="exact"/>
              <w:rPr>
                <w:sz w:val="20"/>
                <w:szCs w:val="20"/>
                <w:color w:val="auto"/>
              </w:rPr>
            </w:pPr>
            <w:r>
              <w:rPr>
                <w:rFonts w:ascii="Arial" w:cs="Arial" w:eastAsia="Arial" w:hAnsi="Arial"/>
                <w:sz w:val="19"/>
                <w:szCs w:val="19"/>
                <w:color w:val="auto"/>
                <w:w w:val="91"/>
              </w:rPr>
              <w:t>Accumulated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300"/>
              <w:spacing w:after="0" w:line="216" w:lineRule="exact"/>
              <w:rPr>
                <w:sz w:val="20"/>
                <w:szCs w:val="20"/>
                <w:color w:val="auto"/>
              </w:rPr>
            </w:pPr>
            <w:r>
              <w:rPr>
                <w:rFonts w:ascii="Arial" w:cs="Arial" w:eastAsia="Arial" w:hAnsi="Arial"/>
                <w:sz w:val="19"/>
                <w:szCs w:val="19"/>
                <w:color w:val="auto"/>
                <w:w w:val="87"/>
              </w:rPr>
              <w:t>Pension and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280"/>
              <w:spacing w:after="0" w:line="216" w:lineRule="exact"/>
              <w:rPr>
                <w:sz w:val="20"/>
                <w:szCs w:val="20"/>
                <w:color w:val="auto"/>
              </w:rPr>
            </w:pPr>
            <w:r>
              <w:rPr>
                <w:rFonts w:ascii="Arial" w:cs="Arial" w:eastAsia="Arial" w:hAnsi="Arial"/>
                <w:sz w:val="19"/>
                <w:szCs w:val="19"/>
                <w:color w:val="auto"/>
                <w:w w:val="89"/>
              </w:rPr>
              <w:t>Postretirement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80"/>
              <w:spacing w:after="0" w:line="216" w:lineRule="exact"/>
              <w:rPr>
                <w:sz w:val="20"/>
                <w:szCs w:val="20"/>
                <w:color w:val="auto"/>
              </w:rPr>
            </w:pPr>
            <w:r>
              <w:rPr>
                <w:rFonts w:ascii="Arial" w:cs="Arial" w:eastAsia="Arial" w:hAnsi="Arial"/>
                <w:sz w:val="19"/>
                <w:szCs w:val="19"/>
                <w:color w:val="auto"/>
                <w:w w:val="88"/>
              </w:rPr>
              <w:t>Comprehensive</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9"/>
                <w:szCs w:val="19"/>
                <w:color w:val="auto"/>
                <w:w w:val="91"/>
              </w:rPr>
              <w:t>Benefit Plans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gridSpan w:val="4"/>
          </w:tcPr>
          <w:p>
            <w:pPr>
              <w:jc w:val="center"/>
              <w:ind w:right="260"/>
              <w:spacing w:after="0"/>
              <w:rPr>
                <w:sz w:val="20"/>
                <w:szCs w:val="20"/>
                <w:color w:val="auto"/>
              </w:rPr>
            </w:pPr>
            <w:r>
              <w:rPr>
                <w:rFonts w:ascii="Arial" w:cs="Arial" w:eastAsia="Arial" w:hAnsi="Arial"/>
                <w:sz w:val="19"/>
                <w:szCs w:val="19"/>
                <w:color w:val="auto"/>
                <w:w w:val="91"/>
              </w:rPr>
              <w:t>Foreign Currency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9"/>
                <w:szCs w:val="19"/>
                <w:color w:val="auto"/>
                <w:w w:val="89"/>
              </w:rPr>
              <w:t>Loss</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FF2FA"/>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900" w:type="dxa"/>
            <w:vAlign w:val="bottom"/>
            <w:tcBorders>
              <w:top w:val="single" w:sz="8" w:color="auto"/>
              <w:bottom w:val="single" w:sz="8" w:color="auto"/>
            </w:tcBorders>
            <w:gridSpan w:val="13"/>
          </w:tcPr>
          <w:p>
            <w:pPr>
              <w:jc w:val="center"/>
              <w:ind w:right="66"/>
              <w:spacing w:after="0"/>
              <w:rPr>
                <w:sz w:val="20"/>
                <w:szCs w:val="20"/>
                <w:color w:val="auto"/>
              </w:rPr>
            </w:pPr>
            <w:r>
              <w:rPr>
                <w:rFonts w:ascii="Arial" w:cs="Arial" w:eastAsia="Arial" w:hAnsi="Arial"/>
                <w:sz w:val="19"/>
                <w:szCs w:val="19"/>
                <w:color w:val="auto"/>
                <w:w w:val="89"/>
              </w:rPr>
              <w:t>Six Months Ended June 30, 2021</w:t>
            </w:r>
          </w:p>
        </w:tc>
        <w:tc>
          <w:tcPr>
            <w:tcW w:w="1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2FA"/>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shd w:val="clear" w:color="auto" w:fill="CFF2FA"/>
          </w:tcPr>
          <w:p>
            <w:pPr>
              <w:jc w:val="right"/>
              <w:ind w:right="80"/>
              <w:spacing w:after="0"/>
              <w:rPr>
                <w:sz w:val="20"/>
                <w:szCs w:val="20"/>
                <w:color w:val="auto"/>
              </w:rPr>
            </w:pPr>
            <w:r>
              <w:rPr>
                <w:rFonts w:ascii="Arial" w:cs="Arial" w:eastAsia="Arial" w:hAnsi="Arial"/>
                <w:sz w:val="19"/>
                <w:szCs w:val="19"/>
                <w:color w:val="auto"/>
              </w:rPr>
              <w:t>(158.1)</w:t>
            </w:r>
          </w:p>
        </w:tc>
        <w:tc>
          <w:tcPr>
            <w:tcW w:w="760" w:type="dxa"/>
            <w:vAlign w:val="bottom"/>
            <w:gridSpan w:val="3"/>
            <w:shd w:val="clear" w:color="auto" w:fill="CFF2FA"/>
          </w:tcPr>
          <w:p>
            <w:pPr>
              <w:jc w:val="right"/>
              <w:ind w:right="446"/>
              <w:spacing w:after="0"/>
              <w:rPr>
                <w:sz w:val="20"/>
                <w:szCs w:val="20"/>
                <w:color w:val="auto"/>
              </w:rPr>
            </w:pPr>
            <w:r>
              <w:rPr>
                <w:rFonts w:ascii="Arial" w:cs="Arial" w:eastAsia="Arial" w:hAnsi="Arial"/>
                <w:sz w:val="19"/>
                <w:szCs w:val="19"/>
                <w:color w:val="auto"/>
              </w:rPr>
              <w:t>$</w:t>
            </w:r>
          </w:p>
        </w:tc>
        <w:tc>
          <w:tcPr>
            <w:tcW w:w="1120" w:type="dxa"/>
            <w:vAlign w:val="bottom"/>
            <w:gridSpan w:val="3"/>
            <w:shd w:val="clear" w:color="auto" w:fill="CFF2FA"/>
          </w:tcPr>
          <w:p>
            <w:pPr>
              <w:jc w:val="right"/>
              <w:ind w:right="180"/>
              <w:spacing w:after="0"/>
              <w:rPr>
                <w:sz w:val="20"/>
                <w:szCs w:val="20"/>
                <w:color w:val="auto"/>
              </w:rPr>
            </w:pPr>
            <w:r>
              <w:rPr>
                <w:rFonts w:ascii="Arial" w:cs="Arial" w:eastAsia="Arial" w:hAnsi="Arial"/>
                <w:sz w:val="19"/>
                <w:szCs w:val="19"/>
                <w:color w:val="auto"/>
              </w:rPr>
              <w:t>(0.3)</w:t>
            </w:r>
          </w:p>
        </w:tc>
        <w:tc>
          <w:tcPr>
            <w:tcW w:w="140" w:type="dxa"/>
            <w:vAlign w:val="bottom"/>
            <w:gridSpan w:val="3"/>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(158.4)</w:t>
            </w: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Other comprehensive earnings before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140"/>
              <w:spacing w:after="0"/>
              <w:rPr>
                <w:sz w:val="20"/>
                <w:szCs w:val="20"/>
                <w:color w:val="auto"/>
              </w:rPr>
            </w:pPr>
            <w:r>
              <w:rPr>
                <w:rFonts w:ascii="Arial" w:cs="Arial" w:eastAsia="Arial" w:hAnsi="Arial"/>
                <w:sz w:val="19"/>
                <w:szCs w:val="19"/>
                <w:color w:val="auto"/>
              </w:rPr>
              <w:t>reclassifications, net of tax</w:t>
            </w:r>
          </w:p>
        </w:tc>
        <w:tc>
          <w:tcPr>
            <w:tcW w:w="140" w:type="dxa"/>
            <w:vAlign w:val="bottom"/>
          </w:tcPr>
          <w:p>
            <w:pPr>
              <w:spacing w:after="0"/>
              <w:rPr>
                <w:sz w:val="20"/>
                <w:szCs w:val="20"/>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0.8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Amounts reclassified from accumulated</w:t>
            </w:r>
          </w:p>
        </w:tc>
        <w:tc>
          <w:tcPr>
            <w:tcW w:w="140" w:type="dxa"/>
            <w:vAlign w:val="bottom"/>
            <w:shd w:val="clear" w:color="auto" w:fill="CFF2FA"/>
          </w:tcPr>
          <w:p>
            <w:pPr>
              <w:spacing w:after="0"/>
              <w:rPr>
                <w:sz w:val="18"/>
                <w:szCs w:val="18"/>
                <w:color w:val="auto"/>
              </w:rPr>
            </w:pPr>
          </w:p>
        </w:tc>
        <w:tc>
          <w:tcPr>
            <w:tcW w:w="134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6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2FA"/>
          </w:tcPr>
          <w:p>
            <w:pPr>
              <w:ind w:left="140"/>
              <w:spacing w:after="0"/>
              <w:rPr>
                <w:sz w:val="20"/>
                <w:szCs w:val="20"/>
                <w:color w:val="auto"/>
              </w:rPr>
            </w:pPr>
            <w:r>
              <w:rPr>
                <w:rFonts w:ascii="Arial" w:cs="Arial" w:eastAsia="Arial" w:hAnsi="Arial"/>
                <w:sz w:val="19"/>
                <w:szCs w:val="19"/>
                <w:color w:val="auto"/>
              </w:rPr>
              <w:t>other comprehensive loss, net of tax</w:t>
            </w:r>
          </w:p>
        </w:tc>
        <w:tc>
          <w:tcPr>
            <w:tcW w:w="140" w:type="dxa"/>
            <w:vAlign w:val="bottom"/>
            <w:shd w:val="clear" w:color="auto" w:fill="CFF2FA"/>
          </w:tcPr>
          <w:p>
            <w:pPr>
              <w:spacing w:after="0"/>
              <w:rPr>
                <w:sz w:val="20"/>
                <w:szCs w:val="20"/>
                <w:color w:val="auto"/>
              </w:rPr>
            </w:pPr>
          </w:p>
        </w:tc>
        <w:tc>
          <w:tcPr>
            <w:tcW w:w="1360" w:type="dxa"/>
            <w:vAlign w:val="bottom"/>
            <w:gridSpan w:val="2"/>
            <w:shd w:val="clear" w:color="auto" w:fill="CFF2FA"/>
          </w:tcPr>
          <w:p>
            <w:pPr>
              <w:jc w:val="right"/>
              <w:ind w:right="20"/>
              <w:spacing w:after="0"/>
              <w:rPr>
                <w:sz w:val="20"/>
                <w:szCs w:val="20"/>
                <w:color w:val="auto"/>
              </w:rPr>
            </w:pPr>
            <w:r>
              <w:rPr>
                <w:rFonts w:ascii="Arial" w:cs="Arial" w:eastAsia="Arial" w:hAnsi="Arial"/>
                <w:sz w:val="19"/>
                <w:szCs w:val="19"/>
                <w:color w:val="auto"/>
              </w:rPr>
              <w:t>4.6</w:t>
            </w:r>
          </w:p>
        </w:tc>
        <w:tc>
          <w:tcPr>
            <w:tcW w:w="14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640" w:type="dxa"/>
            <w:vAlign w:val="bottom"/>
            <w:shd w:val="clear" w:color="auto" w:fill="CFF2FA"/>
          </w:tcPr>
          <w:p>
            <w:pPr>
              <w:spacing w:after="0"/>
              <w:rPr>
                <w:sz w:val="20"/>
                <w:szCs w:val="20"/>
                <w:color w:val="auto"/>
              </w:rPr>
            </w:pPr>
          </w:p>
        </w:tc>
        <w:tc>
          <w:tcPr>
            <w:tcW w:w="1120" w:type="dxa"/>
            <w:vAlign w:val="bottom"/>
            <w:gridSpan w:val="3"/>
            <w:shd w:val="clear" w:color="auto" w:fill="CFF2FA"/>
          </w:tcPr>
          <w:p>
            <w:pPr>
              <w:jc w:val="right"/>
              <w:ind w:right="260"/>
              <w:spacing w:after="0"/>
              <w:rPr>
                <w:sz w:val="20"/>
                <w:szCs w:val="20"/>
                <w:color w:val="auto"/>
              </w:rPr>
            </w:pPr>
            <w:r>
              <w:rPr>
                <w:rFonts w:ascii="Arial" w:cs="Arial" w:eastAsia="Arial" w:hAnsi="Arial"/>
                <w:sz w:val="19"/>
                <w:szCs w:val="19"/>
                <w:color w:val="auto"/>
              </w:rPr>
              <w:t>—</w:t>
            </w:r>
          </w:p>
        </w:tc>
        <w:tc>
          <w:tcPr>
            <w:tcW w:w="2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9"/>
                <w:szCs w:val="19"/>
                <w:color w:val="auto"/>
              </w:rPr>
              <w:t>4.6</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FF2FA"/>
            </w:tcBorders>
          </w:tcPr>
          <w:p>
            <w:pPr>
              <w:spacing w:after="0"/>
              <w:rPr>
                <w:sz w:val="20"/>
                <w:szCs w:val="20"/>
                <w:color w:val="auto"/>
              </w:rPr>
            </w:pPr>
            <w:r>
              <w:rPr>
                <w:rFonts w:ascii="Arial" w:cs="Arial" w:eastAsia="Arial" w:hAnsi="Arial"/>
                <w:sz w:val="19"/>
                <w:szCs w:val="19"/>
                <w:color w:val="auto"/>
              </w:rPr>
              <w:t>Other comprehensive earnings, net of tax</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4.6</w:t>
            </w:r>
          </w:p>
        </w:tc>
        <w:tc>
          <w:tcPr>
            <w:tcW w:w="140" w:type="dxa"/>
            <w:vAlign w:val="bottom"/>
            <w:tcBorders>
              <w:bottom w:val="single" w:sz="8" w:color="CFF2FA"/>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c>
          <w:tcPr>
            <w:tcW w:w="20" w:type="dxa"/>
            <w:vAlign w:val="bottom"/>
            <w:tcBorders>
              <w:bottom w:val="single" w:sz="8" w:color="CFF2FA"/>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0.8</w:t>
            </w:r>
          </w:p>
        </w:tc>
        <w:tc>
          <w:tcPr>
            <w:tcW w:w="20" w:type="dxa"/>
            <w:vAlign w:val="bottom"/>
            <w:tcBorders>
              <w:bottom w:val="single" w:sz="8" w:color="CFF2FA"/>
            </w:tcBorders>
          </w:tcPr>
          <w:p>
            <w:pPr>
              <w:spacing w:after="0"/>
              <w:rPr>
                <w:sz w:val="19"/>
                <w:szCs w:val="19"/>
                <w:color w:val="auto"/>
              </w:rPr>
            </w:pPr>
          </w:p>
        </w:tc>
        <w:tc>
          <w:tcPr>
            <w:tcW w:w="240" w:type="dxa"/>
            <w:vAlign w:val="bottom"/>
            <w:tcBorders>
              <w:bottom w:val="single" w:sz="8" w:color="CFF2FA"/>
            </w:tcBorders>
          </w:tcPr>
          <w:p>
            <w:pPr>
              <w:spacing w:after="0"/>
              <w:rPr>
                <w:sz w:val="19"/>
                <w:szCs w:val="19"/>
                <w:color w:val="auto"/>
              </w:rPr>
            </w:pPr>
          </w:p>
        </w:tc>
        <w:tc>
          <w:tcPr>
            <w:tcW w:w="20" w:type="dxa"/>
            <w:vAlign w:val="bottom"/>
            <w:tcBorders>
              <w:bottom w:val="single" w:sz="8" w:color="CFF2FA"/>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5.4</w:t>
            </w:r>
          </w:p>
        </w:tc>
        <w:tc>
          <w:tcPr>
            <w:tcW w:w="1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2FA"/>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shd w:val="clear" w:color="auto" w:fill="CFF2FA"/>
          </w:tcPr>
          <w:p>
            <w:pPr>
              <w:jc w:val="right"/>
              <w:ind w:right="80"/>
              <w:spacing w:after="0"/>
              <w:rPr>
                <w:sz w:val="20"/>
                <w:szCs w:val="20"/>
                <w:color w:val="auto"/>
              </w:rPr>
            </w:pPr>
            <w:r>
              <w:rPr>
                <w:rFonts w:ascii="Arial" w:cs="Arial" w:eastAsia="Arial" w:hAnsi="Arial"/>
                <w:sz w:val="19"/>
                <w:szCs w:val="19"/>
                <w:color w:val="auto"/>
              </w:rPr>
              <w:t>(153.5)</w:t>
            </w:r>
          </w:p>
        </w:tc>
        <w:tc>
          <w:tcPr>
            <w:tcW w:w="120" w:type="dxa"/>
            <w:vAlign w:val="bottom"/>
            <w:gridSpan w:val="2"/>
            <w:shd w:val="clear" w:color="auto" w:fill="CFF2FA"/>
          </w:tcPr>
          <w:p>
            <w:pPr>
              <w:spacing w:after="0"/>
              <w:rPr>
                <w:sz w:val="19"/>
                <w:szCs w:val="19"/>
                <w:color w:val="auto"/>
              </w:rPr>
            </w:pPr>
          </w:p>
        </w:tc>
        <w:tc>
          <w:tcPr>
            <w:tcW w:w="640" w:type="dxa"/>
            <w:vAlign w:val="bottom"/>
            <w:shd w:val="clear" w:color="auto" w:fill="CFF2FA"/>
          </w:tcPr>
          <w:p>
            <w:pPr>
              <w:jc w:val="right"/>
              <w:ind w:right="446"/>
              <w:spacing w:after="0"/>
              <w:rPr>
                <w:sz w:val="20"/>
                <w:szCs w:val="20"/>
                <w:color w:val="auto"/>
              </w:rPr>
            </w:pPr>
            <w:r>
              <w:rPr>
                <w:rFonts w:ascii="Arial" w:cs="Arial" w:eastAsia="Arial" w:hAnsi="Arial"/>
                <w:sz w:val="19"/>
                <w:szCs w:val="19"/>
                <w:color w:val="auto"/>
                <w:w w:val="75"/>
              </w:rPr>
              <w:t>$</w:t>
            </w:r>
          </w:p>
        </w:tc>
        <w:tc>
          <w:tcPr>
            <w:tcW w:w="860" w:type="dxa"/>
            <w:vAlign w:val="bottom"/>
            <w:shd w:val="clear" w:color="auto" w:fill="CFF2FA"/>
          </w:tcPr>
          <w:p>
            <w:pPr>
              <w:jc w:val="right"/>
              <w:spacing w:after="0"/>
              <w:rPr>
                <w:sz w:val="20"/>
                <w:szCs w:val="20"/>
                <w:color w:val="auto"/>
              </w:rPr>
            </w:pPr>
            <w:r>
              <w:rPr>
                <w:rFonts w:ascii="Arial" w:cs="Arial" w:eastAsia="Arial" w:hAnsi="Arial"/>
                <w:sz w:val="19"/>
                <w:szCs w:val="19"/>
                <w:color w:val="auto"/>
              </w:rPr>
              <w:t>0.5</w:t>
            </w:r>
          </w:p>
        </w:tc>
        <w:tc>
          <w:tcPr>
            <w:tcW w:w="2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20" w:type="dxa"/>
            <w:vAlign w:val="bottom"/>
            <w:gridSpan w:val="2"/>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(153.0)</w:t>
            </w:r>
          </w:p>
        </w:tc>
        <w:tc>
          <w:tcPr>
            <w:tcW w:w="0" w:type="dxa"/>
            <w:vAlign w:val="bottom"/>
          </w:tcPr>
          <w:p>
            <w:pPr>
              <w:spacing w:after="0"/>
              <w:rPr>
                <w:sz w:val="1"/>
                <w:szCs w:val="1"/>
                <w:color w:val="auto"/>
              </w:rPr>
            </w:pPr>
          </w:p>
        </w:tc>
      </w:tr>
      <w:tr>
        <w:trPr>
          <w:trHeight w:val="20"/>
        </w:trPr>
        <w:tc>
          <w:tcPr>
            <w:tcW w:w="60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2FA"/>
            </w:tcBorders>
            <w:gridSpan w:val="3"/>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2FA"/>
            </w:tcBorders>
            <w:gridSpan w:val="3"/>
          </w:tcPr>
          <w:p>
            <w:pPr>
              <w:spacing w:after="0" w:line="20" w:lineRule="exact"/>
              <w:rPr>
                <w:sz w:val="1"/>
                <w:szCs w:val="1"/>
                <w:color w:val="auto"/>
              </w:rPr>
            </w:pPr>
          </w:p>
        </w:tc>
        <w:tc>
          <w:tcPr>
            <w:tcW w:w="15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3"/>
          </w:tcPr>
          <w:p>
            <w:pPr>
              <w:jc w:val="center"/>
              <w:ind w:right="66"/>
              <w:spacing w:after="0"/>
              <w:rPr>
                <w:sz w:val="20"/>
                <w:szCs w:val="20"/>
                <w:color w:val="auto"/>
              </w:rPr>
            </w:pPr>
            <w:r>
              <w:rPr>
                <w:rFonts w:ascii="Arial" w:cs="Arial" w:eastAsia="Arial" w:hAnsi="Arial"/>
                <w:sz w:val="19"/>
                <w:szCs w:val="19"/>
                <w:color w:val="auto"/>
                <w:w w:val="89"/>
              </w:rPr>
              <w:t>Six Months Ended June 30, 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tcPr>
          <w:p>
            <w:pPr>
              <w:jc w:val="right"/>
              <w:ind w:right="80"/>
              <w:spacing w:after="0"/>
              <w:rPr>
                <w:sz w:val="20"/>
                <w:szCs w:val="20"/>
                <w:color w:val="auto"/>
              </w:rPr>
            </w:pPr>
            <w:r>
              <w:rPr>
                <w:rFonts w:ascii="Arial" w:cs="Arial" w:eastAsia="Arial" w:hAnsi="Arial"/>
                <w:sz w:val="19"/>
                <w:szCs w:val="19"/>
                <w:color w:val="auto"/>
              </w:rPr>
              <w:t>(144.9)</w:t>
            </w:r>
          </w:p>
        </w:tc>
        <w:tc>
          <w:tcPr>
            <w:tcW w:w="760" w:type="dxa"/>
            <w:vAlign w:val="bottom"/>
            <w:gridSpan w:val="3"/>
          </w:tcPr>
          <w:p>
            <w:pPr>
              <w:jc w:val="right"/>
              <w:ind w:right="446"/>
              <w:spacing w:after="0"/>
              <w:rPr>
                <w:sz w:val="20"/>
                <w:szCs w:val="20"/>
                <w:color w:val="auto"/>
              </w:rPr>
            </w:pPr>
            <w:r>
              <w:rPr>
                <w:rFonts w:ascii="Arial" w:cs="Arial" w:eastAsia="Arial" w:hAnsi="Arial"/>
                <w:sz w:val="19"/>
                <w:szCs w:val="19"/>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9"/>
                <w:szCs w:val="19"/>
                <w:color w:val="auto"/>
              </w:rPr>
              <w:t>(0.9)</w:t>
            </w:r>
          </w:p>
        </w:tc>
        <w:tc>
          <w:tcPr>
            <w:tcW w:w="140" w:type="dxa"/>
            <w:vAlign w:val="bottom"/>
            <w:gridSpan w:val="3"/>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(145.8)</w:t>
            </w:r>
          </w:p>
        </w:tc>
        <w:tc>
          <w:tcPr>
            <w:tcW w:w="0" w:type="dxa"/>
            <w:vAlign w:val="bottom"/>
          </w:tcPr>
          <w:p>
            <w:pPr>
              <w:spacing w:after="0"/>
              <w:rPr>
                <w:sz w:val="1"/>
                <w:szCs w:val="1"/>
                <w:color w:val="auto"/>
              </w:rPr>
            </w:pPr>
          </w:p>
        </w:tc>
      </w:tr>
      <w:tr>
        <w:trPr>
          <w:trHeight w:val="207"/>
        </w:trPr>
        <w:tc>
          <w:tcPr>
            <w:tcW w:w="608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Other comprehensive loss before</w:t>
            </w:r>
          </w:p>
        </w:tc>
        <w:tc>
          <w:tcPr>
            <w:tcW w:w="140" w:type="dxa"/>
            <w:vAlign w:val="bottom"/>
            <w:shd w:val="clear" w:color="auto" w:fill="CFF2FA"/>
          </w:tcPr>
          <w:p>
            <w:pPr>
              <w:spacing w:after="0"/>
              <w:rPr>
                <w:sz w:val="18"/>
                <w:szCs w:val="18"/>
                <w:color w:val="auto"/>
              </w:rPr>
            </w:pPr>
          </w:p>
        </w:tc>
        <w:tc>
          <w:tcPr>
            <w:tcW w:w="134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6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2FA"/>
          </w:tcPr>
          <w:p>
            <w:pPr>
              <w:ind w:left="140"/>
              <w:spacing w:after="0"/>
              <w:rPr>
                <w:sz w:val="20"/>
                <w:szCs w:val="20"/>
                <w:color w:val="auto"/>
              </w:rPr>
            </w:pPr>
            <w:r>
              <w:rPr>
                <w:rFonts w:ascii="Arial" w:cs="Arial" w:eastAsia="Arial" w:hAnsi="Arial"/>
                <w:sz w:val="19"/>
                <w:szCs w:val="19"/>
                <w:color w:val="auto"/>
              </w:rPr>
              <w:t>reclassifications, net of tax</w:t>
            </w:r>
          </w:p>
        </w:tc>
        <w:tc>
          <w:tcPr>
            <w:tcW w:w="140" w:type="dxa"/>
            <w:vAlign w:val="bottom"/>
            <w:shd w:val="clear" w:color="auto" w:fill="CFF2FA"/>
          </w:tcPr>
          <w:p>
            <w:pPr>
              <w:spacing w:after="0"/>
              <w:rPr>
                <w:sz w:val="20"/>
                <w:szCs w:val="20"/>
                <w:color w:val="auto"/>
              </w:rPr>
            </w:pPr>
          </w:p>
        </w:tc>
        <w:tc>
          <w:tcPr>
            <w:tcW w:w="1500" w:type="dxa"/>
            <w:vAlign w:val="bottom"/>
            <w:gridSpan w:val="3"/>
            <w:shd w:val="clear" w:color="auto" w:fill="CFF2FA"/>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640" w:type="dxa"/>
            <w:vAlign w:val="bottom"/>
            <w:shd w:val="clear" w:color="auto" w:fill="CFF2FA"/>
          </w:tcPr>
          <w:p>
            <w:pPr>
              <w:spacing w:after="0"/>
              <w:rPr>
                <w:sz w:val="20"/>
                <w:szCs w:val="20"/>
                <w:color w:val="auto"/>
              </w:rPr>
            </w:pPr>
          </w:p>
        </w:tc>
        <w:tc>
          <w:tcPr>
            <w:tcW w:w="1120" w:type="dxa"/>
            <w:vAlign w:val="bottom"/>
            <w:gridSpan w:val="3"/>
            <w:shd w:val="clear" w:color="auto" w:fill="CFF2FA"/>
          </w:tcPr>
          <w:p>
            <w:pPr>
              <w:jc w:val="right"/>
              <w:ind w:right="180"/>
              <w:spacing w:after="0"/>
              <w:rPr>
                <w:sz w:val="20"/>
                <w:szCs w:val="20"/>
                <w:color w:val="auto"/>
              </w:rPr>
            </w:pPr>
            <w:r>
              <w:rPr>
                <w:rFonts w:ascii="Arial" w:cs="Arial" w:eastAsia="Arial" w:hAnsi="Arial"/>
                <w:sz w:val="19"/>
                <w:szCs w:val="19"/>
                <w:color w:val="auto"/>
              </w:rPr>
              <w:t>(1.3)</w:t>
            </w:r>
          </w:p>
        </w:tc>
        <w:tc>
          <w:tcPr>
            <w:tcW w:w="2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50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Borders>
              <w:bottom w:val="single" w:sz="8" w:color="CFF2FA"/>
            </w:tcBorders>
          </w:tcPr>
          <w:p>
            <w:pPr>
              <w:ind w:left="140"/>
              <w:spacing w:after="0"/>
              <w:rPr>
                <w:sz w:val="20"/>
                <w:szCs w:val="20"/>
                <w:color w:val="auto"/>
              </w:rPr>
            </w:pPr>
            <w:r>
              <w:rPr>
                <w:rFonts w:ascii="Arial" w:cs="Arial" w:eastAsia="Arial" w:hAnsi="Arial"/>
                <w:sz w:val="19"/>
                <w:szCs w:val="19"/>
                <w:color w:val="auto"/>
              </w:rPr>
              <w:t>other comprehensive loss, net of tax</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4.9</w:t>
            </w:r>
          </w:p>
        </w:tc>
        <w:tc>
          <w:tcPr>
            <w:tcW w:w="140" w:type="dxa"/>
            <w:vAlign w:val="bottom"/>
            <w:tcBorders>
              <w:bottom w:val="single" w:sz="8" w:color="CFF2FA"/>
            </w:tcBorders>
          </w:tcPr>
          <w:p>
            <w:pPr>
              <w:spacing w:after="0"/>
              <w:rPr>
                <w:sz w:val="20"/>
                <w:szCs w:val="20"/>
                <w:color w:val="auto"/>
              </w:rPr>
            </w:pPr>
          </w:p>
        </w:tc>
        <w:tc>
          <w:tcPr>
            <w:tcW w:w="100" w:type="dxa"/>
            <w:vAlign w:val="bottom"/>
            <w:tcBorders>
              <w:bottom w:val="single" w:sz="8" w:color="CFF2FA"/>
            </w:tcBorders>
          </w:tcPr>
          <w:p>
            <w:pPr>
              <w:spacing w:after="0"/>
              <w:rPr>
                <w:sz w:val="20"/>
                <w:szCs w:val="20"/>
                <w:color w:val="auto"/>
              </w:rPr>
            </w:pPr>
          </w:p>
        </w:tc>
        <w:tc>
          <w:tcPr>
            <w:tcW w:w="20" w:type="dxa"/>
            <w:vAlign w:val="bottom"/>
            <w:tcBorders>
              <w:bottom w:val="single" w:sz="8" w:color="CFF2FA"/>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60" w:type="dxa"/>
            <w:vAlign w:val="bottom"/>
            <w:tcBorders>
              <w:bottom w:val="single" w:sz="8" w:color="CFF2FA"/>
            </w:tcBorders>
            <w:gridSpan w:val="2"/>
          </w:tcPr>
          <w:p>
            <w:pPr>
              <w:spacing w:after="0"/>
              <w:rPr>
                <w:sz w:val="20"/>
                <w:szCs w:val="20"/>
                <w:color w:val="auto"/>
              </w:rPr>
            </w:pPr>
          </w:p>
        </w:tc>
        <w:tc>
          <w:tcPr>
            <w:tcW w:w="20" w:type="dxa"/>
            <w:vAlign w:val="bottom"/>
            <w:tcBorders>
              <w:bottom w:val="single" w:sz="8" w:color="CFF2FA"/>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w:t>
            </w:r>
          </w:p>
        </w:tc>
        <w:tc>
          <w:tcPr>
            <w:tcW w:w="120" w:type="dxa"/>
            <w:vAlign w:val="bottom"/>
            <w:tcBorders>
              <w:bottom w:val="single" w:sz="8" w:color="CFF2FA"/>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2FA"/>
          </w:tcPr>
          <w:p>
            <w:pPr>
              <w:spacing w:after="0"/>
              <w:rPr>
                <w:sz w:val="20"/>
                <w:szCs w:val="20"/>
                <w:color w:val="auto"/>
              </w:rPr>
            </w:pPr>
            <w:r>
              <w:rPr>
                <w:rFonts w:ascii="Arial" w:cs="Arial" w:eastAsia="Arial" w:hAnsi="Arial"/>
                <w:sz w:val="19"/>
                <w:szCs w:val="19"/>
                <w:color w:val="auto"/>
              </w:rPr>
              <w:t>Other comprehensive earnings (loss), net of tax</w:t>
            </w:r>
          </w:p>
        </w:tc>
        <w:tc>
          <w:tcPr>
            <w:tcW w:w="14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
              <w:spacing w:after="0"/>
              <w:rPr>
                <w:sz w:val="20"/>
                <w:szCs w:val="20"/>
                <w:color w:val="auto"/>
              </w:rPr>
            </w:pPr>
            <w:r>
              <w:rPr>
                <w:rFonts w:ascii="Arial" w:cs="Arial" w:eastAsia="Arial" w:hAnsi="Arial"/>
                <w:sz w:val="19"/>
                <w:szCs w:val="19"/>
                <w:color w:val="auto"/>
              </w:rPr>
              <w:t>4.9</w:t>
            </w: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640" w:type="dxa"/>
            <w:vAlign w:val="bottom"/>
            <w:shd w:val="clear" w:color="auto" w:fill="CFF2FA"/>
          </w:tcPr>
          <w:p>
            <w:pPr>
              <w:spacing w:after="0"/>
              <w:rPr>
                <w:sz w:val="19"/>
                <w:szCs w:val="19"/>
                <w:color w:val="auto"/>
              </w:rPr>
            </w:pPr>
          </w:p>
        </w:tc>
        <w:tc>
          <w:tcPr>
            <w:tcW w:w="1120" w:type="dxa"/>
            <w:vAlign w:val="bottom"/>
            <w:gridSpan w:val="3"/>
            <w:shd w:val="clear" w:color="auto" w:fill="CFF2FA"/>
          </w:tcPr>
          <w:p>
            <w:pPr>
              <w:jc w:val="right"/>
              <w:ind w:right="180"/>
              <w:spacing w:after="0"/>
              <w:rPr>
                <w:sz w:val="20"/>
                <w:szCs w:val="20"/>
                <w:color w:val="auto"/>
              </w:rPr>
            </w:pPr>
            <w:r>
              <w:rPr>
                <w:rFonts w:ascii="Arial" w:cs="Arial" w:eastAsia="Arial" w:hAnsi="Arial"/>
                <w:sz w:val="19"/>
                <w:szCs w:val="19"/>
                <w:color w:val="auto"/>
              </w:rPr>
              <w:t>(1.3)</w:t>
            </w:r>
          </w:p>
        </w:tc>
        <w:tc>
          <w:tcPr>
            <w:tcW w:w="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9"/>
                <w:szCs w:val="19"/>
                <w:color w:val="auto"/>
              </w:rPr>
              <w:t>3.6</w:t>
            </w: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tcPr>
          <w:p>
            <w:pPr>
              <w:jc w:val="right"/>
              <w:ind w:right="80"/>
              <w:spacing w:after="0"/>
              <w:rPr>
                <w:sz w:val="20"/>
                <w:szCs w:val="20"/>
                <w:color w:val="auto"/>
              </w:rPr>
            </w:pPr>
            <w:r>
              <w:rPr>
                <w:rFonts w:ascii="Arial" w:cs="Arial" w:eastAsia="Arial" w:hAnsi="Arial"/>
                <w:sz w:val="19"/>
                <w:szCs w:val="19"/>
                <w:color w:val="auto"/>
              </w:rPr>
              <w:t>(140.0)</w:t>
            </w:r>
          </w:p>
        </w:tc>
        <w:tc>
          <w:tcPr>
            <w:tcW w:w="120" w:type="dxa"/>
            <w:vAlign w:val="bottom"/>
            <w:gridSpan w:val="2"/>
            <w:vMerge w:val="continue"/>
          </w:tcPr>
          <w:p>
            <w:pPr>
              <w:spacing w:after="0"/>
              <w:rPr>
                <w:sz w:val="19"/>
                <w:szCs w:val="19"/>
                <w:color w:val="auto"/>
              </w:rPr>
            </w:pPr>
          </w:p>
        </w:tc>
        <w:tc>
          <w:tcPr>
            <w:tcW w:w="640" w:type="dxa"/>
            <w:vAlign w:val="bottom"/>
          </w:tcPr>
          <w:p>
            <w:pPr>
              <w:jc w:val="right"/>
              <w:ind w:right="446"/>
              <w:spacing w:after="0"/>
              <w:rPr>
                <w:sz w:val="20"/>
                <w:szCs w:val="20"/>
                <w:color w:val="auto"/>
              </w:rPr>
            </w:pPr>
            <w:r>
              <w:rPr>
                <w:rFonts w:ascii="Arial" w:cs="Arial" w:eastAsia="Arial" w:hAnsi="Arial"/>
                <w:sz w:val="19"/>
                <w:szCs w:val="19"/>
                <w:color w:val="auto"/>
                <w:w w:val="75"/>
              </w:rPr>
              <w:t>$</w:t>
            </w:r>
          </w:p>
        </w:tc>
        <w:tc>
          <w:tcPr>
            <w:tcW w:w="1120" w:type="dxa"/>
            <w:vAlign w:val="bottom"/>
            <w:gridSpan w:val="3"/>
          </w:tcPr>
          <w:p>
            <w:pPr>
              <w:jc w:val="right"/>
              <w:ind w:right="180"/>
              <w:spacing w:after="0"/>
              <w:rPr>
                <w:sz w:val="20"/>
                <w:szCs w:val="20"/>
                <w:color w:val="auto"/>
              </w:rPr>
            </w:pPr>
            <w:r>
              <w:rPr>
                <w:rFonts w:ascii="Arial" w:cs="Arial" w:eastAsia="Arial" w:hAnsi="Arial"/>
                <w:sz w:val="19"/>
                <w:szCs w:val="19"/>
                <w:color w:val="auto"/>
              </w:rPr>
              <w:t>(2.2)</w:t>
            </w:r>
          </w:p>
        </w:tc>
        <w:tc>
          <w:tcPr>
            <w:tcW w:w="20" w:type="dxa"/>
            <w:vAlign w:val="bottom"/>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(142.2)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80"/>
        <w:spacing w:after="0"/>
        <w:rPr>
          <w:sz w:val="20"/>
          <w:szCs w:val="20"/>
          <w:color w:val="auto"/>
        </w:rPr>
      </w:pPr>
      <w:r>
        <w:rPr>
          <w:rFonts w:ascii="Arial" w:cs="Arial" w:eastAsia="Arial" w:hAnsi="Arial"/>
          <w:sz w:val="20"/>
          <w:szCs w:val="20"/>
          <w:color w:val="auto"/>
        </w:rPr>
        <w:t>Changes in net noncurrent deferred tax assets related to accumulated other comprehensive loss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12"/>
          </w:tcPr>
          <w:p>
            <w:pPr>
              <w:jc w:val="right"/>
              <w:ind w:right="60"/>
              <w:spacing w:after="0"/>
              <w:rPr>
                <w:sz w:val="20"/>
                <w:szCs w:val="20"/>
                <w:color w:val="auto"/>
              </w:rPr>
            </w:pPr>
            <w:r>
              <w:rPr>
                <w:rFonts w:ascii="Arial" w:cs="Arial" w:eastAsia="Arial" w:hAnsi="Arial"/>
                <w:sz w:val="20"/>
                <w:szCs w:val="20"/>
                <w:color w:val="auto"/>
                <w:w w:val="90"/>
              </w:rPr>
              <w:t>Pension and Postretirement Benefit Plans</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6"/>
          </w:tcPr>
          <w:p>
            <w:pPr>
              <w:jc w:val="right"/>
              <w:ind w:right="23"/>
              <w:spacing w:after="0"/>
              <w:rPr>
                <w:sz w:val="20"/>
                <w:szCs w:val="20"/>
                <w:color w:val="auto"/>
              </w:rPr>
            </w:pPr>
            <w:r>
              <w:rPr>
                <w:rFonts w:ascii="Arial" w:cs="Arial" w:eastAsia="Arial" w:hAnsi="Arial"/>
                <w:sz w:val="20"/>
                <w:szCs w:val="20"/>
                <w:color w:val="auto"/>
                <w:w w:val="87"/>
              </w:rPr>
              <w:t>Three Months Ended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5"/>
          </w:tcPr>
          <w:p>
            <w:pPr>
              <w:jc w:val="right"/>
              <w:ind w:right="701"/>
              <w:spacing w:after="0"/>
              <w:rPr>
                <w:sz w:val="20"/>
                <w:szCs w:val="20"/>
                <w:color w:val="auto"/>
              </w:rPr>
            </w:pPr>
            <w:r>
              <w:rPr>
                <w:rFonts w:ascii="Arial" w:cs="Arial" w:eastAsia="Arial" w:hAnsi="Arial"/>
                <w:sz w:val="20"/>
                <w:szCs w:val="20"/>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6"/>
          </w:tcPr>
          <w:p>
            <w:pPr>
              <w:jc w:val="right"/>
              <w:ind w:right="523"/>
              <w:spacing w:after="0"/>
              <w:rPr>
                <w:sz w:val="20"/>
                <w:szCs w:val="20"/>
                <w:color w:val="auto"/>
              </w:rPr>
            </w:pPr>
            <w:r>
              <w:rPr>
                <w:rFonts w:ascii="Arial" w:cs="Arial" w:eastAsia="Arial" w:hAnsi="Arial"/>
                <w:sz w:val="20"/>
                <w:szCs w:val="20"/>
                <w:color w:val="auto"/>
              </w:rPr>
              <w:t>June 30,</w:t>
            </w: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20"/>
                <w:szCs w:val="20"/>
                <w:color w:val="auto"/>
              </w:rPr>
              <w:t>June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20"/>
                <w:szCs w:val="20"/>
                <w:color w:val="auto"/>
                <w:w w:val="98"/>
              </w:rPr>
              <w:t>2021</w:t>
            </w: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20"/>
                <w:szCs w:val="20"/>
                <w:color w:val="auto"/>
              </w:rPr>
              <w:t>2020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20"/>
                <w:szCs w:val="20"/>
                <w:color w:val="auto"/>
              </w:rPr>
              <w:t>2021</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8"/>
          </w:tcPr>
          <w:p>
            <w:pPr>
              <w:jc w:val="right"/>
              <w:ind w:right="860"/>
              <w:spacing w:after="0"/>
              <w:rPr>
                <w:sz w:val="20"/>
                <w:szCs w:val="20"/>
                <w:color w:val="auto"/>
              </w:rPr>
            </w:pPr>
            <w:r>
              <w:rPr>
                <w:rFonts w:ascii="Arial" w:cs="Arial" w:eastAsia="Arial" w:hAnsi="Arial"/>
                <w:sz w:val="20"/>
                <w:szCs w:val="20"/>
                <w:i w:val="1"/>
                <w:iCs w:val="1"/>
                <w:color w:val="auto"/>
              </w:rPr>
              <w:t>(Dollars in Millions)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980" w:type="dxa"/>
            <w:vAlign w:val="bottom"/>
          </w:tcPr>
          <w:p>
            <w:pPr>
              <w:spacing w:after="0"/>
              <w:rPr>
                <w:sz w:val="20"/>
                <w:szCs w:val="20"/>
                <w:color w:val="auto"/>
              </w:rPr>
            </w:pPr>
            <w:r>
              <w:rPr>
                <w:rFonts w:ascii="Arial" w:cs="Arial" w:eastAsia="Arial" w:hAnsi="Arial"/>
                <w:sz w:val="20"/>
                <w:szCs w:val="20"/>
                <w:color w:val="auto"/>
              </w:rPr>
              <w:t>Balance at beginning of period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123"/>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88.7</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center"/>
              <w:spacing w:after="0"/>
              <w:rPr>
                <w:sz w:val="20"/>
                <w:szCs w:val="20"/>
                <w:color w:val="auto"/>
              </w:rPr>
            </w:pPr>
            <w:r>
              <w:rPr>
                <w:rFonts w:ascii="Arial" w:cs="Arial" w:eastAsia="Arial" w:hAnsi="Arial"/>
                <w:sz w:val="20"/>
                <w:szCs w:val="20"/>
                <w:color w:val="auto"/>
                <w:w w:val="89"/>
              </w:rPr>
              <w:t>$</w:t>
            </w:r>
          </w:p>
        </w:tc>
        <w:tc>
          <w:tcPr>
            <w:tcW w:w="68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20"/>
                <w:szCs w:val="20"/>
                <w:color w:val="auto"/>
              </w:rPr>
              <w:t>84.4</w:t>
            </w:r>
          </w:p>
        </w:tc>
        <w:tc>
          <w:tcPr>
            <w:tcW w:w="52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89.4</w:t>
            </w:r>
          </w:p>
        </w:tc>
        <w:tc>
          <w:tcPr>
            <w:tcW w:w="180" w:type="dxa"/>
            <w:vAlign w:val="bottom"/>
          </w:tcPr>
          <w:p>
            <w:pPr>
              <w:spacing w:after="0"/>
              <w:rPr>
                <w:sz w:val="21"/>
                <w:szCs w:val="21"/>
                <w:color w:val="auto"/>
              </w:rPr>
            </w:pPr>
          </w:p>
        </w:tc>
        <w:tc>
          <w:tcPr>
            <w:tcW w:w="40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Tax effect of other comprehensive earnings</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(0.8)</w:t>
            </w: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0" w:type="dxa"/>
            <w:vAlign w:val="bottom"/>
            <w:gridSpan w:val="4"/>
            <w:shd w:val="clear" w:color="auto" w:fill="CFF0FC"/>
          </w:tcPr>
          <w:p>
            <w:pPr>
              <w:jc w:val="right"/>
              <w:ind w:right="64"/>
              <w:spacing w:after="0"/>
              <w:rPr>
                <w:sz w:val="20"/>
                <w:szCs w:val="20"/>
                <w:color w:val="auto"/>
              </w:rPr>
            </w:pPr>
            <w:r>
              <w:rPr>
                <w:rFonts w:ascii="Arial" w:cs="Arial" w:eastAsia="Arial" w:hAnsi="Arial"/>
                <w:sz w:val="20"/>
                <w:szCs w:val="20"/>
                <w:color w:val="auto"/>
              </w:rPr>
              <w:t>(0.8)</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(1.5)</w:t>
            </w:r>
          </w:p>
        </w:tc>
        <w:tc>
          <w:tcPr>
            <w:tcW w:w="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r>
              <w:rPr>
                <w:rFonts w:ascii="Arial" w:cs="Arial" w:eastAsia="Arial" w:hAnsi="Arial"/>
                <w:sz w:val="20"/>
                <w:szCs w:val="20"/>
                <w:color w:val="auto"/>
              </w:rPr>
              <w:t>Balance at end of period</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20"/>
                <w:szCs w:val="20"/>
                <w:color w:val="auto"/>
                <w:w w:val="71"/>
              </w:rPr>
              <w:t>$</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87.9</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6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83.6</w:t>
            </w:r>
          </w:p>
        </w:tc>
        <w:tc>
          <w:tcPr>
            <w:tcW w:w="24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87.9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gridSpan w:val="6"/>
            <w:vMerge w:val="restart"/>
          </w:tcPr>
          <w:p>
            <w:pPr>
              <w:ind w:left="280"/>
              <w:spacing w:after="0"/>
              <w:rPr>
                <w:sz w:val="20"/>
                <w:szCs w:val="20"/>
                <w:color w:val="auto"/>
              </w:rPr>
            </w:pPr>
            <w:r>
              <w:rPr>
                <w:rFonts w:ascii="Arial" w:cs="Arial" w:eastAsia="Arial" w:hAnsi="Arial"/>
                <w:sz w:val="20"/>
                <w:szCs w:val="20"/>
                <w:color w:val="auto"/>
                <w:w w:val="88"/>
              </w:rPr>
              <w:t>Reclassifications out of accumulated other comprehensive</w:t>
            </w: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860" w:type="dxa"/>
            <w:vAlign w:val="bottom"/>
            <w:gridSpan w:val="6"/>
            <w:vMerge w:val="continue"/>
          </w:tcPr>
          <w:p>
            <w:pPr>
              <w:spacing w:after="0"/>
              <w:rPr>
                <w:sz w:val="20"/>
                <w:szCs w:val="20"/>
                <w:color w:val="auto"/>
              </w:rPr>
            </w:pPr>
          </w:p>
        </w:tc>
        <w:tc>
          <w:tcPr>
            <w:tcW w:w="1600" w:type="dxa"/>
            <w:vAlign w:val="bottom"/>
            <w:gridSpan w:val="7"/>
          </w:tcPr>
          <w:p>
            <w:pPr>
              <w:ind w:left="80"/>
              <w:spacing w:after="0"/>
              <w:rPr>
                <w:sz w:val="20"/>
                <w:szCs w:val="20"/>
                <w:color w:val="auto"/>
              </w:rPr>
            </w:pPr>
            <w:r>
              <w:rPr>
                <w:rFonts w:ascii="Arial" w:cs="Arial" w:eastAsia="Arial" w:hAnsi="Arial"/>
                <w:sz w:val="20"/>
                <w:szCs w:val="20"/>
                <w:color w:val="auto"/>
                <w:w w:val="88"/>
              </w:rPr>
              <w:t>loss are as follows: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right"/>
              <w:ind w:right="420"/>
              <w:spacing w:after="0"/>
              <w:rPr>
                <w:sz w:val="20"/>
                <w:szCs w:val="20"/>
                <w:color w:val="auto"/>
              </w:rPr>
            </w:pPr>
            <w:r>
              <w:rPr>
                <w:rFonts w:ascii="Arial" w:cs="Arial" w:eastAsia="Arial" w:hAnsi="Arial"/>
                <w:sz w:val="19"/>
                <w:szCs w:val="19"/>
                <w:color w:val="auto"/>
                <w:w w:val="93"/>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6"/>
          </w:tcPr>
          <w:p>
            <w:pPr>
              <w:jc w:val="center"/>
              <w:ind w:left="104"/>
              <w:spacing w:after="0"/>
              <w:rPr>
                <w:sz w:val="20"/>
                <w:szCs w:val="20"/>
                <w:color w:val="auto"/>
              </w:rPr>
            </w:pPr>
            <w:r>
              <w:rPr>
                <w:rFonts w:ascii="Arial" w:cs="Arial" w:eastAsia="Arial" w:hAnsi="Arial"/>
                <w:sz w:val="19"/>
                <w:szCs w:val="19"/>
                <w:color w:val="auto"/>
                <w:w w:val="92"/>
              </w:rPr>
              <w:t>Six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8"/>
          </w:tcPr>
          <w:p>
            <w:pPr>
              <w:jc w:val="center"/>
              <w:ind w:right="20"/>
              <w:spacing w:after="0"/>
              <w:rPr>
                <w:sz w:val="20"/>
                <w:szCs w:val="20"/>
                <w:color w:val="auto"/>
              </w:rPr>
            </w:pPr>
            <w:r>
              <w:rPr>
                <w:rFonts w:ascii="Arial" w:cs="Arial" w:eastAsia="Arial" w:hAnsi="Arial"/>
                <w:sz w:val="19"/>
                <w:szCs w:val="19"/>
                <w:color w:val="auto"/>
                <w:w w:val="91"/>
              </w:rPr>
              <w:t>Affected line items in the consolidated</w:t>
            </w: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June 30,</w:t>
            </w: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left="104"/>
              <w:spacing w:after="0"/>
              <w:rPr>
                <w:sz w:val="20"/>
                <w:szCs w:val="20"/>
                <w:color w:val="auto"/>
              </w:rPr>
            </w:pPr>
            <w:r>
              <w:rPr>
                <w:rFonts w:ascii="Arial" w:cs="Arial" w:eastAsia="Arial" w:hAnsi="Arial"/>
                <w:sz w:val="19"/>
                <w:szCs w:val="19"/>
                <w:color w:val="auto"/>
                <w:w w:val="85"/>
              </w:rPr>
              <w:t>June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jc w:val="center"/>
              <w:ind w:right="540"/>
              <w:spacing w:after="0"/>
              <w:rPr>
                <w:sz w:val="20"/>
                <w:szCs w:val="20"/>
                <w:color w:val="auto"/>
              </w:rPr>
            </w:pPr>
            <w:r>
              <w:rPr>
                <w:rFonts w:ascii="Arial" w:cs="Arial" w:eastAsia="Arial" w:hAnsi="Arial"/>
                <w:sz w:val="19"/>
                <w:szCs w:val="19"/>
                <w:color w:val="auto"/>
                <w:w w:val="87"/>
              </w:rPr>
              <w:t>statements of earnings and</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06"/>
              <w:spacing w:after="0"/>
              <w:rPr>
                <w:sz w:val="20"/>
                <w:szCs w:val="20"/>
                <w:color w:val="auto"/>
              </w:rPr>
            </w:pPr>
            <w:r>
              <w:rPr>
                <w:rFonts w:ascii="Arial" w:cs="Arial" w:eastAsia="Arial" w:hAnsi="Arial"/>
                <w:sz w:val="19"/>
                <w:szCs w:val="19"/>
                <w:color w:val="auto"/>
              </w:rPr>
              <w:t>2021</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23"/>
              <w:spacing w:after="0"/>
              <w:rPr>
                <w:sz w:val="20"/>
                <w:szCs w:val="20"/>
                <w:color w:val="auto"/>
              </w:rPr>
            </w:pPr>
            <w:r>
              <w:rPr>
                <w:rFonts w:ascii="Arial" w:cs="Arial" w:eastAsia="Arial" w:hAnsi="Arial"/>
                <w:sz w:val="19"/>
                <w:szCs w:val="19"/>
                <w:color w:val="auto"/>
                <w:w w:val="94"/>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2021</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2020</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9"/>
                <w:szCs w:val="19"/>
                <w:color w:val="auto"/>
                <w:w w:val="88"/>
              </w:rPr>
              <w:t>comprehensive earnings</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8"/>
          </w:tcPr>
          <w:p>
            <w:pPr>
              <w:jc w:val="right"/>
              <w:ind w:right="380"/>
              <w:spacing w:after="0"/>
              <w:rPr>
                <w:sz w:val="20"/>
                <w:szCs w:val="20"/>
                <w:color w:val="auto"/>
              </w:rPr>
            </w:pPr>
            <w:r>
              <w:rPr>
                <w:rFonts w:ascii="Arial" w:cs="Arial" w:eastAsia="Arial" w:hAnsi="Arial"/>
                <w:sz w:val="19"/>
                <w:szCs w:val="19"/>
                <w:i w:val="1"/>
                <w:iCs w:val="1"/>
                <w:color w:val="auto"/>
              </w:rPr>
              <w:t>(Dollars in Millions)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98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Pension and postretirement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shd w:val="clear" w:color="auto" w:fill="CFF0FC"/>
          </w:tcPr>
          <w:p>
            <w:pPr>
              <w:ind w:left="140"/>
              <w:spacing w:after="0"/>
              <w:rPr>
                <w:sz w:val="20"/>
                <w:szCs w:val="20"/>
                <w:color w:val="auto"/>
              </w:rPr>
            </w:pPr>
            <w:r>
              <w:rPr>
                <w:rFonts w:ascii="Arial" w:cs="Arial" w:eastAsia="Arial" w:hAnsi="Arial"/>
                <w:sz w:val="19"/>
                <w:szCs w:val="19"/>
                <w:color w:val="auto"/>
              </w:rPr>
              <w:t>benefit plans</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60"/>
              <w:spacing w:after="0"/>
              <w:rPr>
                <w:sz w:val="20"/>
                <w:szCs w:val="20"/>
                <w:color w:val="auto"/>
              </w:rPr>
            </w:pPr>
            <w:r>
              <w:rPr>
                <w:rFonts w:ascii="Arial" w:cs="Arial" w:eastAsia="Arial" w:hAnsi="Arial"/>
                <w:sz w:val="19"/>
                <w:szCs w:val="19"/>
                <w:color w:val="auto"/>
              </w:rPr>
              <w:t>Amortization of:</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FF0FC"/>
          </w:tcPr>
          <w:p>
            <w:pPr>
              <w:ind w:left="500"/>
              <w:spacing w:after="0"/>
              <w:rPr>
                <w:sz w:val="20"/>
                <w:szCs w:val="20"/>
                <w:color w:val="auto"/>
              </w:rPr>
            </w:pPr>
            <w:r>
              <w:rPr>
                <w:rFonts w:ascii="Arial" w:cs="Arial" w:eastAsia="Arial" w:hAnsi="Arial"/>
                <w:sz w:val="19"/>
                <w:szCs w:val="19"/>
                <w:color w:val="auto"/>
              </w:rPr>
              <w:t>Prior service cost (credit)</w:t>
            </w:r>
          </w:p>
        </w:tc>
        <w:tc>
          <w:tcPr>
            <w:tcW w:w="200" w:type="dxa"/>
            <w:vAlign w:val="bottom"/>
            <w:shd w:val="clear" w:color="auto" w:fill="CFF0FC"/>
          </w:tcPr>
          <w:p>
            <w:pPr>
              <w:jc w:val="right"/>
              <w:ind w:right="6"/>
              <w:spacing w:after="0"/>
              <w:rPr>
                <w:sz w:val="20"/>
                <w:szCs w:val="20"/>
                <w:color w:val="auto"/>
              </w:rPr>
            </w:pPr>
            <w:r>
              <w:rPr>
                <w:rFonts w:ascii="Arial" w:cs="Arial" w:eastAsia="Arial" w:hAnsi="Arial"/>
                <w:sz w:val="19"/>
                <w:szCs w:val="19"/>
                <w:color w:val="auto"/>
                <w:w w:val="75"/>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0.1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9"/>
                <w:szCs w:val="19"/>
                <w:color w:val="auto"/>
              </w:rPr>
              <w:t>—</w:t>
            </w:r>
          </w:p>
        </w:tc>
        <w:tc>
          <w:tcPr>
            <w:tcW w:w="840" w:type="dxa"/>
            <w:vAlign w:val="bottom"/>
            <w:gridSpan w:val="3"/>
            <w:shd w:val="clear" w:color="auto" w:fill="CFF0FC"/>
          </w:tcPr>
          <w:p>
            <w:pPr>
              <w:jc w:val="right"/>
              <w:ind w:right="483"/>
              <w:spacing w:after="0"/>
              <w:rPr>
                <w:sz w:val="20"/>
                <w:szCs w:val="20"/>
                <w:color w:val="auto"/>
              </w:rPr>
            </w:pPr>
            <w:r>
              <w:rPr>
                <w:rFonts w:ascii="Arial" w:cs="Arial" w:eastAsia="Arial" w:hAnsi="Arial"/>
                <w:sz w:val="19"/>
                <w:szCs w:val="19"/>
                <w:color w:val="auto"/>
              </w:rPr>
              <w:t>$</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9"/>
                <w:szCs w:val="19"/>
                <w:color w:val="auto"/>
                <w:w w:val="92"/>
              </w:rPr>
              <w:t>(0.1)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FF0FC"/>
            </w:tcBorders>
          </w:tcPr>
          <w:p>
            <w:pPr>
              <w:ind w:left="500"/>
              <w:spacing w:after="0"/>
              <w:rPr>
                <w:sz w:val="20"/>
                <w:szCs w:val="20"/>
                <w:color w:val="auto"/>
              </w:rPr>
            </w:pPr>
            <w:r>
              <w:rPr>
                <w:rFonts w:ascii="Arial" w:cs="Arial" w:eastAsia="Arial" w:hAnsi="Arial"/>
                <w:sz w:val="19"/>
                <w:szCs w:val="19"/>
                <w:color w:val="auto"/>
              </w:rPr>
              <w:t>Actuarial loss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6.1</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gridSpan w:val="8"/>
          </w:tcPr>
          <w:p>
            <w:pPr>
              <w:spacing w:after="0"/>
              <w:rPr>
                <w:sz w:val="20"/>
                <w:szCs w:val="20"/>
                <w:color w:val="auto"/>
              </w:rPr>
            </w:pPr>
            <w:r>
              <w:rPr>
                <w:rFonts w:ascii="Arial" w:cs="Arial" w:eastAsia="Arial" w:hAnsi="Arial"/>
                <w:sz w:val="19"/>
                <w:szCs w:val="19"/>
                <w:color w:val="auto"/>
              </w:rPr>
              <w:t>Other nonoperating income, net</w:t>
            </w:r>
          </w:p>
        </w:tc>
        <w:tc>
          <w:tcPr>
            <w:tcW w:w="0" w:type="dxa"/>
            <w:vAlign w:val="bottom"/>
          </w:tcPr>
          <w:p>
            <w:pPr>
              <w:spacing w:after="0"/>
              <w:rPr>
                <w:sz w:val="1"/>
                <w:szCs w:val="1"/>
                <w:color w:val="auto"/>
              </w:rPr>
            </w:pPr>
          </w:p>
        </w:tc>
      </w:tr>
      <w:tr>
        <w:trPr>
          <w:trHeight w:val="223"/>
        </w:trPr>
        <w:tc>
          <w:tcPr>
            <w:tcW w:w="2980" w:type="dxa"/>
            <w:vAlign w:val="bottom"/>
            <w:shd w:val="clear" w:color="auto" w:fill="CFF0FC"/>
          </w:tcPr>
          <w:p>
            <w:pPr>
              <w:ind w:left="260"/>
              <w:spacing w:after="0"/>
              <w:rPr>
                <w:sz w:val="20"/>
                <w:szCs w:val="20"/>
                <w:color w:val="auto"/>
              </w:rPr>
            </w:pPr>
            <w:r>
              <w:rPr>
                <w:rFonts w:ascii="Arial" w:cs="Arial" w:eastAsia="Arial" w:hAnsi="Arial"/>
                <w:sz w:val="19"/>
                <w:szCs w:val="19"/>
                <w:color w:val="auto"/>
              </w:rPr>
              <w:t>Tax benefit</w:t>
            </w: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(0.8)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(1.5)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6"/>
              </w:rPr>
              <w:t>(1.6)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gridSpan w:val="4"/>
            <w:shd w:val="clear" w:color="auto" w:fill="CFF0FC"/>
          </w:tcPr>
          <w:p>
            <w:pPr>
              <w:spacing w:after="0"/>
              <w:rPr>
                <w:sz w:val="20"/>
                <w:szCs w:val="20"/>
                <w:color w:val="auto"/>
              </w:rPr>
            </w:pPr>
            <w:r>
              <w:rPr>
                <w:rFonts w:ascii="Arial" w:cs="Arial" w:eastAsia="Arial" w:hAnsi="Arial"/>
                <w:sz w:val="19"/>
                <w:szCs w:val="19"/>
                <w:color w:val="auto"/>
              </w:rPr>
              <w:t>Income tax expense</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2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w w:val="7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4.6</w:t>
            </w: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80" w:type="dxa"/>
            <w:vAlign w:val="bottom"/>
            <w:tcBorders>
              <w:bottom w:val="single" w:sz="8" w:color="auto"/>
            </w:tcBorders>
          </w:tcPr>
          <w:p>
            <w:pPr>
              <w:jc w:val="right"/>
              <w:ind w:right="483"/>
              <w:spacing w:after="0"/>
              <w:rPr>
                <w:sz w:val="20"/>
                <w:szCs w:val="20"/>
                <w:color w:val="auto"/>
              </w:rPr>
            </w:pPr>
            <w:r>
              <w:rPr>
                <w:rFonts w:ascii="Arial" w:cs="Arial" w:eastAsia="Arial" w:hAnsi="Arial"/>
                <w:sz w:val="19"/>
                <w:szCs w:val="19"/>
                <w:color w:val="auto"/>
                <w:w w:val="75"/>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Earnings per Common Share</w:t>
      </w:r>
    </w:p>
    <w:p>
      <w:pPr>
        <w:spacing w:after="0" w:line="114" w:lineRule="exact"/>
        <w:rPr>
          <w:sz w:val="20"/>
          <w:szCs w:val="20"/>
          <w:color w:val="auto"/>
        </w:rPr>
      </w:pPr>
    </w:p>
    <w:p>
      <w:pPr>
        <w:jc w:val="both"/>
        <w:ind w:left="280"/>
        <w:spacing w:after="0" w:line="256" w:lineRule="auto"/>
        <w:rPr>
          <w:sz w:val="20"/>
          <w:szCs w:val="20"/>
          <w:color w:val="auto"/>
        </w:rPr>
      </w:pPr>
      <w:r>
        <w:rPr>
          <w:rFonts w:ascii="Arial" w:cs="Arial" w:eastAsia="Arial" w:hAnsi="Arial"/>
          <w:sz w:val="19"/>
          <w:szCs w:val="19"/>
          <w:color w:val="auto"/>
        </w:rPr>
        <w:t>The numerator for basic and diluted earnings per common share is net earnings attributable to Martin Marietta reduced by dividends and undistributed earnings attributable to certain of the Company’s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and six months ended June 30, 2021 and 2020, the diluted per-share computations reflect the number of common shares outstanding to include the number of additional shares that would have been outstanding if the potentially dilutive common shares had been issued.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80" w:type="dxa"/>
            <w:vAlign w:val="bottom"/>
            <w:gridSpan w:val="5"/>
          </w:tcPr>
          <w:p>
            <w:pPr>
              <w:ind w:left="280"/>
              <w:spacing w:after="0"/>
              <w:rPr>
                <w:sz w:val="20"/>
                <w:szCs w:val="20"/>
                <w:color w:val="auto"/>
              </w:rPr>
            </w:pPr>
            <w:r>
              <w:rPr>
                <w:rFonts w:ascii="Arial" w:cs="Arial" w:eastAsia="Arial" w:hAnsi="Arial"/>
                <w:sz w:val="20"/>
                <w:szCs w:val="20"/>
                <w:color w:val="auto"/>
              </w:rPr>
              <w:t>Three Months Ended</w:t>
            </w:r>
          </w:p>
        </w:tc>
        <w:tc>
          <w:tcPr>
            <w:tcW w:w="420" w:type="dxa"/>
            <w:vAlign w:val="bottom"/>
          </w:tcPr>
          <w:p>
            <w:pPr>
              <w:spacing w:after="0"/>
              <w:rPr>
                <w:sz w:val="21"/>
                <w:szCs w:val="21"/>
                <w:color w:val="auto"/>
              </w:rPr>
            </w:pPr>
          </w:p>
        </w:tc>
        <w:tc>
          <w:tcPr>
            <w:tcW w:w="2520" w:type="dxa"/>
            <w:vAlign w:val="bottom"/>
            <w:gridSpan w:val="5"/>
          </w:tcPr>
          <w:p>
            <w:pPr>
              <w:ind w:left="260"/>
              <w:spacing w:after="0"/>
              <w:rPr>
                <w:sz w:val="20"/>
                <w:szCs w:val="20"/>
                <w:color w:val="auto"/>
              </w:rPr>
            </w:pPr>
            <w:r>
              <w:rPr>
                <w:rFonts w:ascii="Arial" w:cs="Arial" w:eastAsia="Arial" w:hAnsi="Arial"/>
                <w:sz w:val="20"/>
                <w:szCs w:val="20"/>
                <w:color w:val="auto"/>
              </w:rPr>
              <w:t>Six Months Ended</w:t>
            </w:r>
          </w:p>
        </w:tc>
      </w:tr>
      <w:tr>
        <w:trPr>
          <w:trHeight w:val="246"/>
        </w:trPr>
        <w:tc>
          <w:tcPr>
            <w:tcW w:w="5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2021</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89"/>
              </w:rPr>
              <w:t>2021</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2020</w:t>
            </w:r>
          </w:p>
        </w:tc>
        <w:tc>
          <w:tcPr>
            <w:tcW w:w="100" w:type="dxa"/>
            <w:vAlign w:val="bottom"/>
          </w:tcPr>
          <w:p>
            <w:pPr>
              <w:spacing w:after="0"/>
              <w:rPr>
                <w:sz w:val="20"/>
                <w:szCs w:val="20"/>
                <w:color w:val="auto"/>
              </w:rPr>
            </w:pPr>
          </w:p>
        </w:tc>
      </w:tr>
      <w:tr>
        <w:trPr>
          <w:trHeight w:val="237"/>
        </w:trPr>
        <w:tc>
          <w:tcPr>
            <w:tcW w:w="5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20"/>
                <w:szCs w:val="20"/>
                <w:i w:val="1"/>
                <w:iCs w:val="1"/>
                <w:color w:val="auto"/>
              </w:rPr>
              <w:t>(In Millions)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225.8</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217.6</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291.1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243.5</w:t>
            </w:r>
          </w:p>
        </w:tc>
        <w:tc>
          <w:tcPr>
            <w:tcW w:w="100" w:type="dxa"/>
            <w:vAlign w:val="bottom"/>
            <w:shd w:val="clear" w:color="auto" w:fill="CFF0FC"/>
          </w:tcPr>
          <w:p>
            <w:pPr>
              <w:spacing w:after="0"/>
              <w:rPr>
                <w:sz w:val="21"/>
                <w:szCs w:val="21"/>
                <w:color w:val="auto"/>
              </w:rPr>
            </w:pPr>
          </w:p>
        </w:tc>
      </w:tr>
      <w:tr>
        <w:trPr>
          <w:trHeight w:val="226"/>
        </w:trPr>
        <w:tc>
          <w:tcPr>
            <w:tcW w:w="5240" w:type="dxa"/>
            <w:vAlign w:val="bottom"/>
          </w:tcPr>
          <w:p>
            <w:pPr>
              <w:spacing w:after="0" w:line="227" w:lineRule="exact"/>
              <w:rPr>
                <w:sz w:val="20"/>
                <w:szCs w:val="20"/>
                <w:color w:val="auto"/>
              </w:rPr>
            </w:pPr>
            <w:r>
              <w:rPr>
                <w:rFonts w:ascii="Arial" w:cs="Arial" w:eastAsia="Arial" w:hAnsi="Arial"/>
                <w:sz w:val="20"/>
                <w:szCs w:val="20"/>
                <w:color w:val="auto"/>
              </w:rPr>
              <w:t>Less: Distributed and undistributed earnings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240" w:type="dxa"/>
            <w:vAlign w:val="bottom"/>
            <w:tcBorders>
              <w:bottom w:val="single" w:sz="8" w:color="CFF0FC"/>
            </w:tcBorders>
          </w:tcPr>
          <w:p>
            <w:pPr>
              <w:ind w:left="160"/>
              <w:spacing w:after="0"/>
              <w:rPr>
                <w:sz w:val="20"/>
                <w:szCs w:val="20"/>
                <w:color w:val="auto"/>
              </w:rPr>
            </w:pPr>
            <w:r>
              <w:rPr>
                <w:rFonts w:ascii="Arial" w:cs="Arial" w:eastAsia="Arial" w:hAnsi="Arial"/>
                <w:sz w:val="20"/>
                <w:szCs w:val="20"/>
                <w:color w:val="auto"/>
              </w:rPr>
              <w:t>attributable to unvested awards</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24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100" w:type="dxa"/>
            <w:vAlign w:val="bottom"/>
            <w:tcBorders>
              <w:bottom w:val="single" w:sz="8" w:color="CFF0FC"/>
            </w:tcBorders>
          </w:tcPr>
          <w:p>
            <w:pPr>
              <w:spacing w:after="0"/>
              <w:rPr>
                <w:sz w:val="21"/>
                <w:szCs w:val="21"/>
                <w:color w:val="auto"/>
              </w:rPr>
            </w:pPr>
          </w:p>
        </w:tc>
      </w:tr>
      <w:tr>
        <w:trPr>
          <w:trHeight w:val="220"/>
        </w:trPr>
        <w:tc>
          <w:tcPr>
            <w:tcW w:w="524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Basic and diluted net earnings available to common</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2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shareholders attributable to Martin Marietta</w:t>
            </w: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225.6</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217.4</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290.9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243.3</w:t>
            </w:r>
          </w:p>
        </w:tc>
        <w:tc>
          <w:tcPr>
            <w:tcW w:w="100" w:type="dxa"/>
            <w:vAlign w:val="bottom"/>
            <w:shd w:val="clear" w:color="auto" w:fill="CFF0FC"/>
          </w:tcPr>
          <w:p>
            <w:pPr>
              <w:spacing w:after="0"/>
              <w:rPr>
                <w:sz w:val="21"/>
                <w:szCs w:val="2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24"/>
        </w:trPr>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20"/>
                <w:szCs w:val="20"/>
                <w:color w:val="auto"/>
              </w:rPr>
              <w:t>Basic weighted-average common shares outstanding</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w:t>
            </w:r>
          </w:p>
        </w:tc>
        <w:tc>
          <w:tcPr>
            <w:tcW w:w="100" w:type="dxa"/>
            <w:vAlign w:val="bottom"/>
            <w:shd w:val="clear" w:color="auto" w:fill="CFF0FC"/>
          </w:tcPr>
          <w:p>
            <w:pPr>
              <w:spacing w:after="0"/>
              <w:rPr>
                <w:sz w:val="21"/>
                <w:szCs w:val="2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20"/>
                <w:szCs w:val="20"/>
                <w:color w:val="auto"/>
              </w:rPr>
              <w:t>Effect of dilutive employee and director awards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0.1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1"/>
                <w:szCs w:val="21"/>
                <w:color w:val="auto"/>
              </w:rPr>
            </w:pPr>
          </w:p>
        </w:tc>
      </w:tr>
      <w:tr>
        <w:trPr>
          <w:trHeight w:val="220"/>
        </w:trPr>
        <w:tc>
          <w:tcPr>
            <w:tcW w:w="5240" w:type="dxa"/>
            <w:vAlign w:val="bottom"/>
            <w:tcBorders>
              <w:top w:val="single" w:sz="8" w:color="CFF0FC"/>
            </w:tcBorders>
            <w:shd w:val="clear" w:color="auto" w:fill="CFF0FC"/>
          </w:tcPr>
          <w:p>
            <w:pPr>
              <w:spacing w:after="0" w:line="220" w:lineRule="exact"/>
              <w:rPr>
                <w:sz w:val="20"/>
                <w:szCs w:val="20"/>
                <w:color w:val="auto"/>
              </w:rPr>
            </w:pPr>
            <w:r>
              <w:rPr>
                <w:rFonts w:ascii="Arial" w:cs="Arial" w:eastAsia="Arial" w:hAnsi="Arial"/>
                <w:sz w:val="20"/>
                <w:szCs w:val="20"/>
                <w:color w:val="auto"/>
              </w:rPr>
              <w:t>Diluted weighted-average common shares</w:t>
            </w: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46"/>
        </w:trPr>
        <w:tc>
          <w:tcPr>
            <w:tcW w:w="5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outstanding</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62.3</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62.5</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1"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Restricted Cash</w:t>
      </w:r>
    </w:p>
    <w:p>
      <w:pPr>
        <w:spacing w:after="0" w:line="114" w:lineRule="exact"/>
        <w:rPr>
          <w:sz w:val="20"/>
          <w:szCs w:val="20"/>
          <w:color w:val="auto"/>
        </w:rPr>
      </w:pPr>
    </w:p>
    <w:p>
      <w:pPr>
        <w:jc w:val="both"/>
        <w:ind w:left="280"/>
        <w:spacing w:after="0" w:line="243" w:lineRule="auto"/>
        <w:rPr>
          <w:sz w:val="20"/>
          <w:szCs w:val="20"/>
          <w:color w:val="auto"/>
        </w:rPr>
      </w:pPr>
      <w:r>
        <w:rPr>
          <w:rFonts w:ascii="Arial" w:cs="Arial" w:eastAsia="Arial" w:hAnsi="Arial"/>
          <w:sz w:val="20"/>
          <w:szCs w:val="20"/>
          <w:color w:val="auto"/>
        </w:rPr>
        <w:t>At June 30, 2021 and December 31, 2020, the Company had restricted cash of $17.2 million and $97.1 million, respectively, which is invested in an account designated for the purchase of like-kind exchange replacement assets under Section 1031 of the Internal Revenue Code and related IRS procedures (Section 1031). The Company is restricted from utilizing the cash for purposes other than the purchase of the qualified assets for a designated period from receipt of the proceeds from the sale of the exchanged property. Any unused cash at the end of the designated period will be transferred to unrestricted accounts of the Company and can then be used for general corporate purposes. The Company has until November 22, 2021 to use the remaining restricted cash to purchase qualified assets under Section 1031.</w:t>
      </w:r>
    </w:p>
    <w:p>
      <w:pPr>
        <w:spacing w:after="0" w:line="85" w:lineRule="exact"/>
        <w:rPr>
          <w:sz w:val="20"/>
          <w:szCs w:val="20"/>
          <w:color w:val="auto"/>
        </w:rPr>
      </w:pPr>
    </w:p>
    <w:p>
      <w:pPr>
        <w:jc w:val="both"/>
        <w:ind w:left="280"/>
        <w:spacing w:after="0" w:line="260" w:lineRule="auto"/>
        <w:rPr>
          <w:sz w:val="20"/>
          <w:szCs w:val="20"/>
          <w:color w:val="auto"/>
        </w:rPr>
      </w:pPr>
      <w:r>
        <w:rPr>
          <w:rFonts w:ascii="Arial" w:cs="Arial" w:eastAsia="Arial" w:hAnsi="Arial"/>
          <w:sz w:val="20"/>
          <w:szCs w:val="20"/>
          <w:color w:val="auto"/>
        </w:rPr>
        <w:t xml:space="preserve">In connection with Accounting Standards Update 2016-18, </w:t>
      </w:r>
      <w:r>
        <w:rPr>
          <w:rFonts w:ascii="Arial" w:cs="Arial" w:eastAsia="Arial" w:hAnsi="Arial"/>
          <w:sz w:val="20"/>
          <w:szCs w:val="20"/>
          <w:i w:val="1"/>
          <w:iCs w:val="1"/>
          <w:color w:val="auto"/>
        </w:rPr>
        <w:t>Statement of Cash Flows (Topic 230),</w:t>
      </w:r>
      <w:r>
        <w:rPr>
          <w:rFonts w:ascii="Arial" w:cs="Arial" w:eastAsia="Arial" w:hAnsi="Arial"/>
          <w:sz w:val="20"/>
          <w:szCs w:val="20"/>
          <w:color w:val="auto"/>
        </w:rPr>
        <w:t xml:space="preserve"> the statement of cash flows reflects cash flow changes and balances for cash, cash equivalents and restricted cash on an aggregated basis.</w:t>
      </w:r>
    </w:p>
    <w:p>
      <w:pPr>
        <w:spacing w:after="0" w:line="69" w:lineRule="exact"/>
        <w:rPr>
          <w:sz w:val="20"/>
          <w:szCs w:val="20"/>
          <w:color w:val="auto"/>
        </w:rPr>
      </w:pPr>
    </w:p>
    <w:p>
      <w:pPr>
        <w:jc w:val="both"/>
        <w:ind w:left="280" w:right="20"/>
        <w:spacing w:after="0" w:line="260" w:lineRule="auto"/>
        <w:rPr>
          <w:sz w:val="20"/>
          <w:szCs w:val="20"/>
          <w:color w:val="auto"/>
        </w:rPr>
      </w:pPr>
      <w:r>
        <w:rPr>
          <w:rFonts w:ascii="Arial" w:cs="Arial" w:eastAsia="Arial" w:hAnsi="Arial"/>
          <w:sz w:val="20"/>
          <w:szCs w:val="20"/>
          <w:color w:val="auto"/>
        </w:rPr>
        <w:t>The following table reconciles cash, cash equivalents and restricted cash as reported on the consolidated balance sheets to the aggregated amounts presented on the 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June 30,</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December 31,</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5760" w:type="dxa"/>
            <w:vAlign w:val="bottom"/>
          </w:tcPr>
          <w:p>
            <w:pPr>
              <w:spacing w:after="0"/>
              <w:rPr>
                <w:sz w:val="21"/>
                <w:szCs w:val="21"/>
                <w:color w:val="auto"/>
              </w:rPr>
            </w:pPr>
          </w:p>
        </w:tc>
        <w:tc>
          <w:tcPr>
            <w:tcW w:w="2340" w:type="dxa"/>
            <w:vAlign w:val="bottom"/>
            <w:gridSpan w:val="2"/>
          </w:tcPr>
          <w:p>
            <w:pPr>
              <w:jc w:val="right"/>
              <w:ind w:right="41"/>
              <w:spacing w:after="0"/>
              <w:rPr>
                <w:sz w:val="20"/>
                <w:szCs w:val="20"/>
                <w:color w:val="auto"/>
              </w:rPr>
            </w:pPr>
            <w:r>
              <w:rPr>
                <w:rFonts w:ascii="Arial" w:cs="Arial" w:eastAsia="Arial" w:hAnsi="Arial"/>
                <w:sz w:val="20"/>
                <w:szCs w:val="20"/>
                <w:color w:val="auto"/>
              </w:rPr>
              <w:t>2021</w:t>
            </w:r>
          </w:p>
        </w:tc>
        <w:tc>
          <w:tcPr>
            <w:tcW w:w="660" w:type="dxa"/>
            <w:vAlign w:val="bottom"/>
          </w:tcPr>
          <w:p>
            <w:pPr>
              <w:spacing w:after="0"/>
              <w:rPr>
                <w:sz w:val="21"/>
                <w:szCs w:val="21"/>
                <w:color w:val="auto"/>
              </w:rPr>
            </w:pPr>
          </w:p>
        </w:tc>
        <w:tc>
          <w:tcPr>
            <w:tcW w:w="1920" w:type="dxa"/>
            <w:vAlign w:val="bottom"/>
            <w:gridSpan w:val="2"/>
          </w:tcPr>
          <w:p>
            <w:pPr>
              <w:jc w:val="right"/>
              <w:ind w:right="261"/>
              <w:spacing w:after="0"/>
              <w:rPr>
                <w:sz w:val="20"/>
                <w:szCs w:val="20"/>
                <w:color w:val="auto"/>
              </w:rPr>
            </w:pPr>
            <w:r>
              <w:rPr>
                <w:rFonts w:ascii="Arial" w:cs="Arial" w:eastAsia="Arial" w:hAnsi="Arial"/>
                <w:sz w:val="20"/>
                <w:szCs w:val="20"/>
                <w:color w:val="auto"/>
              </w:rPr>
              <w:t>2020</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gridSpan w:val="3"/>
          </w:tcPr>
          <w:p>
            <w:pPr>
              <w:jc w:val="right"/>
              <w:ind w:right="821"/>
              <w:spacing w:after="0"/>
              <w:rPr>
                <w:sz w:val="20"/>
                <w:szCs w:val="20"/>
                <w:color w:val="auto"/>
              </w:rPr>
            </w:pPr>
            <w:r>
              <w:rPr>
                <w:rFonts w:ascii="Arial" w:cs="Arial" w:eastAsia="Arial" w:hAnsi="Arial"/>
                <w:sz w:val="20"/>
                <w:szCs w:val="20"/>
                <w:i w:val="1"/>
                <w:iCs w:val="1"/>
                <w:color w:val="auto"/>
                <w:w w:val="97"/>
              </w:rPr>
              <w:t>(Dollars in Millions)</w:t>
            </w: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Cash and cash equivalents</w:t>
            </w:r>
          </w:p>
        </w:tc>
        <w:tc>
          <w:tcPr>
            <w:tcW w:w="2340" w:type="dxa"/>
            <w:vAlign w:val="bottom"/>
            <w:gridSpan w:val="2"/>
            <w:shd w:val="clear" w:color="auto" w:fill="CFF0FC"/>
          </w:tcPr>
          <w:p>
            <w:pPr>
              <w:jc w:val="right"/>
              <w:ind w:right="1121"/>
              <w:spacing w:after="0"/>
              <w:rPr>
                <w:sz w:val="20"/>
                <w:szCs w:val="20"/>
                <w:color w:val="auto"/>
              </w:rPr>
            </w:pPr>
            <w:r>
              <w:rPr>
                <w:rFonts w:ascii="Arial" w:cs="Arial" w:eastAsia="Arial" w:hAnsi="Arial"/>
                <w:sz w:val="20"/>
                <w:szCs w:val="20"/>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53.1</w:t>
            </w:r>
          </w:p>
        </w:tc>
        <w:tc>
          <w:tcPr>
            <w:tcW w:w="1920" w:type="dxa"/>
            <w:vAlign w:val="bottom"/>
            <w:gridSpan w:val="2"/>
            <w:shd w:val="clear" w:color="auto" w:fill="CFF0FC"/>
          </w:tcPr>
          <w:p>
            <w:pPr>
              <w:jc w:val="right"/>
              <w:ind w:right="1361"/>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207.3</w:t>
            </w:r>
          </w:p>
        </w:tc>
        <w:tc>
          <w:tcPr>
            <w:tcW w:w="100" w:type="dxa"/>
            <w:vAlign w:val="bottom"/>
            <w:shd w:val="clear" w:color="auto" w:fill="CFF0FC"/>
          </w:tcPr>
          <w:p>
            <w:pPr>
              <w:spacing w:after="0"/>
              <w:rPr>
                <w:sz w:val="21"/>
                <w:szCs w:val="21"/>
                <w:color w:val="auto"/>
              </w:rPr>
            </w:pPr>
          </w:p>
        </w:tc>
      </w:tr>
      <w:tr>
        <w:trPr>
          <w:trHeight w:val="243"/>
        </w:trPr>
        <w:tc>
          <w:tcPr>
            <w:tcW w:w="57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Restricted cash</w:t>
            </w:r>
          </w:p>
        </w:tc>
        <w:tc>
          <w:tcPr>
            <w:tcW w:w="1020" w:type="dxa"/>
            <w:vAlign w:val="bottom"/>
            <w:tcBorders>
              <w:bottom w:val="single" w:sz="8" w:color="CFF0FC"/>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w:t>
            </w:r>
          </w:p>
        </w:tc>
        <w:tc>
          <w:tcPr>
            <w:tcW w:w="360" w:type="dxa"/>
            <w:vAlign w:val="bottom"/>
            <w:tcBorders>
              <w:bottom w:val="single" w:sz="8" w:color="CFF0FC"/>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97.1</w:t>
            </w:r>
          </w:p>
        </w:tc>
        <w:tc>
          <w:tcPr>
            <w:tcW w:w="100" w:type="dxa"/>
            <w:vAlign w:val="bottom"/>
            <w:tcBorders>
              <w:bottom w:val="single" w:sz="8" w:color="CFF0FC"/>
            </w:tcBorders>
          </w:tcPr>
          <w:p>
            <w:pPr>
              <w:spacing w:after="0"/>
              <w:rPr>
                <w:sz w:val="21"/>
                <w:szCs w:val="21"/>
                <w:color w:val="auto"/>
              </w:rPr>
            </w:pPr>
          </w:p>
        </w:tc>
      </w:tr>
      <w:tr>
        <w:trPr>
          <w:trHeight w:val="220"/>
        </w:trPr>
        <w:tc>
          <w:tcPr>
            <w:tcW w:w="576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Total cash, cash equivalents and restricted cash presented in</w:t>
            </w:r>
          </w:p>
        </w:tc>
        <w:tc>
          <w:tcPr>
            <w:tcW w:w="10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7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the consolidated statements of cash flows</w:t>
            </w:r>
          </w:p>
        </w:tc>
        <w:tc>
          <w:tcPr>
            <w:tcW w:w="2340" w:type="dxa"/>
            <w:vAlign w:val="bottom"/>
            <w:gridSpan w:val="2"/>
            <w:shd w:val="clear" w:color="auto" w:fill="CFF0FC"/>
          </w:tcPr>
          <w:p>
            <w:pPr>
              <w:jc w:val="right"/>
              <w:ind w:right="1121"/>
              <w:spacing w:after="0"/>
              <w:rPr>
                <w:sz w:val="20"/>
                <w:szCs w:val="20"/>
                <w:color w:val="auto"/>
              </w:rPr>
            </w:pPr>
            <w:r>
              <w:rPr>
                <w:rFonts w:ascii="Arial" w:cs="Arial" w:eastAsia="Arial" w:hAnsi="Arial"/>
                <w:sz w:val="20"/>
                <w:szCs w:val="20"/>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70.3</w:t>
            </w:r>
          </w:p>
        </w:tc>
        <w:tc>
          <w:tcPr>
            <w:tcW w:w="1920" w:type="dxa"/>
            <w:vAlign w:val="bottom"/>
            <w:gridSpan w:val="2"/>
            <w:shd w:val="clear" w:color="auto" w:fill="CFF0FC"/>
          </w:tcPr>
          <w:p>
            <w:pPr>
              <w:jc w:val="right"/>
              <w:ind w:right="1361"/>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304.4</w:t>
            </w:r>
          </w:p>
        </w:tc>
        <w:tc>
          <w:tcPr>
            <w:tcW w:w="100" w:type="dxa"/>
            <w:vAlign w:val="bottom"/>
            <w:shd w:val="clear" w:color="auto" w:fill="CFF0FC"/>
          </w:tcPr>
          <w:p>
            <w:pPr>
              <w:spacing w:after="0"/>
              <w:rPr>
                <w:sz w:val="21"/>
                <w:szCs w:val="21"/>
                <w:color w:val="auto"/>
              </w:rPr>
            </w:pP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7"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New Accounting Pronouncement</w:t>
      </w:r>
    </w:p>
    <w:p>
      <w:pPr>
        <w:spacing w:after="0" w:line="114" w:lineRule="exact"/>
        <w:rPr>
          <w:sz w:val="20"/>
          <w:szCs w:val="20"/>
          <w:color w:val="auto"/>
        </w:rPr>
      </w:pPr>
    </w:p>
    <w:p>
      <w:pPr>
        <w:jc w:val="both"/>
        <w:ind w:left="280"/>
        <w:spacing w:after="0" w:line="250" w:lineRule="auto"/>
        <w:rPr>
          <w:sz w:val="20"/>
          <w:szCs w:val="20"/>
          <w:color w:val="auto"/>
        </w:rPr>
      </w:pPr>
      <w:r>
        <w:rPr>
          <w:rFonts w:ascii="Arial" w:cs="Arial" w:eastAsia="Arial" w:hAnsi="Arial"/>
          <w:sz w:val="20"/>
          <w:szCs w:val="20"/>
          <w:color w:val="auto"/>
        </w:rPr>
        <w:t>In March 2020, the FASB issued Accounting Standards Update (ASU) 2020-04, “</w:t>
      </w:r>
      <w:r>
        <w:rPr>
          <w:rFonts w:ascii="Arial" w:cs="Arial" w:eastAsia="Arial" w:hAnsi="Arial"/>
          <w:sz w:val="20"/>
          <w:szCs w:val="20"/>
          <w:i w:val="1"/>
          <w:iCs w:val="1"/>
          <w:color w:val="auto"/>
        </w:rPr>
        <w:t>Reference Rate Reform (Topic 848): Facilitation of the</w:t>
      </w:r>
      <w:r>
        <w:rPr>
          <w:rFonts w:ascii="Arial" w:cs="Arial" w:eastAsia="Arial" w:hAnsi="Arial"/>
          <w:sz w:val="20"/>
          <w:szCs w:val="20"/>
          <w:color w:val="auto"/>
        </w:rPr>
        <w:t xml:space="preserve"> </w:t>
      </w:r>
      <w:r>
        <w:rPr>
          <w:rFonts w:ascii="Arial" w:cs="Arial" w:eastAsia="Arial" w:hAnsi="Arial"/>
          <w:sz w:val="20"/>
          <w:szCs w:val="20"/>
          <w:i w:val="1"/>
          <w:iCs w:val="1"/>
          <w:color w:val="auto"/>
        </w:rPr>
        <w:t>Effects of Reference Rate Reform on Financial Reporting</w:t>
      </w:r>
      <w:r>
        <w:rPr>
          <w:rFonts w:ascii="Arial" w:cs="Arial" w:eastAsia="Arial" w:hAnsi="Arial"/>
          <w:sz w:val="20"/>
          <w:szCs w:val="20"/>
          <w:color w:val="auto"/>
        </w:rPr>
        <w:t>”, an optional guidance for a limited period of time to ease the transition from</w:t>
      </w:r>
      <w:r>
        <w:rPr>
          <w:rFonts w:ascii="Arial" w:cs="Arial" w:eastAsia="Arial" w:hAnsi="Arial"/>
          <w:sz w:val="20"/>
          <w:szCs w:val="20"/>
          <w:i w:val="1"/>
          <w:iCs w:val="1"/>
          <w:color w:val="auto"/>
        </w:rPr>
        <w:t xml:space="preserve"> </w:t>
      </w:r>
      <w:r>
        <w:rPr>
          <w:rFonts w:ascii="Arial" w:cs="Arial" w:eastAsia="Arial" w:hAnsi="Arial"/>
          <w:sz w:val="20"/>
          <w:szCs w:val="20"/>
          <w:color w:val="auto"/>
        </w:rPr>
        <w:t>the London interbank offered rate (“LIBOR”) to an alternative reference rate.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280"/>
        <w:spacing w:after="0" w:line="246" w:lineRule="auto"/>
        <w:rPr>
          <w:sz w:val="20"/>
          <w:szCs w:val="20"/>
          <w:color w:val="auto"/>
        </w:rPr>
      </w:pPr>
      <w:r>
        <w:rPr>
          <w:rFonts w:ascii="Arial" w:cs="Arial" w:eastAsia="Arial" w:hAnsi="Arial"/>
          <w:sz w:val="20"/>
          <w:szCs w:val="20"/>
          <w:color w:val="auto"/>
        </w:rPr>
        <w:t>ASU intends to address certain concerns relating to accounting for contract modifications and hedge accounting. These optional expedients and exceptions to applying U.S. GAAP, assuming certain criteria are met, are allowed through December 31, 2022, and any amendments should be applied on a prospective basis. The Company does not expect the transition from LIBOR to have a material impact on its consolidated financial statements.</w:t>
      </w:r>
    </w:p>
    <w:p>
      <w:pPr>
        <w:spacing w:after="0" w:line="293" w:lineRule="exact"/>
        <w:rPr>
          <w:sz w:val="20"/>
          <w:szCs w:val="20"/>
          <w:color w:val="auto"/>
        </w:rPr>
      </w:pPr>
    </w:p>
    <w:p>
      <w:pPr>
        <w:ind w:left="280" w:hanging="272"/>
        <w:spacing w:after="0"/>
        <w:tabs>
          <w:tab w:leader="none" w:pos="2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13" w:lineRule="exact"/>
        <w:rPr>
          <w:rFonts w:ascii="Arial" w:cs="Arial" w:eastAsia="Arial" w:hAnsi="Arial"/>
          <w:sz w:val="20"/>
          <w:szCs w:val="20"/>
          <w:b w:val="1"/>
          <w:bCs w:val="1"/>
          <w:color w:val="auto"/>
        </w:rPr>
      </w:pPr>
    </w:p>
    <w:p>
      <w:pPr>
        <w:jc w:val="both"/>
        <w:ind w:left="28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recognized using the percentage-of-completion method under the cost-to-cost approach. Freight revenues reflect delivery arranged by the Company using a third party on behalf of the customer and are recognized consistently with the timing of the product revenues.</w:t>
      </w:r>
    </w:p>
    <w:p>
      <w:pPr>
        <w:spacing w:after="0" w:line="56" w:lineRule="exact"/>
        <w:rPr>
          <w:rFonts w:ascii="Arial" w:cs="Arial" w:eastAsia="Arial" w:hAnsi="Arial"/>
          <w:sz w:val="20"/>
          <w:szCs w:val="20"/>
          <w:b w:val="1"/>
          <w:bCs w:val="1"/>
          <w:color w:val="auto"/>
        </w:rPr>
      </w:pPr>
    </w:p>
    <w:p>
      <w:pPr>
        <w:jc w:val="both"/>
        <w:ind w:left="280"/>
        <w:spacing w:after="0" w:line="260"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Performance Obligations. </w:t>
      </w:r>
      <w:r>
        <w:rPr>
          <w:rFonts w:ascii="Arial" w:cs="Arial" w:eastAsia="Arial" w:hAnsi="Arial"/>
          <w:sz w:val="19"/>
          <w:szCs w:val="19"/>
          <w:color w:val="auto"/>
        </w:rPr>
        <w:t>Performance obligations are contractual promises to transfer or provide a distinct good or service for a stated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The Company’s product sales agreements are single-performance obligations that are satisfied at a point in time. Performance obligations within paving service agreements are satisfied over time, primarily ranging from one day to two years. For product revenues and freight revenues, customer payment terms are generally 30 days from invoice date. Customer payments for the paving operations are based on a contractual billing schedule and are due 30 days from invoice date.</w:t>
      </w:r>
    </w:p>
    <w:p>
      <w:pPr>
        <w:spacing w:after="0" w:line="72" w:lineRule="exact"/>
        <w:rPr>
          <w:rFonts w:ascii="Arial" w:cs="Arial" w:eastAsia="Arial" w:hAnsi="Arial"/>
          <w:sz w:val="20"/>
          <w:szCs w:val="20"/>
          <w:b w:val="1"/>
          <w:bCs w:val="1"/>
          <w:color w:val="auto"/>
        </w:rPr>
      </w:pPr>
    </w:p>
    <w:p>
      <w:pPr>
        <w:jc w:val="both"/>
        <w:ind w:left="2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Future revenues from unsatisfied performance obligations at June 30, 2021 and 2020 were $215.5 million and $202.7 million, respectively, where the remaining periods to complete these obligations ranged from one month to 21 months and one month to 14 months,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280"/>
        <w:spacing w:after="0"/>
        <w:rPr>
          <w:sz w:val="20"/>
          <w:szCs w:val="20"/>
          <w:color w:val="auto"/>
        </w:rPr>
      </w:pPr>
      <w:r>
        <w:rPr>
          <w:rFonts w:ascii="Arial" w:cs="Arial" w:eastAsia="Arial" w:hAnsi="Arial"/>
          <w:sz w:val="19"/>
          <w:szCs w:val="19"/>
          <w:b w:val="1"/>
          <w:bCs w:val="1"/>
          <w:i w:val="1"/>
          <w:iCs w:val="1"/>
          <w:color w:val="auto"/>
        </w:rPr>
        <w:t xml:space="preserve">Revenue by Category. </w:t>
      </w:r>
      <w:r>
        <w:rPr>
          <w:rFonts w:ascii="Arial" w:cs="Arial" w:eastAsia="Arial" w:hAnsi="Arial"/>
          <w:sz w:val="19"/>
          <w:szCs w:val="19"/>
          <w:color w:val="auto"/>
        </w:rPr>
        <w:t>The following table presents the Company’s total revenues by category for each reportable segment.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6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6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20"/>
                <w:szCs w:val="20"/>
                <w:color w:val="auto"/>
                <w:w w:val="86"/>
              </w:rPr>
              <w:t>June 30, 2021</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1"/>
              <w:spacing w:after="0" w:line="220" w:lineRule="exact"/>
              <w:rPr>
                <w:sz w:val="20"/>
                <w:szCs w:val="20"/>
                <w:color w:val="auto"/>
              </w:rPr>
            </w:pPr>
            <w:r>
              <w:rPr>
                <w:rFonts w:ascii="Arial" w:cs="Arial" w:eastAsia="Arial" w:hAnsi="Arial"/>
                <w:sz w:val="20"/>
                <w:szCs w:val="20"/>
                <w:color w:val="auto"/>
                <w:w w:val="86"/>
              </w:rPr>
              <w:t>Products and</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61"/>
              <w:spacing w:after="0"/>
              <w:rPr>
                <w:sz w:val="20"/>
                <w:szCs w:val="20"/>
                <w:color w:val="auto"/>
              </w:rPr>
            </w:pPr>
            <w:r>
              <w:rPr>
                <w:rFonts w:ascii="Arial" w:cs="Arial" w:eastAsia="Arial" w:hAnsi="Arial"/>
                <w:sz w:val="20"/>
                <w:szCs w:val="20"/>
                <w:color w:val="auto"/>
                <w:w w:val="86"/>
              </w:rPr>
              <w:t>Services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20"/>
                <w:szCs w:val="20"/>
                <w:color w:val="auto"/>
                <w:w w:val="93"/>
              </w:rPr>
              <w:t>Freight</w:t>
            </w:r>
          </w:p>
        </w:tc>
        <w:tc>
          <w:tcPr>
            <w:tcW w:w="32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3"/>
        </w:trPr>
        <w:tc>
          <w:tcPr>
            <w:tcW w:w="6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060" w:type="dxa"/>
            <w:vAlign w:val="bottom"/>
          </w:tcPr>
          <w:p>
            <w:pPr>
              <w:spacing w:after="0"/>
              <w:rPr>
                <w:sz w:val="20"/>
                <w:szCs w:val="20"/>
                <w:color w:val="auto"/>
              </w:rPr>
            </w:pPr>
            <w:r>
              <w:rPr>
                <w:rFonts w:ascii="Arial" w:cs="Arial" w:eastAsia="Arial" w:hAnsi="Arial"/>
                <w:sz w:val="20"/>
                <w:szCs w:val="20"/>
                <w:color w:val="auto"/>
              </w:rPr>
              <w:t>East Group</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596.5</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38.8</w:t>
            </w:r>
          </w:p>
        </w:tc>
        <w:tc>
          <w:tcPr>
            <w:tcW w:w="28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635.3</w:t>
            </w:r>
          </w:p>
        </w:tc>
        <w:tc>
          <w:tcPr>
            <w:tcW w:w="100" w:type="dxa"/>
            <w:vAlign w:val="bottom"/>
          </w:tcPr>
          <w:p>
            <w:pPr>
              <w:spacing w:after="0"/>
              <w:rPr>
                <w:sz w:val="21"/>
                <w:szCs w:val="21"/>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628.8</w:t>
            </w:r>
          </w:p>
        </w:tc>
        <w:tc>
          <w:tcPr>
            <w:tcW w:w="2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38.0</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666.8</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1,225.3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76.8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1,302.1</w:t>
            </w:r>
          </w:p>
        </w:tc>
        <w:tc>
          <w:tcPr>
            <w:tcW w:w="100" w:type="dxa"/>
            <w:vAlign w:val="bottom"/>
          </w:tcPr>
          <w:p>
            <w:pPr>
              <w:spacing w:after="0"/>
              <w:rPr>
                <w:sz w:val="20"/>
                <w:szCs w:val="20"/>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70.0</w:t>
            </w:r>
          </w:p>
        </w:tc>
        <w:tc>
          <w:tcPr>
            <w:tcW w:w="2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75.8</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1,295.3</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82.6</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1,377.9</w:t>
            </w:r>
          </w:p>
        </w:tc>
        <w:tc>
          <w:tcPr>
            <w:tcW w:w="100" w:type="dxa"/>
            <w:vAlign w:val="bottom"/>
          </w:tcPr>
          <w:p>
            <w:pPr>
              <w:spacing w:after="0"/>
              <w:rPr>
                <w:sz w:val="20"/>
                <w:szCs w:val="20"/>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3"/>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6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20"/>
                <w:szCs w:val="20"/>
                <w:color w:val="auto"/>
                <w:w w:val="86"/>
              </w:rPr>
              <w:t>June 30, 2020</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1"/>
              <w:spacing w:after="0" w:line="220" w:lineRule="exact"/>
              <w:rPr>
                <w:sz w:val="20"/>
                <w:szCs w:val="20"/>
                <w:color w:val="auto"/>
              </w:rPr>
            </w:pPr>
            <w:r>
              <w:rPr>
                <w:rFonts w:ascii="Arial" w:cs="Arial" w:eastAsia="Arial" w:hAnsi="Arial"/>
                <w:sz w:val="20"/>
                <w:szCs w:val="20"/>
                <w:color w:val="auto"/>
                <w:w w:val="86"/>
              </w:rPr>
              <w:t>Products and</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61"/>
              <w:spacing w:after="0"/>
              <w:rPr>
                <w:sz w:val="20"/>
                <w:szCs w:val="20"/>
                <w:color w:val="auto"/>
              </w:rPr>
            </w:pPr>
            <w:r>
              <w:rPr>
                <w:rFonts w:ascii="Arial" w:cs="Arial" w:eastAsia="Arial" w:hAnsi="Arial"/>
                <w:sz w:val="20"/>
                <w:szCs w:val="20"/>
                <w:color w:val="auto"/>
                <w:w w:val="86"/>
              </w:rPr>
              <w:t>Services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20"/>
                <w:szCs w:val="20"/>
                <w:color w:val="auto"/>
                <w:w w:val="93"/>
              </w:rPr>
              <w:t>Freight</w:t>
            </w:r>
          </w:p>
        </w:tc>
        <w:tc>
          <w:tcPr>
            <w:tcW w:w="32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3"/>
        </w:trPr>
        <w:tc>
          <w:tcPr>
            <w:tcW w:w="6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060" w:type="dxa"/>
            <w:vAlign w:val="bottom"/>
          </w:tcPr>
          <w:p>
            <w:pPr>
              <w:spacing w:after="0"/>
              <w:rPr>
                <w:sz w:val="20"/>
                <w:szCs w:val="20"/>
                <w:color w:val="auto"/>
              </w:rPr>
            </w:pPr>
            <w:r>
              <w:rPr>
                <w:rFonts w:ascii="Arial" w:cs="Arial" w:eastAsia="Arial" w:hAnsi="Arial"/>
                <w:sz w:val="20"/>
                <w:szCs w:val="20"/>
                <w:color w:val="auto"/>
              </w:rPr>
              <w:t>East Group</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499.7</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34.8</w:t>
            </w:r>
          </w:p>
        </w:tc>
        <w:tc>
          <w:tcPr>
            <w:tcW w:w="28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534.5</w:t>
            </w:r>
          </w:p>
        </w:tc>
        <w:tc>
          <w:tcPr>
            <w:tcW w:w="100" w:type="dxa"/>
            <w:vAlign w:val="bottom"/>
          </w:tcPr>
          <w:p>
            <w:pPr>
              <w:spacing w:after="0"/>
              <w:rPr>
                <w:sz w:val="21"/>
                <w:szCs w:val="21"/>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640.9</w:t>
            </w:r>
          </w:p>
        </w:tc>
        <w:tc>
          <w:tcPr>
            <w:tcW w:w="2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41.6</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682.5</w:t>
            </w:r>
          </w:p>
        </w:tc>
        <w:tc>
          <w:tcPr>
            <w:tcW w:w="100" w:type="dxa"/>
            <w:vAlign w:val="bottom"/>
            <w:shd w:val="clear" w:color="auto" w:fill="CFF0FC"/>
          </w:tcPr>
          <w:p>
            <w:pPr>
              <w:spacing w:after="0"/>
              <w:rPr>
                <w:sz w:val="21"/>
                <w:szCs w:val="21"/>
                <w:color w:val="auto"/>
              </w:rPr>
            </w:pPr>
          </w:p>
        </w:tc>
      </w:tr>
      <w:tr>
        <w:trPr>
          <w:trHeight w:val="236"/>
        </w:trPr>
        <w:tc>
          <w:tcPr>
            <w:tcW w:w="60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1,140.6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76.4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1,217.0</w:t>
            </w:r>
          </w:p>
        </w:tc>
        <w:tc>
          <w:tcPr>
            <w:tcW w:w="100" w:type="dxa"/>
            <w:vAlign w:val="bottom"/>
          </w:tcPr>
          <w:p>
            <w:pPr>
              <w:spacing w:after="0"/>
              <w:rPr>
                <w:sz w:val="20"/>
                <w:szCs w:val="20"/>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48.9</w:t>
            </w:r>
          </w:p>
        </w:tc>
        <w:tc>
          <w:tcPr>
            <w:tcW w:w="2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53.6</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1,189.5</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81.1</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1,270.6</w:t>
            </w:r>
          </w:p>
        </w:tc>
        <w:tc>
          <w:tcPr>
            <w:tcW w:w="100" w:type="dxa"/>
            <w:vAlign w:val="bottom"/>
          </w:tcPr>
          <w:p>
            <w:pPr>
              <w:spacing w:after="0"/>
              <w:rPr>
                <w:sz w:val="20"/>
                <w:szCs w:val="20"/>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8" w:lineRule="exact"/>
        <w:rPr>
          <w:sz w:val="20"/>
          <w:szCs w:val="20"/>
          <w:color w:val="auto"/>
        </w:rPr>
      </w:pPr>
    </w:p>
    <w:p>
      <w:pPr>
        <w:ind w:left="280"/>
        <w:spacing w:after="0" w:line="260" w:lineRule="auto"/>
        <w:rPr>
          <w:sz w:val="20"/>
          <w:szCs w:val="20"/>
          <w:color w:val="auto"/>
        </w:rPr>
      </w:pPr>
      <w:r>
        <w:rPr>
          <w:rFonts w:ascii="Arial" w:cs="Arial" w:eastAsia="Arial" w:hAnsi="Arial"/>
          <w:sz w:val="20"/>
          <w:szCs w:val="20"/>
          <w:color w:val="auto"/>
        </w:rPr>
        <w:t>Service revenues, which include paving operations located in Colorado, were $73.4 million and $94.0 million for the three months ended June 30, 2021 and 2020, respectively.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3"/>
          </w:tcPr>
          <w:p>
            <w:pPr>
              <w:ind w:left="160"/>
              <w:spacing w:after="0"/>
              <w:rPr>
                <w:sz w:val="20"/>
                <w:szCs w:val="20"/>
                <w:color w:val="auto"/>
              </w:rPr>
            </w:pPr>
            <w:r>
              <w:rPr>
                <w:rFonts w:ascii="Arial" w:cs="Arial" w:eastAsia="Arial" w:hAnsi="Arial"/>
                <w:sz w:val="20"/>
                <w:szCs w:val="20"/>
                <w:color w:val="auto"/>
                <w:w w:val="97"/>
              </w:rPr>
              <w:t>Six Months Ended</w:t>
            </w: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43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88"/>
              </w:rPr>
              <w:t>June 30, 2021</w:t>
            </w: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0"/>
        </w:trPr>
        <w:tc>
          <w:tcPr>
            <w:tcW w:w="4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80"/>
              <w:spacing w:after="0" w:line="220" w:lineRule="exact"/>
              <w:rPr>
                <w:sz w:val="20"/>
                <w:szCs w:val="20"/>
                <w:color w:val="auto"/>
              </w:rPr>
            </w:pPr>
            <w:r>
              <w:rPr>
                <w:rFonts w:ascii="Arial" w:cs="Arial" w:eastAsia="Arial" w:hAnsi="Arial"/>
                <w:sz w:val="20"/>
                <w:szCs w:val="20"/>
                <w:color w:val="auto"/>
                <w:w w:val="88"/>
              </w:rPr>
              <w:t>Products and</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43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Services</w:t>
            </w:r>
          </w:p>
        </w:tc>
        <w:tc>
          <w:tcPr>
            <w:tcW w:w="30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Freight</w:t>
            </w:r>
          </w:p>
        </w:tc>
        <w:tc>
          <w:tcPr>
            <w:tcW w:w="460" w:type="dxa"/>
            <w:vAlign w:val="bottom"/>
          </w:tcPr>
          <w:p>
            <w:pPr>
              <w:spacing w:after="0"/>
              <w:rPr>
                <w:sz w:val="21"/>
                <w:szCs w:val="21"/>
                <w:color w:val="auto"/>
              </w:rPr>
            </w:pPr>
          </w:p>
        </w:tc>
        <w:tc>
          <w:tcPr>
            <w:tcW w:w="1320" w:type="dxa"/>
            <w:vAlign w:val="bottom"/>
            <w:gridSpan w:val="2"/>
          </w:tcPr>
          <w:p>
            <w:pPr>
              <w:ind w:left="240"/>
              <w:spacing w:after="0"/>
              <w:rPr>
                <w:sz w:val="20"/>
                <w:szCs w:val="20"/>
                <w:color w:val="auto"/>
              </w:rPr>
            </w:pPr>
            <w:r>
              <w:rPr>
                <w:rFonts w:ascii="Arial" w:cs="Arial" w:eastAsia="Arial" w:hAnsi="Arial"/>
                <w:sz w:val="20"/>
                <w:szCs w:val="20"/>
                <w:color w:val="auto"/>
              </w:rPr>
              <w:t>Total</w:t>
            </w:r>
          </w:p>
        </w:tc>
      </w:tr>
      <w:tr>
        <w:trPr>
          <w:trHeight w:val="237"/>
        </w:trPr>
        <w:tc>
          <w:tcPr>
            <w:tcW w:w="4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i w:val="1"/>
                <w:iCs w:val="1"/>
                <w:color w:val="auto"/>
                <w:w w:val="97"/>
              </w:rPr>
              <w:t>(Dollars in Millions)</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380" w:type="dxa"/>
            <w:vAlign w:val="bottom"/>
            <w:shd w:val="clear" w:color="auto" w:fill="CFF0FC"/>
          </w:tcPr>
          <w:p>
            <w:pPr>
              <w:spacing w:after="0"/>
              <w:rPr>
                <w:sz w:val="20"/>
                <w:szCs w:val="20"/>
                <w:color w:val="auto"/>
              </w:rPr>
            </w:pPr>
            <w:r>
              <w:rPr>
                <w:rFonts w:ascii="Arial" w:cs="Arial" w:eastAsia="Arial" w:hAnsi="Arial"/>
                <w:sz w:val="20"/>
                <w:szCs w:val="20"/>
                <w:color w:val="auto"/>
              </w:rPr>
              <w:t>East Group</w:t>
            </w: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969.1</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61.1</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1,030.2</w:t>
            </w:r>
          </w:p>
        </w:tc>
        <w:tc>
          <w:tcPr>
            <w:tcW w:w="120" w:type="dxa"/>
            <w:vAlign w:val="bottom"/>
            <w:shd w:val="clear" w:color="auto" w:fill="CFF0FC"/>
          </w:tcPr>
          <w:p>
            <w:pPr>
              <w:spacing w:after="0"/>
              <w:rPr>
                <w:sz w:val="21"/>
                <w:szCs w:val="21"/>
                <w:color w:val="auto"/>
              </w:rPr>
            </w:pPr>
          </w:p>
        </w:tc>
      </w:tr>
      <w:tr>
        <w:trPr>
          <w:trHeight w:val="243"/>
        </w:trPr>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West Group</w:t>
            </w:r>
          </w:p>
        </w:tc>
        <w:tc>
          <w:tcPr>
            <w:tcW w:w="17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1,112.9</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70.5</w:t>
            </w:r>
          </w:p>
        </w:tc>
        <w:tc>
          <w:tcPr>
            <w:tcW w:w="12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1,183.4</w:t>
            </w:r>
          </w:p>
        </w:tc>
        <w:tc>
          <w:tcPr>
            <w:tcW w:w="120" w:type="dxa"/>
            <w:vAlign w:val="bottom"/>
            <w:tcBorders>
              <w:bottom w:val="single" w:sz="8" w:color="CFF0FC"/>
            </w:tcBorders>
          </w:tcPr>
          <w:p>
            <w:pPr>
              <w:spacing w:after="0"/>
              <w:rPr>
                <w:sz w:val="21"/>
                <w:szCs w:val="21"/>
                <w:color w:val="auto"/>
              </w:rPr>
            </w:pPr>
          </w:p>
        </w:tc>
      </w:tr>
      <w:tr>
        <w:trPr>
          <w:trHeight w:val="237"/>
        </w:trPr>
        <w:tc>
          <w:tcPr>
            <w:tcW w:w="438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2,082.0</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131.6</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2,213.6</w:t>
            </w:r>
          </w:p>
        </w:tc>
        <w:tc>
          <w:tcPr>
            <w:tcW w:w="120" w:type="dxa"/>
            <w:vAlign w:val="bottom"/>
            <w:shd w:val="clear" w:color="auto" w:fill="CFF0FC"/>
          </w:tcPr>
          <w:p>
            <w:pPr>
              <w:spacing w:after="0"/>
              <w:rPr>
                <w:sz w:val="20"/>
                <w:szCs w:val="20"/>
                <w:color w:val="auto"/>
              </w:rPr>
            </w:pPr>
          </w:p>
        </w:tc>
      </w:tr>
      <w:tr>
        <w:trPr>
          <w:trHeight w:val="243"/>
        </w:trPr>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Magnesia Specialties</w:t>
            </w:r>
          </w:p>
        </w:tc>
        <w:tc>
          <w:tcPr>
            <w:tcW w:w="17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135.2</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w:t>
            </w:r>
          </w:p>
        </w:tc>
        <w:tc>
          <w:tcPr>
            <w:tcW w:w="12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146.7</w:t>
            </w:r>
          </w:p>
        </w:tc>
        <w:tc>
          <w:tcPr>
            <w:tcW w:w="120" w:type="dxa"/>
            <w:vAlign w:val="bottom"/>
            <w:tcBorders>
              <w:bottom w:val="single" w:sz="8" w:color="CFF0FC"/>
            </w:tcBorders>
          </w:tcPr>
          <w:p>
            <w:pPr>
              <w:spacing w:after="0"/>
              <w:rPr>
                <w:sz w:val="21"/>
                <w:szCs w:val="21"/>
                <w:color w:val="auto"/>
              </w:rPr>
            </w:pPr>
          </w:p>
        </w:tc>
      </w:tr>
      <w:tr>
        <w:trPr>
          <w:trHeight w:val="237"/>
        </w:trPr>
        <w:tc>
          <w:tcPr>
            <w:tcW w:w="4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88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2,217.2</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143.1</w:t>
            </w: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2,360.3</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3"/>
        </w:trPr>
        <w:tc>
          <w:tcPr>
            <w:tcW w:w="4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center"/>
              <w:spacing w:after="0"/>
              <w:rPr>
                <w:sz w:val="20"/>
                <w:szCs w:val="20"/>
                <w:color w:val="auto"/>
              </w:rPr>
            </w:pPr>
            <w:r>
              <w:rPr>
                <w:rFonts w:ascii="Arial" w:cs="Arial" w:eastAsia="Arial" w:hAnsi="Arial"/>
                <w:sz w:val="20"/>
                <w:szCs w:val="20"/>
                <w:color w:val="auto"/>
                <w:w w:val="91"/>
              </w:rPr>
              <w:t>Six Months Ended</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6"/>
        </w:trPr>
        <w:tc>
          <w:tcPr>
            <w:tcW w:w="4380" w:type="dxa"/>
            <w:vAlign w:val="bottom"/>
            <w:tcBorders>
              <w:bottom w:val="single" w:sz="8" w:color="CFF0FC"/>
            </w:tcBorders>
          </w:tcPr>
          <w:p>
            <w:pPr>
              <w:spacing w:after="0"/>
              <w:rPr>
                <w:sz w:val="21"/>
                <w:szCs w:val="21"/>
                <w:color w:val="auto"/>
              </w:rPr>
            </w:pPr>
          </w:p>
        </w:tc>
        <w:tc>
          <w:tcPr>
            <w:tcW w:w="17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20"/>
                <w:szCs w:val="20"/>
                <w:color w:val="auto"/>
                <w:w w:val="88"/>
              </w:rPr>
              <w:t>June 30, 2020</w:t>
            </w: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20"/>
        </w:trPr>
        <w:tc>
          <w:tcPr>
            <w:tcW w:w="43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center"/>
              <w:ind w:right="280"/>
              <w:spacing w:after="0" w:line="220" w:lineRule="exact"/>
              <w:rPr>
                <w:sz w:val="20"/>
                <w:szCs w:val="20"/>
                <w:color w:val="auto"/>
              </w:rPr>
            </w:pPr>
            <w:r>
              <w:rPr>
                <w:rFonts w:ascii="Arial" w:cs="Arial" w:eastAsia="Arial" w:hAnsi="Arial"/>
                <w:sz w:val="20"/>
                <w:szCs w:val="20"/>
                <w:color w:val="auto"/>
                <w:w w:val="88"/>
              </w:rPr>
              <w:t>Products and</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6"/>
        </w:trPr>
        <w:tc>
          <w:tcPr>
            <w:tcW w:w="438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center"/>
              <w:ind w:right="280"/>
              <w:spacing w:after="0"/>
              <w:rPr>
                <w:sz w:val="20"/>
                <w:szCs w:val="20"/>
                <w:color w:val="auto"/>
              </w:rPr>
            </w:pPr>
            <w:r>
              <w:rPr>
                <w:rFonts w:ascii="Arial" w:cs="Arial" w:eastAsia="Arial" w:hAnsi="Arial"/>
                <w:sz w:val="20"/>
                <w:szCs w:val="20"/>
                <w:color w:val="auto"/>
                <w:w w:val="88"/>
              </w:rPr>
              <w:t>Services</w:t>
            </w:r>
          </w:p>
        </w:tc>
        <w:tc>
          <w:tcPr>
            <w:tcW w:w="3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center"/>
              <w:ind w:right="280"/>
              <w:spacing w:after="0"/>
              <w:rPr>
                <w:sz w:val="20"/>
                <w:szCs w:val="20"/>
                <w:color w:val="auto"/>
              </w:rPr>
            </w:pPr>
            <w:r>
              <w:rPr>
                <w:rFonts w:ascii="Arial" w:cs="Arial" w:eastAsia="Arial" w:hAnsi="Arial"/>
                <w:sz w:val="20"/>
                <w:szCs w:val="20"/>
                <w:color w:val="auto"/>
                <w:w w:val="93"/>
              </w:rPr>
              <w:t>Freight</w:t>
            </w:r>
          </w:p>
        </w:tc>
        <w:tc>
          <w:tcPr>
            <w:tcW w:w="4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Total</w:t>
            </w:r>
          </w:p>
        </w:tc>
      </w:tr>
      <w:tr>
        <w:trPr>
          <w:trHeight w:val="237"/>
        </w:trPr>
        <w:tc>
          <w:tcPr>
            <w:tcW w:w="4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i w:val="1"/>
                <w:iCs w:val="1"/>
                <w:color w:val="auto"/>
                <w:w w:val="97"/>
              </w:rPr>
              <w:t>(Dollars in Millions)</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380" w:type="dxa"/>
            <w:vAlign w:val="bottom"/>
            <w:shd w:val="clear" w:color="auto" w:fill="CFF0FC"/>
          </w:tcPr>
          <w:p>
            <w:pPr>
              <w:spacing w:after="0"/>
              <w:rPr>
                <w:sz w:val="20"/>
                <w:szCs w:val="20"/>
                <w:color w:val="auto"/>
              </w:rPr>
            </w:pPr>
            <w:r>
              <w:rPr>
                <w:rFonts w:ascii="Arial" w:cs="Arial" w:eastAsia="Arial" w:hAnsi="Arial"/>
                <w:sz w:val="20"/>
                <w:szCs w:val="20"/>
                <w:color w:val="auto"/>
              </w:rPr>
              <w:t>East Group</w:t>
            </w: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857.6</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58.9</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916.5</w:t>
            </w:r>
          </w:p>
        </w:tc>
        <w:tc>
          <w:tcPr>
            <w:tcW w:w="120" w:type="dxa"/>
            <w:vAlign w:val="bottom"/>
            <w:shd w:val="clear" w:color="auto" w:fill="CFF0FC"/>
          </w:tcPr>
          <w:p>
            <w:pPr>
              <w:spacing w:after="0"/>
              <w:rPr>
                <w:sz w:val="21"/>
                <w:szCs w:val="21"/>
                <w:color w:val="auto"/>
              </w:rPr>
            </w:pPr>
          </w:p>
        </w:tc>
      </w:tr>
      <w:tr>
        <w:trPr>
          <w:trHeight w:val="243"/>
        </w:trPr>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West Group</w:t>
            </w:r>
          </w:p>
        </w:tc>
        <w:tc>
          <w:tcPr>
            <w:tcW w:w="17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1,114.1</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79.0</w:t>
            </w:r>
          </w:p>
        </w:tc>
        <w:tc>
          <w:tcPr>
            <w:tcW w:w="12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1,193.1</w:t>
            </w:r>
          </w:p>
        </w:tc>
        <w:tc>
          <w:tcPr>
            <w:tcW w:w="120" w:type="dxa"/>
            <w:vAlign w:val="bottom"/>
            <w:tcBorders>
              <w:bottom w:val="single" w:sz="8" w:color="CFF0FC"/>
            </w:tcBorders>
          </w:tcPr>
          <w:p>
            <w:pPr>
              <w:spacing w:after="0"/>
              <w:rPr>
                <w:sz w:val="21"/>
                <w:szCs w:val="21"/>
                <w:color w:val="auto"/>
              </w:rPr>
            </w:pPr>
          </w:p>
        </w:tc>
      </w:tr>
      <w:tr>
        <w:trPr>
          <w:trHeight w:val="237"/>
        </w:trPr>
        <w:tc>
          <w:tcPr>
            <w:tcW w:w="438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1,971.7</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137.9</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2,109.6</w:t>
            </w:r>
          </w:p>
        </w:tc>
        <w:tc>
          <w:tcPr>
            <w:tcW w:w="120" w:type="dxa"/>
            <w:vAlign w:val="bottom"/>
            <w:shd w:val="clear" w:color="auto" w:fill="CFF0FC"/>
          </w:tcPr>
          <w:p>
            <w:pPr>
              <w:spacing w:after="0"/>
              <w:rPr>
                <w:sz w:val="20"/>
                <w:szCs w:val="20"/>
                <w:color w:val="auto"/>
              </w:rPr>
            </w:pPr>
          </w:p>
        </w:tc>
      </w:tr>
      <w:tr>
        <w:trPr>
          <w:trHeight w:val="243"/>
        </w:trPr>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Magnesia Specialties</w:t>
            </w:r>
          </w:p>
        </w:tc>
        <w:tc>
          <w:tcPr>
            <w:tcW w:w="17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108.8</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w:t>
            </w:r>
          </w:p>
        </w:tc>
        <w:tc>
          <w:tcPr>
            <w:tcW w:w="12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119.3</w:t>
            </w:r>
          </w:p>
        </w:tc>
        <w:tc>
          <w:tcPr>
            <w:tcW w:w="120" w:type="dxa"/>
            <w:vAlign w:val="bottom"/>
            <w:tcBorders>
              <w:bottom w:val="single" w:sz="8" w:color="CFF0FC"/>
            </w:tcBorders>
          </w:tcPr>
          <w:p>
            <w:pPr>
              <w:spacing w:after="0"/>
              <w:rPr>
                <w:sz w:val="21"/>
                <w:szCs w:val="21"/>
                <w:color w:val="auto"/>
              </w:rPr>
            </w:pPr>
          </w:p>
        </w:tc>
      </w:tr>
      <w:tr>
        <w:trPr>
          <w:trHeight w:val="257"/>
        </w:trPr>
        <w:tc>
          <w:tcPr>
            <w:tcW w:w="4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88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2,080.5</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148.4</w:t>
            </w:r>
          </w:p>
        </w:tc>
        <w:tc>
          <w:tcPr>
            <w:tcW w:w="1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2,228.9</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8" w:lineRule="exact"/>
        <w:rPr>
          <w:sz w:val="20"/>
          <w:szCs w:val="20"/>
          <w:color w:val="auto"/>
        </w:rPr>
      </w:pPr>
    </w:p>
    <w:p>
      <w:pPr>
        <w:ind w:left="280"/>
        <w:spacing w:after="0"/>
        <w:rPr>
          <w:sz w:val="20"/>
          <w:szCs w:val="20"/>
          <w:color w:val="auto"/>
        </w:rPr>
      </w:pPr>
      <w:r>
        <w:rPr>
          <w:rFonts w:ascii="Arial" w:cs="Arial" w:eastAsia="Arial" w:hAnsi="Arial"/>
          <w:sz w:val="20"/>
          <w:szCs w:val="20"/>
          <w:color w:val="auto"/>
        </w:rPr>
        <w:t>Service revenues for the six months ended June 30, 2021 and 2020 were $82.2 million and $108.5 million, respectively.</w:t>
      </w:r>
    </w:p>
    <w:p>
      <w:pPr>
        <w:spacing w:after="0" w:line="108" w:lineRule="exact"/>
        <w:rPr>
          <w:sz w:val="20"/>
          <w:szCs w:val="20"/>
          <w:color w:val="auto"/>
        </w:rPr>
      </w:pPr>
    </w:p>
    <w:p>
      <w:pPr>
        <w:jc w:val="both"/>
        <w:ind w:left="280"/>
        <w:spacing w:after="0" w:line="244" w:lineRule="auto"/>
        <w:rPr>
          <w:sz w:val="20"/>
          <w:szCs w:val="20"/>
          <w:color w:val="auto"/>
        </w:rPr>
      </w:pPr>
      <w:r>
        <w:rPr>
          <w:rFonts w:ascii="Arial" w:cs="Arial" w:eastAsia="Arial" w:hAnsi="Arial"/>
          <w:sz w:val="20"/>
          <w:szCs w:val="20"/>
          <w:b w:val="1"/>
          <w:bCs w:val="1"/>
          <w:i w:val="1"/>
          <w:iCs w:val="1"/>
          <w:color w:val="auto"/>
        </w:rPr>
        <w:t xml:space="preserve">Contract Balances. </w:t>
      </w:r>
      <w:r>
        <w:rPr>
          <w:rFonts w:ascii="Arial" w:cs="Arial" w:eastAsia="Arial" w:hAnsi="Arial"/>
          <w:sz w:val="20"/>
          <w:szCs w:val="20"/>
          <w:color w:val="auto"/>
        </w:rPr>
        <w:t>Costs in excess of billings relate to the conditional right to consideration for completed contractual performance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60" w:type="dxa"/>
            <w:vAlign w:val="bottom"/>
          </w:tcPr>
          <w:p>
            <w:pPr>
              <w:spacing w:after="0"/>
              <w:rPr>
                <w:sz w:val="20"/>
                <w:szCs w:val="20"/>
                <w:color w:val="auto"/>
              </w:rPr>
            </w:pPr>
            <w:r>
              <w:rPr>
                <w:rFonts w:ascii="Arial" w:cs="Arial" w:eastAsia="Arial" w:hAnsi="Arial"/>
                <w:sz w:val="20"/>
                <w:szCs w:val="20"/>
                <w:i w:val="1"/>
                <w:iCs w:val="1"/>
                <w:color w:val="auto"/>
              </w:rPr>
              <w:t>(Dollars in Millions)</w:t>
            </w:r>
          </w:p>
        </w:tc>
        <w:tc>
          <w:tcPr>
            <w:tcW w:w="2780" w:type="dxa"/>
            <w:vAlign w:val="bottom"/>
          </w:tcPr>
          <w:p>
            <w:pPr>
              <w:spacing w:after="0"/>
              <w:rPr>
                <w:sz w:val="21"/>
                <w:szCs w:val="21"/>
                <w:color w:val="auto"/>
              </w:rPr>
            </w:pPr>
          </w:p>
        </w:tc>
        <w:tc>
          <w:tcPr>
            <w:tcW w:w="1680" w:type="dxa"/>
            <w:vAlign w:val="bottom"/>
          </w:tcPr>
          <w:p>
            <w:pPr>
              <w:jc w:val="right"/>
              <w:ind w:right="361"/>
              <w:spacing w:after="0"/>
              <w:rPr>
                <w:sz w:val="20"/>
                <w:szCs w:val="20"/>
                <w:color w:val="auto"/>
              </w:rPr>
            </w:pPr>
            <w:r>
              <w:rPr>
                <w:rFonts w:ascii="Arial" w:cs="Arial" w:eastAsia="Arial" w:hAnsi="Arial"/>
                <w:sz w:val="20"/>
                <w:szCs w:val="20"/>
                <w:color w:val="auto"/>
                <w:w w:val="94"/>
              </w:rPr>
              <w:t>June 30, 2021</w:t>
            </w:r>
          </w:p>
        </w:tc>
        <w:tc>
          <w:tcPr>
            <w:tcW w:w="280" w:type="dxa"/>
            <w:vAlign w:val="bottom"/>
          </w:tcPr>
          <w:p>
            <w:pPr>
              <w:spacing w:after="0"/>
              <w:rPr>
                <w:sz w:val="21"/>
                <w:szCs w:val="21"/>
                <w:color w:val="auto"/>
              </w:rPr>
            </w:pPr>
          </w:p>
        </w:tc>
        <w:tc>
          <w:tcPr>
            <w:tcW w:w="1840" w:type="dxa"/>
            <w:vAlign w:val="bottom"/>
            <w:gridSpan w:val="2"/>
          </w:tcPr>
          <w:p>
            <w:pPr>
              <w:ind w:left="20"/>
              <w:spacing w:after="0"/>
              <w:rPr>
                <w:sz w:val="20"/>
                <w:szCs w:val="20"/>
                <w:color w:val="auto"/>
              </w:rPr>
            </w:pPr>
            <w:r>
              <w:rPr>
                <w:rFonts w:ascii="Arial" w:cs="Arial" w:eastAsia="Arial" w:hAnsi="Arial"/>
                <w:sz w:val="20"/>
                <w:szCs w:val="20"/>
                <w:color w:val="auto"/>
              </w:rPr>
              <w:t>December 31, 2020</w:t>
            </w:r>
          </w:p>
        </w:tc>
      </w:tr>
      <w:tr>
        <w:trPr>
          <w:trHeight w:val="237"/>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Costs in excess of billings</w:t>
            </w:r>
          </w:p>
        </w:tc>
        <w:tc>
          <w:tcPr>
            <w:tcW w:w="278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680" w:type="dxa"/>
            <w:vAlign w:val="bottom"/>
            <w:tcBorders>
              <w:top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rPr>
              <w:t>12.1</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120" w:type="dxa"/>
            <w:vAlign w:val="bottom"/>
            <w:tcBorders>
              <w:top w:val="single" w:sz="8" w:color="CFF0FC"/>
            </w:tcBorders>
            <w:shd w:val="clear" w:color="auto" w:fill="CFF0FC"/>
          </w:tcPr>
          <w:p>
            <w:pPr>
              <w:spacing w:after="0"/>
              <w:rPr>
                <w:sz w:val="20"/>
                <w:szCs w:val="20"/>
                <w:color w:val="auto"/>
              </w:rPr>
            </w:pPr>
          </w:p>
        </w:tc>
      </w:tr>
      <w:tr>
        <w:trPr>
          <w:trHeight w:val="250"/>
        </w:trPr>
        <w:tc>
          <w:tcPr>
            <w:tcW w:w="4660" w:type="dxa"/>
            <w:vAlign w:val="bottom"/>
          </w:tcPr>
          <w:p>
            <w:pPr>
              <w:spacing w:after="0"/>
              <w:rPr>
                <w:sz w:val="20"/>
                <w:szCs w:val="20"/>
                <w:color w:val="auto"/>
              </w:rPr>
            </w:pPr>
            <w:r>
              <w:rPr>
                <w:rFonts w:ascii="Arial" w:cs="Arial" w:eastAsia="Arial" w:hAnsi="Arial"/>
                <w:sz w:val="20"/>
                <w:szCs w:val="20"/>
                <w:color w:val="auto"/>
              </w:rPr>
              <w:t>Billings in excess of costs</w:t>
            </w:r>
          </w:p>
        </w:tc>
        <w:tc>
          <w:tcPr>
            <w:tcW w:w="27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680" w:type="dxa"/>
            <w:vAlign w:val="bottom"/>
          </w:tcPr>
          <w:p>
            <w:pPr>
              <w:jc w:val="right"/>
              <w:ind w:right="61"/>
              <w:spacing w:after="0"/>
              <w:rPr>
                <w:sz w:val="20"/>
                <w:szCs w:val="20"/>
                <w:color w:val="auto"/>
              </w:rPr>
            </w:pPr>
            <w:r>
              <w:rPr>
                <w:rFonts w:ascii="Arial" w:cs="Arial" w:eastAsia="Arial" w:hAnsi="Arial"/>
                <w:sz w:val="20"/>
                <w:szCs w:val="20"/>
                <w:color w:val="auto"/>
              </w:rPr>
              <w:t>9.9</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14.0</w:t>
            </w:r>
          </w:p>
        </w:tc>
        <w:tc>
          <w:tcPr>
            <w:tcW w:w="120" w:type="dxa"/>
            <w:vAlign w:val="bottom"/>
          </w:tcPr>
          <w:p>
            <w:pPr>
              <w:spacing w:after="0"/>
              <w:rPr>
                <w:sz w:val="21"/>
                <w:szCs w:val="21"/>
                <w:color w:val="auto"/>
              </w:rPr>
            </w:pPr>
          </w:p>
        </w:tc>
      </w:tr>
    </w:tbl>
    <w:p>
      <w:pPr>
        <w:spacing w:after="0" w:line="124" w:lineRule="exact"/>
        <w:rPr>
          <w:sz w:val="20"/>
          <w:szCs w:val="20"/>
          <w:color w:val="auto"/>
        </w:rPr>
      </w:pPr>
    </w:p>
    <w:p>
      <w:pPr>
        <w:jc w:val="both"/>
        <w:ind w:left="280"/>
        <w:spacing w:after="0" w:line="250" w:lineRule="auto"/>
        <w:rPr>
          <w:sz w:val="20"/>
          <w:szCs w:val="20"/>
          <w:color w:val="auto"/>
        </w:rPr>
      </w:pPr>
      <w:r>
        <w:rPr>
          <w:rFonts w:ascii="Arial" w:cs="Arial" w:eastAsia="Arial" w:hAnsi="Arial"/>
          <w:sz w:val="20"/>
          <w:szCs w:val="20"/>
          <w:color w:val="auto"/>
        </w:rPr>
        <w:t>Revenues recognized from the beginning balance of contract liabilities for the three months ended June 30, 2021 and 2020 were $5.4 million and $4.1 million, respectively, and for the six months ended June 30, 2021 and 2020 were $9.4 million and $6.6 million, respectively</w:t>
      </w:r>
      <w:r>
        <w:rPr>
          <w:rFonts w:ascii="Arial" w:cs="Arial" w:eastAsia="Arial" w:hAnsi="Arial"/>
          <w:sz w:val="17"/>
          <w:szCs w:val="17"/>
          <w:color w:val="auto"/>
        </w:rPr>
        <w:t>.</w:t>
      </w:r>
    </w:p>
    <w:p>
      <w:pPr>
        <w:spacing w:after="0" w:line="78" w:lineRule="exact"/>
        <w:rPr>
          <w:sz w:val="20"/>
          <w:szCs w:val="20"/>
          <w:color w:val="auto"/>
        </w:rPr>
      </w:pPr>
    </w:p>
    <w:p>
      <w:pPr>
        <w:jc w:val="both"/>
        <w:ind w:left="280"/>
        <w:spacing w:after="0" w:line="269" w:lineRule="auto"/>
        <w:rPr>
          <w:sz w:val="20"/>
          <w:szCs w:val="20"/>
          <w:color w:val="auto"/>
        </w:rPr>
      </w:pPr>
      <w:r>
        <w:rPr>
          <w:rFonts w:ascii="Arial" w:cs="Arial" w:eastAsia="Arial" w:hAnsi="Arial"/>
          <w:sz w:val="19"/>
          <w:szCs w:val="19"/>
          <w:color w:val="auto"/>
        </w:rPr>
        <w:t>Retainage, which primarily relates to the paving services, represents amounts that have been billed to customers but payment withheld until final acceptance by the customer of the performance obligation. Included in other current assets on the Company’s consolidated balance sheets, retainage was $8.6 million and $10.6 million at June 30, 2021 and December 31, 2020, respectively.</w:t>
      </w:r>
    </w:p>
    <w:p>
      <w:pPr>
        <w:spacing w:after="0" w:line="62" w:lineRule="exact"/>
        <w:rPr>
          <w:sz w:val="20"/>
          <w:szCs w:val="20"/>
          <w:color w:val="auto"/>
        </w:rPr>
      </w:pPr>
    </w:p>
    <w:p>
      <w:pPr>
        <w:jc w:val="both"/>
        <w:ind w:left="280" w:right="20"/>
        <w:spacing w:after="0" w:line="260" w:lineRule="auto"/>
        <w:rPr>
          <w:sz w:val="20"/>
          <w:szCs w:val="20"/>
          <w:color w:val="auto"/>
        </w:rPr>
      </w:pPr>
      <w:r>
        <w:rPr>
          <w:rFonts w:ascii="Arial" w:cs="Arial" w:eastAsia="Arial" w:hAnsi="Arial"/>
          <w:sz w:val="20"/>
          <w:szCs w:val="20"/>
          <w:b w:val="1"/>
          <w:bCs w:val="1"/>
          <w:i w:val="1"/>
          <w:iCs w:val="1"/>
          <w:color w:val="auto"/>
        </w:rPr>
        <w:t xml:space="preserve">Policy Elections. </w:t>
      </w:r>
      <w:r>
        <w:rPr>
          <w:rFonts w:ascii="Arial" w:cs="Arial" w:eastAsia="Arial" w:hAnsi="Arial"/>
          <w:sz w:val="20"/>
          <w:szCs w:val="20"/>
          <w:color w:val="auto"/>
        </w:rPr>
        <w:t>When the Company arranges third-party freight to deliver products to customers, the Company has elected the delivery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be a fulfillment activity rather than a separate performance obligation. Further,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280"/>
        <w:spacing w:after="0" w:line="260" w:lineRule="auto"/>
        <w:rPr>
          <w:sz w:val="20"/>
          <w:szCs w:val="20"/>
          <w:color w:val="auto"/>
        </w:rPr>
      </w:pPr>
      <w:r>
        <w:rPr>
          <w:rFonts w:ascii="Arial" w:cs="Arial" w:eastAsia="Arial" w:hAnsi="Arial"/>
          <w:sz w:val="20"/>
          <w:szCs w:val="20"/>
          <w:color w:val="auto"/>
        </w:rPr>
        <w:t>Company acts as a principal in the delivery arrangements and, as required by the accounting standard, the related revenues and costs are presented gross and are included in the consolidated statements of earnings.</w:t>
      </w:r>
    </w:p>
    <w:p>
      <w:pPr>
        <w:spacing w:after="0" w:line="63"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w:t>
      </w:r>
    </w:p>
    <w:p>
      <w:pPr>
        <w:spacing w:after="0" w:line="113" w:lineRule="exact"/>
        <w:rPr>
          <w:rFonts w:ascii="Arial" w:cs="Arial" w:eastAsia="Arial" w:hAnsi="Arial"/>
          <w:sz w:val="20"/>
          <w:szCs w:val="20"/>
          <w:b w:val="1"/>
          <w:bCs w:val="1"/>
          <w:color w:val="auto"/>
        </w:rPr>
      </w:pPr>
    </w:p>
    <w:p>
      <w:pPr>
        <w:jc w:val="both"/>
        <w:ind w:left="280"/>
        <w:spacing w:after="0" w:line="256" w:lineRule="auto"/>
        <w:rPr>
          <w:rFonts w:ascii="Arial" w:cs="Arial" w:eastAsia="Arial" w:hAnsi="Arial"/>
          <w:sz w:val="20"/>
          <w:szCs w:val="20"/>
          <w:b w:val="1"/>
          <w:bCs w:val="1"/>
          <w:color w:val="auto"/>
        </w:rPr>
      </w:pPr>
      <w:r>
        <w:rPr>
          <w:rFonts w:ascii="Arial" w:cs="Arial" w:eastAsia="Arial" w:hAnsi="Arial"/>
          <w:sz w:val="19"/>
          <w:szCs w:val="19"/>
          <w:color w:val="auto"/>
        </w:rPr>
        <w:t>On April 30, 2021, the Company completed the acquisition of Tiller Corporation (Tiller), a leading aggregates and hot mix asphalt supplier in the Minneapolis/St. Paul region, one of the largest and fastest growing midwestern metropolitan areas, which complements the Company’s existing product offerings in the surrounding areas. Additionally, Tiller sells asphalt solely as a materials provider, and does not offer paving or other associated services. The Company financed the acquisition using available cash and borrowings under its credit facilities. The Company has recorded preliminary fair values of the assets acquired and liabilities assumed, which are subject to asset verification and a normal post-closing working capital adjustment. Therefore, the measurement period for accounts receivable; property, plant and equipment; intangible assets, including goodwill; and accounts payable remains open as of June 30, 2021. The impact of the acquisition is not material to the Company’s operating results; therefore, pro forma financial information is not included. The operations are reported in the Company’s East Group.</w:t>
      </w:r>
    </w:p>
    <w:p>
      <w:pPr>
        <w:spacing w:after="0" w:line="70" w:lineRule="exact"/>
        <w:rPr>
          <w:rFonts w:ascii="Arial" w:cs="Arial" w:eastAsia="Arial" w:hAnsi="Arial"/>
          <w:sz w:val="20"/>
          <w:szCs w:val="20"/>
          <w:b w:val="1"/>
          <w:bCs w:val="1"/>
          <w:color w:val="auto"/>
        </w:rPr>
      </w:pPr>
    </w:p>
    <w:p>
      <w:pPr>
        <w:ind w:left="280" w:hanging="272"/>
        <w:spacing w:after="0"/>
        <w:tabs>
          <w:tab w:leader="none" w:pos="2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Intangibles</w:t>
      </w:r>
    </w:p>
    <w:p>
      <w:pPr>
        <w:spacing w:after="0" w:line="127" w:lineRule="exact"/>
        <w:rPr>
          <w:rFonts w:ascii="Arial" w:cs="Arial" w:eastAsia="Arial" w:hAnsi="Arial"/>
          <w:sz w:val="20"/>
          <w:szCs w:val="20"/>
          <w:b w:val="1"/>
          <w:bCs w:val="1"/>
          <w:color w:val="auto"/>
        </w:rPr>
      </w:pPr>
    </w:p>
    <w:p>
      <w:pPr>
        <w:ind w:left="280"/>
        <w:spacing w:after="0"/>
        <w:rPr>
          <w:rFonts w:ascii="Arial" w:cs="Arial" w:eastAsia="Arial" w:hAnsi="Arial"/>
          <w:sz w:val="20"/>
          <w:szCs w:val="20"/>
          <w:b w:val="1"/>
          <w:bCs w:val="1"/>
          <w:color w:val="auto"/>
        </w:rPr>
      </w:pPr>
      <w:r>
        <w:rPr>
          <w:rFonts w:ascii="Arial" w:cs="Arial" w:eastAsia="Arial" w:hAnsi="Arial"/>
          <w:sz w:val="20"/>
          <w:szCs w:val="20"/>
          <w:color w:val="auto"/>
        </w:rPr>
        <w:t>The following table shows the changes in goodwill by reportable segment and in total:</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East</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20"/>
                <w:szCs w:val="20"/>
                <w:color w:val="auto"/>
                <w:w w:val="83"/>
              </w:rPr>
              <w:t>West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5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Group</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20"/>
                <w:szCs w:val="20"/>
                <w:color w:val="auto"/>
                <w:w w:val="89"/>
              </w:rPr>
              <w:t>Group</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6"/>
        </w:trPr>
        <w:tc>
          <w:tcPr>
            <w:tcW w:w="5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20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20"/>
                <w:szCs w:val="20"/>
                <w:color w:val="auto"/>
              </w:rPr>
              <w:t>Balance at January 1, 2021</w:t>
            </w:r>
          </w:p>
        </w:tc>
        <w:tc>
          <w:tcPr>
            <w:tcW w:w="1180" w:type="dxa"/>
            <w:vAlign w:val="bottom"/>
            <w:gridSpan w:val="2"/>
          </w:tcPr>
          <w:p>
            <w:pPr>
              <w:jc w:val="right"/>
              <w:ind w:right="841"/>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w w:val="87"/>
              </w:rPr>
              <w:t>572.5</w:t>
            </w:r>
          </w:p>
        </w:tc>
        <w:tc>
          <w:tcPr>
            <w:tcW w:w="56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1,841.5</w:t>
            </w:r>
          </w:p>
        </w:tc>
        <w:tc>
          <w:tcPr>
            <w:tcW w:w="260" w:type="dxa"/>
            <w:vAlign w:val="bottom"/>
          </w:tcPr>
          <w:p>
            <w:pPr>
              <w:spacing w:after="0"/>
              <w:rPr>
                <w:sz w:val="20"/>
                <w:szCs w:val="20"/>
                <w:color w:val="auto"/>
              </w:rPr>
            </w:pPr>
          </w:p>
        </w:tc>
        <w:tc>
          <w:tcPr>
            <w:tcW w:w="340" w:type="dxa"/>
            <w:vAlign w:val="bottom"/>
            <w:gridSpan w:val="2"/>
          </w:tcPr>
          <w:p>
            <w:pPr>
              <w:jc w:val="right"/>
              <w:ind w:right="163"/>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2,414.0</w:t>
            </w:r>
          </w:p>
        </w:tc>
        <w:tc>
          <w:tcPr>
            <w:tcW w:w="100" w:type="dxa"/>
            <w:vAlign w:val="bottom"/>
          </w:tcPr>
          <w:p>
            <w:pPr>
              <w:spacing w:after="0"/>
              <w:rPr>
                <w:sz w:val="20"/>
                <w:szCs w:val="20"/>
                <w:color w:val="auto"/>
              </w:rPr>
            </w:pP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Acquisitions</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185.6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185.6</w:t>
            </w:r>
          </w:p>
        </w:tc>
        <w:tc>
          <w:tcPr>
            <w:tcW w:w="100" w:type="dxa"/>
            <w:vAlign w:val="bottom"/>
            <w:shd w:val="clear" w:color="auto" w:fill="CFF0FC"/>
          </w:tcPr>
          <w:p>
            <w:pPr>
              <w:spacing w:after="0"/>
              <w:rPr>
                <w:sz w:val="21"/>
                <w:szCs w:val="21"/>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20"/>
                <w:szCs w:val="20"/>
                <w:color w:val="auto"/>
              </w:rPr>
              <w:t>Balance at June 30, 2021</w:t>
            </w:r>
          </w:p>
        </w:tc>
        <w:tc>
          <w:tcPr>
            <w:tcW w:w="1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20"/>
                <w:szCs w:val="2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7"/>
              </w:rPr>
              <w:t>758.1</w:t>
            </w:r>
          </w:p>
        </w:tc>
        <w:tc>
          <w:tcPr>
            <w:tcW w:w="2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1,841.5</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2,599.6</w:t>
            </w:r>
          </w:p>
        </w:tc>
        <w:tc>
          <w:tcPr>
            <w:tcW w:w="10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60" w:type="dxa"/>
            <w:vAlign w:val="bottom"/>
          </w:tcPr>
          <w:p>
            <w:pPr>
              <w:ind w:left="280"/>
              <w:spacing w:after="0"/>
              <w:rPr>
                <w:sz w:val="20"/>
                <w:szCs w:val="20"/>
                <w:color w:val="auto"/>
              </w:rPr>
            </w:pPr>
            <w:r>
              <w:rPr>
                <w:rFonts w:ascii="Arial" w:cs="Arial" w:eastAsia="Arial" w:hAnsi="Arial"/>
                <w:sz w:val="20"/>
                <w:szCs w:val="20"/>
                <w:color w:val="auto"/>
                <w:w w:val="96"/>
              </w:rPr>
              <w:t>Intangible assets subject to amortization consist of the following:</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441"/>
              <w:spacing w:after="0"/>
              <w:rPr>
                <w:sz w:val="20"/>
                <w:szCs w:val="20"/>
                <w:color w:val="auto"/>
              </w:rPr>
            </w:pPr>
            <w:r>
              <w:rPr>
                <w:rFonts w:ascii="Arial" w:cs="Arial" w:eastAsia="Arial" w:hAnsi="Arial"/>
                <w:sz w:val="20"/>
                <w:szCs w:val="20"/>
                <w:color w:val="auto"/>
              </w:rPr>
              <w:t>Gross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20"/>
                <w:szCs w:val="20"/>
                <w:color w:val="auto"/>
              </w:rPr>
              <w:t>Accumulated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20"/>
                <w:szCs w:val="20"/>
                <w:color w:val="auto"/>
                <w:w w:val="89"/>
              </w:rPr>
              <w:t>Net</w:t>
            </w:r>
          </w:p>
        </w:tc>
        <w:tc>
          <w:tcPr>
            <w:tcW w:w="0" w:type="dxa"/>
            <w:vAlign w:val="bottom"/>
          </w:tcPr>
          <w:p>
            <w:pPr>
              <w:spacing w:after="0"/>
              <w:rPr>
                <w:sz w:val="1"/>
                <w:szCs w:val="1"/>
                <w:color w:val="auto"/>
              </w:rPr>
            </w:pPr>
          </w:p>
        </w:tc>
      </w:tr>
      <w:tr>
        <w:trPr>
          <w:trHeight w:val="246"/>
        </w:trPr>
        <w:tc>
          <w:tcPr>
            <w:tcW w:w="5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41"/>
              <w:spacing w:after="0"/>
              <w:rPr>
                <w:sz w:val="20"/>
                <w:szCs w:val="20"/>
                <w:color w:val="auto"/>
              </w:rPr>
            </w:pPr>
            <w:r>
              <w:rPr>
                <w:rFonts w:ascii="Arial" w:cs="Arial" w:eastAsia="Arial" w:hAnsi="Arial"/>
                <w:sz w:val="20"/>
                <w:szCs w:val="20"/>
                <w:color w:val="auto"/>
              </w:rPr>
              <w:t>Amount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ind w:left="80"/>
              <w:spacing w:after="0"/>
              <w:rPr>
                <w:sz w:val="20"/>
                <w:szCs w:val="20"/>
                <w:color w:val="auto"/>
              </w:rPr>
            </w:pPr>
            <w:r>
              <w:rPr>
                <w:rFonts w:ascii="Arial" w:cs="Arial" w:eastAsia="Arial" w:hAnsi="Arial"/>
                <w:sz w:val="20"/>
                <w:szCs w:val="20"/>
                <w:color w:val="auto"/>
              </w:rPr>
              <w:t>Amortization</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20"/>
                <w:szCs w:val="20"/>
                <w:color w:val="auto"/>
                <w:w w:val="88"/>
              </w:rPr>
              <w:t>Balance</w:t>
            </w:r>
          </w:p>
        </w:tc>
        <w:tc>
          <w:tcPr>
            <w:tcW w:w="0" w:type="dxa"/>
            <w:vAlign w:val="bottom"/>
          </w:tcPr>
          <w:p>
            <w:pPr>
              <w:spacing w:after="0"/>
              <w:rPr>
                <w:sz w:val="1"/>
                <w:szCs w:val="1"/>
                <w:color w:val="auto"/>
              </w:rPr>
            </w:pPr>
          </w:p>
        </w:tc>
      </w:tr>
      <w:tr>
        <w:trPr>
          <w:trHeight w:val="237"/>
        </w:trPr>
        <w:tc>
          <w:tcPr>
            <w:tcW w:w="5760" w:type="dxa"/>
            <w:vAlign w:val="bottom"/>
            <w:tcBorders>
              <w:top w:val="single" w:sz="8" w:color="CFF0FC"/>
              <w:bottom w:val="single" w:sz="8" w:color="auto"/>
            </w:tcBorders>
            <w:shd w:val="clear" w:color="auto" w:fill="CFF0FC"/>
          </w:tcPr>
          <w:p>
            <w:pPr>
              <w:spacing w:after="0"/>
              <w:rPr>
                <w:sz w:val="20"/>
                <w:szCs w:val="20"/>
                <w:color w:val="auto"/>
              </w:rPr>
            </w:pPr>
            <w:r>
              <w:rPr>
                <w:rFonts w:ascii="Arial" w:cs="Arial" w:eastAsia="Arial" w:hAnsi="Arial"/>
                <w:sz w:val="20"/>
                <w:szCs w:val="20"/>
                <w:i w:val="1"/>
                <w:iCs w:val="1"/>
                <w:color w:val="auto"/>
              </w:rPr>
              <w:t>(Dollars in Millions)</w:t>
            </w:r>
          </w:p>
        </w:tc>
        <w:tc>
          <w:tcPr>
            <w:tcW w:w="300" w:type="dxa"/>
            <w:vAlign w:val="bottom"/>
            <w:tcBorders>
              <w:top w:val="single" w:sz="8" w:color="CFF0FC"/>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gridSpan w:val="2"/>
            <w:shd w:val="clear" w:color="auto" w:fill="CFF0FC"/>
          </w:tcPr>
          <w:p>
            <w:pPr>
              <w:ind w:left="60"/>
              <w:spacing w:after="0"/>
              <w:rPr>
                <w:sz w:val="20"/>
                <w:szCs w:val="20"/>
                <w:color w:val="auto"/>
              </w:rPr>
            </w:pPr>
            <w:r>
              <w:rPr>
                <w:rFonts w:ascii="Arial" w:cs="Arial" w:eastAsia="Arial" w:hAnsi="Arial"/>
                <w:sz w:val="20"/>
                <w:szCs w:val="20"/>
                <w:color w:val="auto"/>
              </w:rPr>
              <w:t>June 30, 2021</w:t>
            </w: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60" w:type="dxa"/>
            <w:vAlign w:val="bottom"/>
          </w:tcPr>
          <w:p>
            <w:pPr>
              <w:spacing w:after="0"/>
              <w:rPr>
                <w:sz w:val="20"/>
                <w:szCs w:val="20"/>
                <w:color w:val="auto"/>
              </w:rPr>
            </w:pPr>
            <w:r>
              <w:rPr>
                <w:rFonts w:ascii="Arial" w:cs="Arial" w:eastAsia="Arial" w:hAnsi="Arial"/>
                <w:sz w:val="20"/>
                <w:szCs w:val="20"/>
                <w:color w:val="auto"/>
              </w:rPr>
              <w:t>Noncompetition agreements</w:t>
            </w:r>
          </w:p>
        </w:tc>
        <w:tc>
          <w:tcPr>
            <w:tcW w:w="5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4.2</w:t>
            </w:r>
          </w:p>
        </w:tc>
        <w:tc>
          <w:tcPr>
            <w:tcW w:w="400" w:type="dxa"/>
            <w:vAlign w:val="bottom"/>
            <w:gridSpan w:val="2"/>
          </w:tcPr>
          <w:p>
            <w:pPr>
              <w:ind w:left="260"/>
              <w:spacing w:after="0"/>
              <w:rPr>
                <w:sz w:val="20"/>
                <w:szCs w:val="20"/>
                <w:color w:val="auto"/>
              </w:rPr>
            </w:pPr>
            <w:r>
              <w:rPr>
                <w:rFonts w:ascii="Arial" w:cs="Arial" w:eastAsia="Arial" w:hAnsi="Arial"/>
                <w:sz w:val="20"/>
                <w:szCs w:val="20"/>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20"/>
                <w:szCs w:val="20"/>
                <w:color w:val="auto"/>
              </w:rPr>
              <w:t>(4.1)</w:t>
            </w:r>
          </w:p>
        </w:tc>
        <w:tc>
          <w:tcPr>
            <w:tcW w:w="36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Customer relationships</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306.7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(40.2)</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Operating permits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460.8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20"/>
                <w:szCs w:val="20"/>
                <w:color w:val="auto"/>
              </w:rPr>
              <w:t>(51.5)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409.3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Use rights and other</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(13.6)</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Trade names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23.3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20"/>
                <w:szCs w:val="20"/>
                <w:color w:val="auto"/>
              </w:rPr>
              <w:t>(13.0)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58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811.4</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(122.4)</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689.0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1940" w:type="dxa"/>
            <w:vAlign w:val="bottom"/>
            <w:tcBorders>
              <w:bottom w:val="single" w:sz="8" w:color="auto"/>
            </w:tcBorders>
            <w:gridSpan w:val="4"/>
            <w:shd w:val="clear" w:color="auto" w:fill="CFF0FC"/>
          </w:tcPr>
          <w:p>
            <w:pPr>
              <w:ind w:left="240"/>
              <w:spacing w:after="0"/>
              <w:rPr>
                <w:sz w:val="20"/>
                <w:szCs w:val="20"/>
                <w:color w:val="auto"/>
              </w:rPr>
            </w:pPr>
            <w:r>
              <w:rPr>
                <w:rFonts w:ascii="Arial" w:cs="Arial" w:eastAsia="Arial" w:hAnsi="Arial"/>
                <w:sz w:val="20"/>
                <w:szCs w:val="20"/>
                <w:color w:val="auto"/>
                <w:w w:val="95"/>
              </w:rPr>
              <w:t>December 31, 2020</w:t>
            </w:r>
          </w:p>
        </w:tc>
        <w:tc>
          <w:tcPr>
            <w:tcW w:w="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tcPr>
          <w:p>
            <w:pPr>
              <w:spacing w:after="0"/>
              <w:rPr>
                <w:sz w:val="20"/>
                <w:szCs w:val="20"/>
                <w:color w:val="auto"/>
              </w:rPr>
            </w:pPr>
            <w:r>
              <w:rPr>
                <w:rFonts w:ascii="Arial" w:cs="Arial" w:eastAsia="Arial" w:hAnsi="Arial"/>
                <w:sz w:val="20"/>
                <w:szCs w:val="20"/>
                <w:color w:val="auto"/>
              </w:rPr>
              <w:t>Noncompetition agreements</w:t>
            </w:r>
          </w:p>
        </w:tc>
        <w:tc>
          <w:tcPr>
            <w:tcW w:w="5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4.2</w:t>
            </w:r>
          </w:p>
        </w:tc>
        <w:tc>
          <w:tcPr>
            <w:tcW w:w="400" w:type="dxa"/>
            <w:vAlign w:val="bottom"/>
            <w:gridSpan w:val="2"/>
          </w:tcPr>
          <w:p>
            <w:pPr>
              <w:ind w:left="260"/>
              <w:spacing w:after="0"/>
              <w:rPr>
                <w:sz w:val="20"/>
                <w:szCs w:val="20"/>
                <w:color w:val="auto"/>
              </w:rPr>
            </w:pPr>
            <w:r>
              <w:rPr>
                <w:rFonts w:ascii="Arial" w:cs="Arial" w:eastAsia="Arial" w:hAnsi="Arial"/>
                <w:sz w:val="20"/>
                <w:szCs w:val="20"/>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20"/>
                <w:szCs w:val="20"/>
                <w:color w:val="auto"/>
              </w:rPr>
              <w:t>(4.1)</w:t>
            </w:r>
          </w:p>
        </w:tc>
        <w:tc>
          <w:tcPr>
            <w:tcW w:w="36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Customer relationships</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(35.6)</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Operating permits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460.8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20"/>
                <w:szCs w:val="20"/>
                <w:color w:val="auto"/>
              </w:rPr>
              <w:t>(48.4)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412.4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Use rights and other</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(13.0)</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Trade names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12.8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20"/>
                <w:szCs w:val="20"/>
                <w:color w:val="auto"/>
              </w:rPr>
              <w:t>(12.3)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585.4</w:t>
            </w:r>
          </w:p>
        </w:tc>
        <w:tc>
          <w:tcPr>
            <w:tcW w:w="26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20"/>
                <w:szCs w:val="20"/>
                <w:color w:val="auto"/>
              </w:rPr>
              <w:t>$</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(113.4)</w:t>
            </w:r>
          </w:p>
        </w:tc>
        <w:tc>
          <w:tcPr>
            <w:tcW w:w="8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280" w:right="20"/>
        <w:spacing w:after="0" w:line="260" w:lineRule="auto"/>
        <w:rPr>
          <w:sz w:val="20"/>
          <w:szCs w:val="20"/>
          <w:color w:val="auto"/>
        </w:rPr>
      </w:pPr>
      <w:r>
        <w:rPr>
          <w:rFonts w:ascii="Arial" w:cs="Arial" w:eastAsia="Arial" w:hAnsi="Arial"/>
          <w:sz w:val="20"/>
          <w:szCs w:val="20"/>
          <w:color w:val="auto"/>
        </w:rPr>
        <w:t>At June 30, 2021 and December 31, 2020, intangible assets deemed to have an indefinite life and not being amortized consist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3980" w:type="dxa"/>
            <w:vAlign w:val="bottom"/>
            <w:gridSpan w:val="4"/>
          </w:tcPr>
          <w:p>
            <w:pPr>
              <w:ind w:left="2220"/>
              <w:spacing w:after="0"/>
              <w:rPr>
                <w:sz w:val="20"/>
                <w:szCs w:val="20"/>
                <w:color w:val="auto"/>
              </w:rPr>
            </w:pPr>
            <w:r>
              <w:rPr>
                <w:rFonts w:ascii="Arial" w:cs="Arial" w:eastAsia="Arial" w:hAnsi="Arial"/>
                <w:sz w:val="20"/>
                <w:szCs w:val="20"/>
                <w:color w:val="auto"/>
              </w:rPr>
              <w:t>Building Materials</w:t>
            </w:r>
          </w:p>
        </w:tc>
        <w:tc>
          <w:tcPr>
            <w:tcW w:w="200" w:type="dxa"/>
            <w:vAlign w:val="bottom"/>
          </w:tcPr>
          <w:p>
            <w:pPr>
              <w:spacing w:after="0"/>
              <w:rPr>
                <w:sz w:val="19"/>
                <w:szCs w:val="19"/>
                <w:color w:val="auto"/>
              </w:rPr>
            </w:pPr>
          </w:p>
        </w:tc>
        <w:tc>
          <w:tcPr>
            <w:tcW w:w="1560" w:type="dxa"/>
            <w:vAlign w:val="bottom"/>
            <w:gridSpan w:val="3"/>
          </w:tcPr>
          <w:p>
            <w:pPr>
              <w:jc w:val="center"/>
              <w:ind w:right="460"/>
              <w:spacing w:after="0"/>
              <w:rPr>
                <w:sz w:val="20"/>
                <w:szCs w:val="20"/>
                <w:color w:val="auto"/>
              </w:rPr>
            </w:pPr>
            <w:r>
              <w:rPr>
                <w:rFonts w:ascii="Arial" w:cs="Arial" w:eastAsia="Arial" w:hAnsi="Arial"/>
                <w:sz w:val="20"/>
                <w:szCs w:val="20"/>
                <w:color w:val="auto"/>
                <w:w w:val="89"/>
              </w:rPr>
              <w:t>Magnesia</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3860" w:type="dxa"/>
            <w:vAlign w:val="bottom"/>
          </w:tcPr>
          <w:p>
            <w:pPr>
              <w:spacing w:after="0"/>
              <w:rPr>
                <w:sz w:val="20"/>
                <w:szCs w:val="20"/>
                <w:color w:val="auto"/>
              </w:rPr>
            </w:pPr>
            <w:r>
              <w:rPr>
                <w:rFonts w:ascii="Arial" w:cs="Arial" w:eastAsia="Arial" w:hAnsi="Arial"/>
                <w:sz w:val="20"/>
                <w:szCs w:val="20"/>
                <w:i w:val="1"/>
                <w:iCs w:val="1"/>
                <w:color w:val="auto"/>
              </w:rPr>
              <w:t>(Dollars in Millions)</w:t>
            </w:r>
          </w:p>
        </w:tc>
        <w:tc>
          <w:tcPr>
            <w:tcW w:w="2460" w:type="dxa"/>
            <w:vAlign w:val="bottom"/>
          </w:tcPr>
          <w:p>
            <w:pPr>
              <w:spacing w:after="0"/>
              <w:rPr>
                <w:sz w:val="21"/>
                <w:szCs w:val="21"/>
                <w:color w:val="auto"/>
              </w:rPr>
            </w:pPr>
          </w:p>
        </w:tc>
        <w:tc>
          <w:tcPr>
            <w:tcW w:w="1520" w:type="dxa"/>
            <w:vAlign w:val="bottom"/>
            <w:gridSpan w:val="3"/>
          </w:tcPr>
          <w:p>
            <w:pPr>
              <w:ind w:left="160"/>
              <w:spacing w:after="0"/>
              <w:rPr>
                <w:sz w:val="20"/>
                <w:szCs w:val="20"/>
                <w:color w:val="auto"/>
              </w:rPr>
            </w:pPr>
            <w:r>
              <w:rPr>
                <w:rFonts w:ascii="Arial" w:cs="Arial" w:eastAsia="Arial" w:hAnsi="Arial"/>
                <w:sz w:val="20"/>
                <w:szCs w:val="20"/>
                <w:color w:val="auto"/>
              </w:rPr>
              <w:t>business</w:t>
            </w:r>
          </w:p>
        </w:tc>
        <w:tc>
          <w:tcPr>
            <w:tcW w:w="200" w:type="dxa"/>
            <w:vAlign w:val="bottom"/>
          </w:tcPr>
          <w:p>
            <w:pPr>
              <w:spacing w:after="0"/>
              <w:rPr>
                <w:sz w:val="21"/>
                <w:szCs w:val="21"/>
                <w:color w:val="auto"/>
              </w:rPr>
            </w:pPr>
          </w:p>
        </w:tc>
        <w:tc>
          <w:tcPr>
            <w:tcW w:w="1560" w:type="dxa"/>
            <w:vAlign w:val="bottom"/>
            <w:gridSpan w:val="3"/>
          </w:tcPr>
          <w:p>
            <w:pPr>
              <w:jc w:val="center"/>
              <w:ind w:right="460"/>
              <w:spacing w:after="0"/>
              <w:rPr>
                <w:sz w:val="20"/>
                <w:szCs w:val="20"/>
                <w:color w:val="auto"/>
              </w:rPr>
            </w:pPr>
            <w:r>
              <w:rPr>
                <w:rFonts w:ascii="Arial" w:cs="Arial" w:eastAsia="Arial" w:hAnsi="Arial"/>
                <w:sz w:val="20"/>
                <w:szCs w:val="20"/>
                <w:color w:val="auto"/>
                <w:w w:val="88"/>
              </w:rPr>
              <w:t>Specialties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7"/>
        </w:trPr>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Operating permits</w:t>
            </w:r>
          </w:p>
        </w:tc>
        <w:tc>
          <w:tcPr>
            <w:tcW w:w="2460" w:type="dxa"/>
            <w:vAlign w:val="bottom"/>
            <w:tcBorders>
              <w:top w:val="single" w:sz="8" w:color="auto"/>
            </w:tcBorders>
            <w:shd w:val="clear" w:color="auto" w:fill="CFF0FC"/>
          </w:tcPr>
          <w:p>
            <w:pPr>
              <w:ind w:left="2200"/>
              <w:spacing w:after="0"/>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w:t>
            </w:r>
          </w:p>
        </w:tc>
        <w:tc>
          <w:tcPr>
            <w:tcW w:w="10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gridSpan w:val="2"/>
            <w:shd w:val="clear" w:color="auto" w:fill="CFF0FC"/>
          </w:tcPr>
          <w:p>
            <w:pPr>
              <w:jc w:val="right"/>
              <w:ind w:right="163"/>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20"/>
                <w:szCs w:val="20"/>
                <w:color w:val="auto"/>
              </w:rPr>
              <w:t>Use rights</w:t>
            </w:r>
          </w:p>
        </w:tc>
        <w:tc>
          <w:tcPr>
            <w:tcW w:w="24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26.7</w:t>
            </w:r>
          </w:p>
        </w:tc>
        <w:tc>
          <w:tcPr>
            <w:tcW w:w="100" w:type="dxa"/>
            <w:vAlign w:val="bottom"/>
          </w:tcPr>
          <w:p>
            <w:pPr>
              <w:spacing w:after="0"/>
              <w:rPr>
                <w:sz w:val="21"/>
                <w:szCs w:val="21"/>
                <w:color w:val="auto"/>
              </w:rPr>
            </w:pPr>
          </w:p>
        </w:tc>
      </w:tr>
      <w:tr>
        <w:trPr>
          <w:trHeight w:val="243"/>
        </w:trPr>
        <w:tc>
          <w:tcPr>
            <w:tcW w:w="3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Trade names</w:t>
            </w:r>
          </w:p>
        </w:tc>
        <w:tc>
          <w:tcPr>
            <w:tcW w:w="24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w:t>
            </w:r>
          </w:p>
        </w:tc>
        <w:tc>
          <w:tcPr>
            <w:tcW w:w="100" w:type="dxa"/>
            <w:vAlign w:val="bottom"/>
            <w:shd w:val="clear" w:color="auto" w:fill="CFF0FC"/>
          </w:tcPr>
          <w:p>
            <w:pPr>
              <w:spacing w:after="0"/>
              <w:rPr>
                <w:sz w:val="21"/>
                <w:szCs w:val="21"/>
                <w:color w:val="auto"/>
              </w:rPr>
            </w:pPr>
          </w:p>
        </w:tc>
      </w:tr>
      <w:tr>
        <w:trPr>
          <w:trHeight w:val="237"/>
        </w:trPr>
        <w:tc>
          <w:tcPr>
            <w:tcW w:w="3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2460" w:type="dxa"/>
            <w:vAlign w:val="bottom"/>
            <w:tcBorders>
              <w:bottom w:val="single" w:sz="8" w:color="auto"/>
            </w:tcBorders>
          </w:tcPr>
          <w:p>
            <w:pPr>
              <w:ind w:left="220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w:t>
            </w:r>
          </w:p>
        </w:tc>
        <w:tc>
          <w:tcPr>
            <w:tcW w:w="100" w:type="dxa"/>
            <w:vAlign w:val="bottom"/>
          </w:tcPr>
          <w:p>
            <w:pPr>
              <w:spacing w:after="0"/>
              <w:rPr>
                <w:sz w:val="20"/>
                <w:szCs w:val="20"/>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For the six months ended June 30, 2021, the Company acquired $225.9 million of intangibles, which consists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jc w:val="center"/>
              <w:ind w:left="81"/>
              <w:spacing w:after="0"/>
              <w:rPr>
                <w:sz w:val="20"/>
                <w:szCs w:val="20"/>
                <w:color w:val="auto"/>
              </w:rPr>
            </w:pPr>
            <w:r>
              <w:rPr>
                <w:rFonts w:ascii="Arial" w:cs="Arial" w:eastAsia="Arial" w:hAnsi="Arial"/>
                <w:sz w:val="20"/>
                <w:szCs w:val="20"/>
                <w:color w:val="auto"/>
                <w:w w:val="88"/>
              </w:rPr>
              <w:t>Weighted-average</w:t>
            </w:r>
          </w:p>
        </w:tc>
      </w:tr>
      <w:tr>
        <w:trPr>
          <w:trHeight w:val="246"/>
        </w:trPr>
        <w:tc>
          <w:tcPr>
            <w:tcW w:w="4660" w:type="dxa"/>
            <w:vAlign w:val="bottom"/>
            <w:tcBorders>
              <w:bottom w:val="single" w:sz="8" w:color="auto"/>
            </w:tcBorders>
          </w:tcPr>
          <w:p>
            <w:pPr>
              <w:spacing w:after="0"/>
              <w:rPr>
                <w:sz w:val="20"/>
                <w:szCs w:val="20"/>
                <w:color w:val="auto"/>
              </w:rPr>
            </w:pPr>
            <w:r>
              <w:rPr>
                <w:rFonts w:ascii="Arial" w:cs="Arial" w:eastAsia="Arial" w:hAnsi="Arial"/>
                <w:sz w:val="20"/>
                <w:szCs w:val="20"/>
                <w:i w:val="1"/>
                <w:iCs w:val="1"/>
                <w:color w:val="auto"/>
              </w:rPr>
              <w:t>(Dollars in Millions)</w:t>
            </w:r>
          </w:p>
        </w:tc>
        <w:tc>
          <w:tcPr>
            <w:tcW w:w="29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Amount</w:t>
            </w:r>
          </w:p>
        </w:tc>
        <w:tc>
          <w:tcPr>
            <w:tcW w:w="120" w:type="dxa"/>
            <w:vAlign w:val="bottom"/>
          </w:tcPr>
          <w:p>
            <w:pPr>
              <w:spacing w:after="0"/>
              <w:rPr>
                <w:sz w:val="21"/>
                <w:szCs w:val="21"/>
                <w:color w:val="auto"/>
              </w:rPr>
            </w:pPr>
          </w:p>
        </w:tc>
        <w:tc>
          <w:tcPr>
            <w:tcW w:w="210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amortization period</w:t>
            </w:r>
          </w:p>
        </w:tc>
      </w:tr>
      <w:tr>
        <w:trPr>
          <w:trHeight w:val="236"/>
        </w:trPr>
        <w:tc>
          <w:tcPr>
            <w:tcW w:w="4660" w:type="dxa"/>
            <w:vAlign w:val="bottom"/>
          </w:tcPr>
          <w:p>
            <w:pPr>
              <w:spacing w:after="0"/>
              <w:rPr>
                <w:sz w:val="20"/>
                <w:szCs w:val="20"/>
                <w:color w:val="auto"/>
              </w:rPr>
            </w:pPr>
            <w:r>
              <w:rPr>
                <w:rFonts w:ascii="Arial" w:cs="Arial" w:eastAsia="Arial" w:hAnsi="Arial"/>
                <w:sz w:val="20"/>
                <w:szCs w:val="20"/>
                <w:color w:val="auto"/>
              </w:rPr>
              <w:t>Subject to amortization:</w:t>
            </w:r>
          </w:p>
        </w:tc>
        <w:tc>
          <w:tcPr>
            <w:tcW w:w="2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43"/>
        </w:trPr>
        <w:tc>
          <w:tcPr>
            <w:tcW w:w="46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Customer relationships</w:t>
            </w:r>
          </w:p>
        </w:tc>
        <w:tc>
          <w:tcPr>
            <w:tcW w:w="290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215.4</w:t>
            </w:r>
          </w:p>
        </w:tc>
        <w:tc>
          <w:tcPr>
            <w:tcW w:w="120" w:type="dxa"/>
            <w:vAlign w:val="bottom"/>
            <w:shd w:val="clear" w:color="auto" w:fill="CFF0FC"/>
          </w:tcPr>
          <w:p>
            <w:pPr>
              <w:spacing w:after="0"/>
              <w:rPr>
                <w:sz w:val="21"/>
                <w:szCs w:val="21"/>
                <w:color w:val="auto"/>
              </w:rPr>
            </w:pPr>
          </w:p>
        </w:tc>
        <w:tc>
          <w:tcPr>
            <w:tcW w:w="210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w w:val="85"/>
              </w:rPr>
              <w:t>25 years</w:t>
            </w:r>
          </w:p>
        </w:tc>
      </w:tr>
      <w:tr>
        <w:trPr>
          <w:trHeight w:val="243"/>
        </w:trPr>
        <w:tc>
          <w:tcPr>
            <w:tcW w:w="466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Trade name</w:t>
            </w:r>
          </w:p>
        </w:tc>
        <w:tc>
          <w:tcPr>
            <w:tcW w:w="29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w:t>
            </w:r>
          </w:p>
        </w:tc>
        <w:tc>
          <w:tcPr>
            <w:tcW w:w="120" w:type="dxa"/>
            <w:vAlign w:val="bottom"/>
            <w:tcBorders>
              <w:bottom w:val="single" w:sz="8" w:color="CFF0FC"/>
            </w:tcBorders>
          </w:tcPr>
          <w:p>
            <w:pPr>
              <w:spacing w:after="0"/>
              <w:rPr>
                <w:sz w:val="21"/>
                <w:szCs w:val="21"/>
                <w:color w:val="auto"/>
              </w:rPr>
            </w:pPr>
          </w:p>
        </w:tc>
        <w:tc>
          <w:tcPr>
            <w:tcW w:w="2100" w:type="dxa"/>
            <w:vAlign w:val="bottom"/>
            <w:tcBorders>
              <w:bottom w:val="single" w:sz="8" w:color="CFF0FC"/>
            </w:tcBorders>
          </w:tcPr>
          <w:p>
            <w:pPr>
              <w:jc w:val="center"/>
              <w:ind w:left="81"/>
              <w:spacing w:after="0"/>
              <w:rPr>
                <w:sz w:val="20"/>
                <w:szCs w:val="20"/>
                <w:color w:val="auto"/>
              </w:rPr>
            </w:pPr>
            <w:r>
              <w:rPr>
                <w:rFonts w:ascii="Arial" w:cs="Arial" w:eastAsia="Arial" w:hAnsi="Arial"/>
                <w:sz w:val="20"/>
                <w:szCs w:val="20"/>
                <w:color w:val="auto"/>
                <w:w w:val="85"/>
              </w:rPr>
              <w:t>9 years</w:t>
            </w:r>
          </w:p>
        </w:tc>
      </w:tr>
      <w:tr>
        <w:trPr>
          <w:trHeight w:val="236"/>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90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225.9</w:t>
            </w:r>
          </w:p>
        </w:tc>
        <w:tc>
          <w:tcPr>
            <w:tcW w:w="120" w:type="dxa"/>
            <w:vAlign w:val="bottom"/>
            <w:tcBorders>
              <w:bottom w:val="single" w:sz="8" w:color="CFF0FC"/>
            </w:tcBorders>
            <w:shd w:val="clear" w:color="auto" w:fill="CFF0FC"/>
          </w:tcPr>
          <w:p>
            <w:pPr>
              <w:spacing w:after="0"/>
              <w:rPr>
                <w:sz w:val="20"/>
                <w:szCs w:val="20"/>
                <w:color w:val="auto"/>
              </w:rPr>
            </w:pPr>
          </w:p>
        </w:tc>
        <w:tc>
          <w:tcPr>
            <w:tcW w:w="2100" w:type="dxa"/>
            <w:vAlign w:val="bottom"/>
            <w:tcBorders>
              <w:bottom w:val="single" w:sz="8" w:color="CFF0FC"/>
            </w:tcBorders>
            <w:shd w:val="clear" w:color="auto" w:fill="CFF0FC"/>
          </w:tcPr>
          <w:p>
            <w:pPr>
              <w:jc w:val="center"/>
              <w:ind w:left="61"/>
              <w:spacing w:after="0"/>
              <w:rPr>
                <w:sz w:val="20"/>
                <w:szCs w:val="20"/>
                <w:color w:val="auto"/>
              </w:rPr>
            </w:pPr>
            <w:r>
              <w:rPr>
                <w:rFonts w:ascii="Arial" w:cs="Arial" w:eastAsia="Arial" w:hAnsi="Arial"/>
                <w:sz w:val="20"/>
                <w:szCs w:val="20"/>
                <w:color w:val="auto"/>
                <w:w w:val="85"/>
              </w:rPr>
              <w:t>24 years</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280"/>
        <w:spacing w:after="0" w:line="260" w:lineRule="auto"/>
        <w:rPr>
          <w:sz w:val="20"/>
          <w:szCs w:val="20"/>
          <w:color w:val="auto"/>
        </w:rPr>
      </w:pPr>
      <w:r>
        <w:rPr>
          <w:rFonts w:ascii="Arial" w:cs="Arial" w:eastAsia="Arial" w:hAnsi="Arial"/>
          <w:sz w:val="20"/>
          <w:szCs w:val="20"/>
          <w:color w:val="auto"/>
        </w:rPr>
        <w:t>Total amortization expense for intangible assets for the six months ended June 30, 2021 and 2020 was $8.9 million and $6.4 million, respectively.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3" w:lineRule="exact"/>
        <w:rPr>
          <w:sz w:val="20"/>
          <w:szCs w:val="20"/>
          <w:color w:val="auto"/>
        </w:rPr>
      </w:pPr>
    </w:p>
    <w:p>
      <w:pPr>
        <w:ind w:left="280"/>
        <w:spacing w:after="0" w:line="260" w:lineRule="auto"/>
        <w:rPr>
          <w:sz w:val="20"/>
          <w:szCs w:val="20"/>
          <w:color w:val="auto"/>
        </w:rPr>
      </w:pPr>
      <w:r>
        <w:rPr>
          <w:rFonts w:ascii="Arial" w:cs="Arial" w:eastAsia="Arial" w:hAnsi="Arial"/>
          <w:sz w:val="20"/>
          <w:szCs w:val="20"/>
          <w:color w:val="auto"/>
        </w:rPr>
        <w:t>The estimated amortization expense for intangibles for the second half of 2021 and for each of the next four years and thereafter is as follows: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(Dollars 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July - December 2021</w:t>
            </w:r>
          </w:p>
        </w:tc>
        <w:tc>
          <w:tcPr>
            <w:tcW w:w="11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Arial" w:cs="Arial" w:eastAsia="Arial" w:hAnsi="Arial"/>
                <w:sz w:val="20"/>
                <w:szCs w:val="20"/>
                <w:color w:val="auto"/>
              </w:rPr>
              <w:t>2022</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FF0FC"/>
          </w:tcPr>
          <w:p>
            <w:pPr>
              <w:spacing w:after="0"/>
              <w:rPr>
                <w:sz w:val="20"/>
                <w:szCs w:val="20"/>
                <w:color w:val="auto"/>
              </w:rPr>
            </w:pPr>
            <w:r>
              <w:rPr>
                <w:rFonts w:ascii="Arial" w:cs="Arial" w:eastAsia="Arial" w:hAnsi="Arial"/>
                <w:sz w:val="20"/>
                <w:szCs w:val="20"/>
                <w:color w:val="auto"/>
              </w:rPr>
              <w:t>2023</w:t>
            </w: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Arial" w:cs="Arial" w:eastAsia="Arial" w:hAnsi="Arial"/>
                <w:sz w:val="20"/>
                <w:szCs w:val="20"/>
                <w:color w:val="auto"/>
              </w:rPr>
              <w:t>2024</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FF0FC"/>
          </w:tcPr>
          <w:p>
            <w:pPr>
              <w:spacing w:after="0"/>
              <w:rPr>
                <w:sz w:val="20"/>
                <w:szCs w:val="20"/>
                <w:color w:val="auto"/>
              </w:rPr>
            </w:pPr>
            <w:r>
              <w:rPr>
                <w:rFonts w:ascii="Arial" w:cs="Arial" w:eastAsia="Arial" w:hAnsi="Arial"/>
                <w:sz w:val="20"/>
                <w:szCs w:val="20"/>
                <w:color w:val="auto"/>
              </w:rPr>
              <w:t>2025</w:t>
            </w: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Thereafter</w:t>
            </w: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587.1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1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060" w:type="dxa"/>
            <w:vAlign w:val="bottom"/>
          </w:tcPr>
          <w:p>
            <w:pPr>
              <w:spacing w:after="0"/>
              <w:rPr>
                <w:sz w:val="20"/>
                <w:szCs w:val="20"/>
                <w:color w:val="auto"/>
              </w:rPr>
            </w:pPr>
            <w:r>
              <w:rPr>
                <w:rFonts w:ascii="Arial" w:cs="Arial" w:eastAsia="Arial" w:hAnsi="Arial"/>
                <w:sz w:val="20"/>
                <w:szCs w:val="20"/>
                <w:b w:val="1"/>
                <w:bCs w:val="1"/>
                <w:color w:val="auto"/>
              </w:rPr>
              <w:t>5. Inventories, Net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3"/>
          </w:tcPr>
          <w:p>
            <w:pPr>
              <w:jc w:val="right"/>
              <w:ind w:right="820"/>
              <w:spacing w:after="0"/>
              <w:rPr>
                <w:sz w:val="20"/>
                <w:szCs w:val="20"/>
                <w:color w:val="auto"/>
              </w:rPr>
            </w:pPr>
            <w:r>
              <w:rPr>
                <w:rFonts w:ascii="Arial" w:cs="Arial" w:eastAsia="Arial" w:hAnsi="Arial"/>
                <w:sz w:val="20"/>
                <w:szCs w:val="20"/>
                <w:color w:val="auto"/>
              </w:rPr>
              <w:t>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20"/>
                <w:szCs w:val="20"/>
                <w:color w:val="auto"/>
                <w:w w:val="92"/>
              </w:rPr>
              <w:t>December 31,</w:t>
            </w:r>
          </w:p>
        </w:tc>
        <w:tc>
          <w:tcPr>
            <w:tcW w:w="0" w:type="dxa"/>
            <w:vAlign w:val="bottom"/>
          </w:tcPr>
          <w:p>
            <w:pPr>
              <w:spacing w:after="0"/>
              <w:rPr>
                <w:sz w:val="1"/>
                <w:szCs w:val="1"/>
                <w:color w:val="auto"/>
              </w:rPr>
            </w:pPr>
          </w:p>
        </w:tc>
      </w:tr>
      <w:tr>
        <w:trPr>
          <w:trHeight w:val="246"/>
        </w:trPr>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24"/>
              <w:spacing w:after="0"/>
              <w:rPr>
                <w:sz w:val="20"/>
                <w:szCs w:val="20"/>
                <w:color w:val="auto"/>
              </w:rPr>
            </w:pPr>
            <w:r>
              <w:rPr>
                <w:rFonts w:ascii="Arial" w:cs="Arial" w:eastAsia="Arial" w:hAnsi="Arial"/>
                <w:sz w:val="20"/>
                <w:szCs w:val="20"/>
                <w:color w:val="auto"/>
              </w:rPr>
              <w:t>2021</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23"/>
              <w:spacing w:after="0"/>
              <w:rPr>
                <w:sz w:val="20"/>
                <w:szCs w:val="20"/>
                <w:color w:val="auto"/>
              </w:rPr>
            </w:pPr>
            <w:r>
              <w:rPr>
                <w:rFonts w:ascii="Arial" w:cs="Arial" w:eastAsia="Arial" w:hAnsi="Arial"/>
                <w:sz w:val="20"/>
                <w:szCs w:val="20"/>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gridSpan w:val="7"/>
          </w:tcPr>
          <w:p>
            <w:pPr>
              <w:jc w:val="right"/>
              <w:ind w:right="1063"/>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134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676.7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ind w:right="86"/>
              <w:spacing w:after="0"/>
              <w:rPr>
                <w:sz w:val="20"/>
                <w:szCs w:val="20"/>
                <w:color w:val="auto"/>
              </w:rPr>
            </w:pPr>
            <w:r>
              <w:rPr>
                <w:rFonts w:ascii="Arial" w:cs="Arial" w:eastAsia="Arial" w:hAnsi="Arial"/>
                <w:sz w:val="20"/>
                <w:szCs w:val="20"/>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Arial" w:cs="Arial" w:eastAsia="Arial" w:hAnsi="Arial"/>
                <w:sz w:val="20"/>
                <w:szCs w:val="20"/>
                <w:color w:val="auto"/>
              </w:rPr>
              <w:t>Products in process</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FF0FC"/>
          </w:tcPr>
          <w:p>
            <w:pPr>
              <w:spacing w:after="0"/>
              <w:rPr>
                <w:sz w:val="20"/>
                <w:szCs w:val="20"/>
                <w:color w:val="auto"/>
              </w:rPr>
            </w:pPr>
            <w:r>
              <w:rPr>
                <w:rFonts w:ascii="Arial" w:cs="Arial" w:eastAsia="Arial" w:hAnsi="Arial"/>
                <w:sz w:val="20"/>
                <w:szCs w:val="20"/>
                <w:color w:val="auto"/>
              </w:rPr>
              <w:t>Raw materials</w:t>
            </w: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Supplies and expendable parts</w:t>
            </w:r>
          </w:p>
        </w:tc>
        <w:tc>
          <w:tcPr>
            <w:tcW w:w="11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148.6</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916.9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0"/>
                <w:szCs w:val="20"/>
                <w:color w:val="auto"/>
              </w:rPr>
            </w:pPr>
            <w:r>
              <w:rPr>
                <w:rFonts w:ascii="Arial" w:cs="Arial" w:eastAsia="Arial" w:hAnsi="Arial"/>
                <w:sz w:val="20"/>
                <w:szCs w:val="20"/>
                <w:color w:val="auto"/>
              </w:rPr>
              <w:t>Less: Allowances</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20"/>
                <w:szCs w:val="20"/>
                <w:color w:val="auto"/>
              </w:rPr>
              <w:t>(187.8)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20"/>
                <w:szCs w:val="20"/>
                <w:color w:val="auto"/>
              </w:rPr>
              <w:t>(180.3)</w:t>
            </w:r>
          </w:p>
        </w:tc>
        <w:tc>
          <w:tcPr>
            <w:tcW w:w="0" w:type="dxa"/>
            <w:vAlign w:val="bottom"/>
          </w:tcPr>
          <w:p>
            <w:pPr>
              <w:spacing w:after="0"/>
              <w:rPr>
                <w:sz w:val="1"/>
                <w:szCs w:val="1"/>
                <w:color w:val="auto"/>
              </w:rPr>
            </w:pPr>
          </w:p>
        </w:tc>
      </w:tr>
      <w:tr>
        <w:trPr>
          <w:trHeight w:val="237"/>
        </w:trPr>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12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729.1</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FF0FC"/>
          </w:tcPr>
          <w:p>
            <w:pPr>
              <w:jc w:val="right"/>
              <w:ind w:right="86"/>
              <w:spacing w:after="0"/>
              <w:rPr>
                <w:sz w:val="20"/>
                <w:szCs w:val="20"/>
                <w:color w:val="auto"/>
              </w:rPr>
            </w:pPr>
            <w:r>
              <w:rPr>
                <w:rFonts w:ascii="Arial" w:cs="Arial" w:eastAsia="Arial" w:hAnsi="Arial"/>
                <w:sz w:val="20"/>
                <w:szCs w:val="20"/>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709.0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20"/>
                <w:szCs w:val="20"/>
                <w:b w:val="1"/>
                <w:bCs w:val="1"/>
                <w:color w:val="auto"/>
              </w:rPr>
              <w:t>6. Long-Term Debt</w:t>
            </w: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60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3"/>
          </w:tcPr>
          <w:p>
            <w:pPr>
              <w:jc w:val="right"/>
              <w:ind w:right="660"/>
              <w:spacing w:after="0"/>
              <w:rPr>
                <w:sz w:val="20"/>
                <w:szCs w:val="20"/>
                <w:color w:val="auto"/>
              </w:rPr>
            </w:pPr>
            <w:r>
              <w:rPr>
                <w:rFonts w:ascii="Arial" w:cs="Arial" w:eastAsia="Arial" w:hAnsi="Arial"/>
                <w:sz w:val="19"/>
                <w:szCs w:val="19"/>
                <w:color w:val="auto"/>
              </w:rPr>
              <w:t>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9"/>
                <w:szCs w:val="19"/>
                <w:color w:val="auto"/>
              </w:rPr>
              <w:t>December 31,</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64"/>
              <w:spacing w:after="0"/>
              <w:rPr>
                <w:sz w:val="20"/>
                <w:szCs w:val="20"/>
                <w:color w:val="auto"/>
              </w:rPr>
            </w:pPr>
            <w:r>
              <w:rPr>
                <w:rFonts w:ascii="Arial" w:cs="Arial" w:eastAsia="Arial" w:hAnsi="Arial"/>
                <w:sz w:val="19"/>
                <w:szCs w:val="19"/>
                <w:color w:val="auto"/>
              </w:rPr>
              <w:t>2021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83"/>
              <w:spacing w:after="0"/>
              <w:rPr>
                <w:sz w:val="20"/>
                <w:szCs w:val="20"/>
                <w:color w:val="auto"/>
              </w:rPr>
            </w:pPr>
            <w:r>
              <w:rPr>
                <w:rFonts w:ascii="Arial" w:cs="Arial" w:eastAsia="Arial" w:hAnsi="Arial"/>
                <w:sz w:val="19"/>
                <w:szCs w:val="19"/>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20" w:type="dxa"/>
            <w:vAlign w:val="bottom"/>
            <w:gridSpan w:val="7"/>
          </w:tcPr>
          <w:p>
            <w:pPr>
              <w:jc w:val="right"/>
              <w:ind w:right="983"/>
              <w:spacing w:after="0"/>
              <w:rPr>
                <w:sz w:val="20"/>
                <w:szCs w:val="20"/>
                <w:color w:val="auto"/>
              </w:rPr>
            </w:pPr>
            <w:r>
              <w:rPr>
                <w:rFonts w:ascii="Arial" w:cs="Arial" w:eastAsia="Arial" w:hAnsi="Arial"/>
                <w:sz w:val="19"/>
                <w:szCs w:val="19"/>
                <w:i w:val="1"/>
                <w:iCs w:val="1"/>
                <w:color w:val="auto"/>
              </w:rPr>
              <w:t>(Dollars 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9"/>
                <w:szCs w:val="19"/>
                <w:color w:val="auto"/>
              </w:rPr>
              <w:t>4.250% Senior Notes, due 2024</w:t>
            </w:r>
          </w:p>
        </w:tc>
        <w:tc>
          <w:tcPr>
            <w:tcW w:w="1560" w:type="dxa"/>
            <w:vAlign w:val="bottom"/>
            <w:gridSpan w:val="3"/>
            <w:shd w:val="clear" w:color="auto" w:fill="CFF0FC"/>
          </w:tcPr>
          <w:p>
            <w:pPr>
              <w:jc w:val="right"/>
              <w:ind w:right="26"/>
              <w:spacing w:after="0"/>
              <w:rPr>
                <w:sz w:val="20"/>
                <w:szCs w:val="20"/>
                <w:color w:val="auto"/>
              </w:rPr>
            </w:pPr>
            <w:r>
              <w:rPr>
                <w:rFonts w:ascii="Arial" w:cs="Arial" w:eastAsia="Arial" w:hAnsi="Arial"/>
                <w:sz w:val="19"/>
                <w:szCs w:val="19"/>
                <w:color w:val="auto"/>
              </w:rPr>
              <w:t>$</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397.9</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9"/>
                <w:szCs w:val="19"/>
                <w:color w:val="auto"/>
              </w:rPr>
              <w:t>7% Debentures, due 2025</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9"/>
                <w:szCs w:val="19"/>
                <w:color w:val="auto"/>
              </w:rPr>
              <w:t>124.5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124.5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9"/>
                <w:szCs w:val="19"/>
                <w:color w:val="auto"/>
              </w:rPr>
              <w:t>3.450% Senior Notes, due 2027</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297.8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9"/>
                <w:szCs w:val="19"/>
                <w:color w:val="auto"/>
              </w:rPr>
              <w:t>3.500% Senior Notes, due 2027</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9"/>
                <w:szCs w:val="19"/>
                <w:color w:val="auto"/>
              </w:rPr>
              <w:t>496.1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495.8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9"/>
                <w:szCs w:val="19"/>
                <w:color w:val="auto"/>
              </w:rPr>
              <w:t>2.500% Senior Notes, due 2030</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490.6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490.1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9"/>
                <w:szCs w:val="19"/>
                <w:color w:val="auto"/>
              </w:rPr>
              <w:t>6.25% Senior Notes, due 2037</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9"/>
                <w:szCs w:val="19"/>
                <w:color w:val="auto"/>
              </w:rPr>
              <w:t>228.3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9"/>
                <w:szCs w:val="19"/>
                <w:color w:val="auto"/>
              </w:rPr>
              <w:t>4.250% Senior Notes, due 2047</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592.0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9"/>
                <w:szCs w:val="19"/>
                <w:color w:val="auto"/>
              </w:rPr>
              <w:t>Trade Receivable Facility, interest rate of 1.09% at June 30, 2021</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9"/>
                <w:szCs w:val="19"/>
                <w:color w:val="auto"/>
              </w:rPr>
              <w:t>240.0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9"/>
                <w:szCs w:val="19"/>
                <w:color w:val="auto"/>
              </w:rPr>
              <w:t>Other notes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0.1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9"/>
                <w:szCs w:val="19"/>
                <w:color w:val="auto"/>
              </w:rPr>
              <w:t>Total debt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9"/>
                <w:szCs w:val="19"/>
                <w:color w:val="auto"/>
              </w:rPr>
              <w:t>2,867.3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2,625.8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9"/>
                <w:szCs w:val="19"/>
                <w:color w:val="auto"/>
              </w:rPr>
              <w:t>Less: Current maturities of long-term debt</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3"/>
            <w:shd w:val="clear" w:color="auto" w:fill="CFF0FC"/>
          </w:tcPr>
          <w:p>
            <w:pPr>
              <w:jc w:val="right"/>
              <w:ind w:right="60"/>
              <w:spacing w:after="0"/>
              <w:rPr>
                <w:sz w:val="20"/>
                <w:szCs w:val="20"/>
                <w:color w:val="auto"/>
              </w:rPr>
            </w:pPr>
            <w:r>
              <w:rPr>
                <w:rFonts w:ascii="Arial" w:cs="Arial" w:eastAsia="Arial" w:hAnsi="Arial"/>
                <w:sz w:val="19"/>
                <w:szCs w:val="19"/>
                <w:color w:val="auto"/>
              </w:rPr>
              <w:t>(240.1)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9"/>
                <w:szCs w:val="19"/>
                <w:color w:val="auto"/>
              </w:rPr>
              <w:t>Long-term debt</w:t>
            </w:r>
          </w:p>
        </w:tc>
        <w:tc>
          <w:tcPr>
            <w:tcW w:w="134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9"/>
                <w:szCs w:val="19"/>
                <w:color w:val="auto"/>
                <w:w w:val="75"/>
              </w:rPr>
              <w:t>$</w:t>
            </w: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2,627.2</w:t>
            </w:r>
          </w:p>
        </w:tc>
        <w:tc>
          <w:tcPr>
            <w:tcW w:w="1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2,625.8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51" w:lineRule="exact"/>
        <w:rPr>
          <w:sz w:val="20"/>
          <w:szCs w:val="20"/>
          <w:color w:val="auto"/>
        </w:rPr>
      </w:pPr>
    </w:p>
    <w:p>
      <w:pPr>
        <w:jc w:val="both"/>
        <w:ind w:left="280"/>
        <w:spacing w:after="0" w:line="271" w:lineRule="auto"/>
        <w:rPr>
          <w:sz w:val="20"/>
          <w:szCs w:val="20"/>
          <w:color w:val="auto"/>
        </w:rPr>
      </w:pPr>
      <w:r>
        <w:rPr>
          <w:rFonts w:ascii="Arial" w:cs="Arial" w:eastAsia="Arial" w:hAnsi="Arial"/>
          <w:sz w:val="18"/>
          <w:szCs w:val="18"/>
          <w:color w:val="auto"/>
        </w:rPr>
        <w:t>The Company, through a wholly-owned special-purpose subsidiary, has a $400 million trade receivable securitization facility (the Trade Receivable Facility), which expires on September 22, 2021. The Trade Receivable Facility, with Truist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These receivables are originated by the Company and then sold by the Company to the wholly-owned special-purpose subsidiary. The Company continues to be responsible for the servicing and administration of the receivables purchased by the wholly-owned special-purpose subsidiary. Borrowings under the Trade Receivable Facility bear interest at a rate equal to asset-backed commercial paper costs of conduit lenders plus 0.85% for borrowings funded by conduit lenders and one-month LIBOR, plus 1.00%, subject to change in the event that this rate no longer reflects the lender’s cost of lending, for borrowings funded by all other lenders. The Trade Receivable Facility contains a cross-default provision to the Company’s other debt agreements. There was $240 million outstanding under the Trade Receivable Facility at June 30, 2021, and no borrowings outstanding at December 31, 2020.</w:t>
      </w:r>
    </w:p>
    <w:p>
      <w:pPr>
        <w:spacing w:after="0" w:line="62" w:lineRule="exact"/>
        <w:rPr>
          <w:sz w:val="20"/>
          <w:szCs w:val="20"/>
          <w:color w:val="auto"/>
        </w:rPr>
      </w:pPr>
    </w:p>
    <w:p>
      <w:pPr>
        <w:jc w:val="both"/>
        <w:ind w:left="280"/>
        <w:spacing w:after="0" w:line="270" w:lineRule="auto"/>
        <w:rPr>
          <w:sz w:val="20"/>
          <w:szCs w:val="20"/>
          <w:color w:val="auto"/>
        </w:rPr>
      </w:pPr>
      <w:r>
        <w:rPr>
          <w:rFonts w:ascii="Arial" w:cs="Arial" w:eastAsia="Arial" w:hAnsi="Arial"/>
          <w:sz w:val="18"/>
          <w:szCs w:val="18"/>
          <w:color w:val="auto"/>
        </w:rPr>
        <w:t>The Company has a $700 million five-year senior unsecured revolving facility (the Revolving Facility) with JPMorgan Chase Bank, N.A., as Administrative Agent, Truist Bank, Deutsche Bank Securities, Inc., and Wells Fargo Bank, N.A., as Co-Syndication Agents, and the lenders party thereto. Borrowings under the Revolving Facility bear interest, at the Company’s option, at rates based upon LIBOR or a base rate, plus, for each rate, a margin determined in accordance with a ratings-based pricing grid. There were no borrowings outstanding under the Revolving Facility at June 30, 2021 or December 31, 2020. The Revolving Facility requires the Company’s ratio of consolidated debt-to-consolidated earnings before interest, taxes, depreciation and amortization (EBITDA), as defined by the Revolving Facility, for the trailing-twelve months (the Ratio) to not exceed 3.50x as of the end of any fiscal quarter, provided that the Company may exclude from the Ratio debt incurred in connection with certain acquisitions during such quarter 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 The Company was in compliance with this covenant at June 30, 2021.</w:t>
      </w:r>
    </w:p>
    <w:p>
      <w:pPr>
        <w:spacing w:after="0" w:line="68" w:lineRule="exact"/>
        <w:rPr>
          <w:sz w:val="20"/>
          <w:szCs w:val="20"/>
          <w:color w:val="auto"/>
        </w:rPr>
      </w:pPr>
    </w:p>
    <w:p>
      <w:pPr>
        <w:jc w:val="both"/>
        <w:ind w:left="280"/>
        <w:spacing w:after="0" w:line="246" w:lineRule="auto"/>
        <w:rPr>
          <w:sz w:val="20"/>
          <w:szCs w:val="20"/>
          <w:color w:val="auto"/>
        </w:rPr>
      </w:pPr>
      <w:r>
        <w:rPr>
          <w:rFonts w:ascii="Arial" w:cs="Arial" w:eastAsia="Arial" w:hAnsi="Arial"/>
          <w:sz w:val="20"/>
          <w:szCs w:val="20"/>
          <w:color w:val="auto"/>
        </w:rPr>
        <w:t>The Revolving Facility expires on December 5, 2024, with any outstanding principal amounts, together with interest accrued thereon, due in full on that date. Available borrowings under the Revolving Facility are reduced by any outstanding letters of credit issued by the Company under the Revolving Facility. The Company had $2.6 million of outstanding letters of credit issued under the Revolving Facility at June 30, 2021 and December 31, 2020.</w:t>
      </w:r>
    </w:p>
    <w:p>
      <w:pPr>
        <w:spacing w:after="0" w:line="293" w:lineRule="exact"/>
        <w:rPr>
          <w:sz w:val="20"/>
          <w:szCs w:val="20"/>
          <w:color w:val="auto"/>
        </w:rPr>
      </w:pPr>
    </w:p>
    <w:p>
      <w:pPr>
        <w:ind w:left="280" w:hanging="272"/>
        <w:spacing w:after="0"/>
        <w:tabs>
          <w:tab w:leader="none" w:pos="2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3" w:lineRule="exact"/>
        <w:rPr>
          <w:rFonts w:ascii="Arial" w:cs="Arial" w:eastAsia="Arial" w:hAnsi="Arial"/>
          <w:sz w:val="20"/>
          <w:szCs w:val="20"/>
          <w:b w:val="1"/>
          <w:bCs w:val="1"/>
          <w:color w:val="auto"/>
        </w:rPr>
      </w:pPr>
    </w:p>
    <w:p>
      <w:pPr>
        <w:ind w:left="2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Company’s financial instruments include temporary cash investments, restricted cash, accounts receivable, accounts payable, publicly-registered long-term notes, debentures and other long-term debt.</w:t>
      </w:r>
    </w:p>
    <w:p>
      <w:pPr>
        <w:spacing w:after="0" w:line="68" w:lineRule="exact"/>
        <w:rPr>
          <w:rFonts w:ascii="Arial" w:cs="Arial" w:eastAsia="Arial" w:hAnsi="Arial"/>
          <w:sz w:val="20"/>
          <w:szCs w:val="20"/>
          <w:b w:val="1"/>
          <w:bCs w:val="1"/>
          <w:color w:val="auto"/>
        </w:rPr>
      </w:pPr>
    </w:p>
    <w:p>
      <w:pPr>
        <w:jc w:val="both"/>
        <w:ind w:left="28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Temporary cash investments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61" w:lineRule="exact"/>
        <w:rPr>
          <w:rFonts w:ascii="Arial" w:cs="Arial" w:eastAsia="Arial" w:hAnsi="Arial"/>
          <w:sz w:val="20"/>
          <w:szCs w:val="20"/>
          <w:b w:val="1"/>
          <w:bCs w:val="1"/>
          <w:color w:val="auto"/>
        </w:rPr>
      </w:pPr>
    </w:p>
    <w:p>
      <w:pPr>
        <w:ind w:left="28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Restricted cash is held in a trust account with a third-party intermediary. Due to the short-term nature of this account, the fair value of restricted cash approximates its carrying value.</w:t>
      </w:r>
    </w:p>
    <w:p>
      <w:pPr>
        <w:spacing w:after="0" w:line="68" w:lineRule="exact"/>
        <w:rPr>
          <w:rFonts w:ascii="Arial" w:cs="Arial" w:eastAsia="Arial" w:hAnsi="Arial"/>
          <w:sz w:val="20"/>
          <w:szCs w:val="20"/>
          <w:b w:val="1"/>
          <w:bCs w:val="1"/>
          <w:color w:val="auto"/>
        </w:rPr>
      </w:pPr>
    </w:p>
    <w:p>
      <w:pPr>
        <w:ind w:left="2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No single customer accounted for 10% or more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280"/>
        <w:spacing w:after="0" w:line="260" w:lineRule="auto"/>
        <w:rPr>
          <w:sz w:val="20"/>
          <w:szCs w:val="20"/>
          <w:color w:val="auto"/>
        </w:rPr>
      </w:pPr>
      <w:r>
        <w:rPr>
          <w:rFonts w:ascii="Arial" w:cs="Arial" w:eastAsia="Arial" w:hAnsi="Arial"/>
          <w:sz w:val="20"/>
          <w:szCs w:val="20"/>
          <w:color w:val="auto"/>
        </w:rPr>
        <w:t>consolidated total revenues in the three-month periods ended June 30, 2021 and 2020. The estimated fair values of accounts receivable approximate their carrying amounts due to the short-term nature of the accounts.</w:t>
      </w:r>
    </w:p>
    <w:p>
      <w:pPr>
        <w:spacing w:after="0" w:line="69" w:lineRule="exact"/>
        <w:rPr>
          <w:sz w:val="20"/>
          <w:szCs w:val="20"/>
          <w:color w:val="auto"/>
        </w:rPr>
      </w:pPr>
    </w:p>
    <w:p>
      <w:pPr>
        <w:jc w:val="both"/>
        <w:ind w:left="280"/>
        <w:spacing w:after="0" w:line="260" w:lineRule="auto"/>
        <w:rPr>
          <w:sz w:val="20"/>
          <w:szCs w:val="20"/>
          <w:color w:val="auto"/>
        </w:rPr>
      </w:pPr>
      <w:r>
        <w:rPr>
          <w:rFonts w:ascii="Arial" w:cs="Arial" w:eastAsia="Arial" w:hAnsi="Arial"/>
          <w:sz w:val="20"/>
          <w:szCs w:val="20"/>
          <w:color w:val="auto"/>
        </w:rPr>
        <w:t>Accounts payable represent amounts owed to suppliers and vendors. The estimated fair value of accounts payable approximates the carrying amount due to the short-term nature of the payables.</w:t>
      </w:r>
    </w:p>
    <w:p>
      <w:pPr>
        <w:spacing w:after="0" w:line="69" w:lineRule="exact"/>
        <w:rPr>
          <w:sz w:val="20"/>
          <w:szCs w:val="20"/>
          <w:color w:val="auto"/>
        </w:rPr>
      </w:pPr>
    </w:p>
    <w:p>
      <w:pPr>
        <w:jc w:val="both"/>
        <w:ind w:left="280"/>
        <w:spacing w:after="0" w:line="246" w:lineRule="auto"/>
        <w:rPr>
          <w:sz w:val="20"/>
          <w:szCs w:val="20"/>
          <w:color w:val="auto"/>
        </w:rPr>
      </w:pPr>
      <w:r>
        <w:rPr>
          <w:rFonts w:ascii="Arial" w:cs="Arial" w:eastAsia="Arial" w:hAnsi="Arial"/>
          <w:sz w:val="20"/>
          <w:szCs w:val="20"/>
          <w:color w:val="auto"/>
        </w:rPr>
        <w:t>The carrying values and fair values of the Company’s long-term debt were $2.87 billion and $3.22 billion, respectively, at June 30, 2021 and $2.63 billion and $3.08 billion, respectively, at December 31, 2020. The estimated fair value of the publicly-registered long-term notes was estimated based on Level 2 of the fair value hierarchy using quoted market prices. The estimated fair values of other borrowings approximate their carrying amounts as the interest rates reset periodically.</w:t>
      </w:r>
    </w:p>
    <w:p>
      <w:pPr>
        <w:spacing w:after="0" w:line="293" w:lineRule="exact"/>
        <w:rPr>
          <w:sz w:val="20"/>
          <w:szCs w:val="20"/>
          <w:color w:val="auto"/>
        </w:rPr>
      </w:pPr>
    </w:p>
    <w:p>
      <w:pPr>
        <w:ind w:left="280" w:hanging="272"/>
        <w:spacing w:after="0"/>
        <w:tabs>
          <w:tab w:leader="none" w:pos="2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3" w:lineRule="exact"/>
        <w:rPr>
          <w:rFonts w:ascii="Arial" w:cs="Arial" w:eastAsia="Arial" w:hAnsi="Arial"/>
          <w:sz w:val="20"/>
          <w:szCs w:val="20"/>
          <w:b w:val="1"/>
          <w:bCs w:val="1"/>
          <w:color w:val="auto"/>
        </w:rPr>
      </w:pPr>
    </w:p>
    <w:p>
      <w:pPr>
        <w:jc w:val="both"/>
        <w:ind w:left="280"/>
        <w:spacing w:after="0" w:line="260" w:lineRule="auto"/>
        <w:rPr>
          <w:rFonts w:ascii="Arial" w:cs="Arial" w:eastAsia="Arial" w:hAnsi="Arial"/>
          <w:sz w:val="20"/>
          <w:szCs w:val="20"/>
          <w:b w:val="1"/>
          <w:bCs w:val="1"/>
          <w:color w:val="auto"/>
        </w:rPr>
      </w:pPr>
      <w:r>
        <w:rPr>
          <w:rFonts w:ascii="Arial" w:cs="Arial" w:eastAsia="Arial" w:hAnsi="Arial"/>
          <w:sz w:val="19"/>
          <w:szCs w:val="19"/>
          <w:color w:val="auto"/>
        </w:rPr>
        <w:t>The effective income tax rate reflects the effect of federal and state income taxes on earnings and the impact of differences in book and tax accounting arising primarily from the permanent tax benefits associated with the statutory depletion deduction for mineral reserves. For the six months ended June 30, 2021, the effective income tax rate was 21.2%. For the six months ended June 30, 2020, the effective income tax rate of 20.2% reflected a $6.9 million discrete benefit from financing third-party railroad track maintenance. In exchange, the Company received a federal income tax credit and deduction.</w:t>
      </w:r>
    </w:p>
    <w:p>
      <w:pPr>
        <w:spacing w:after="0" w:line="72" w:lineRule="exact"/>
        <w:rPr>
          <w:rFonts w:ascii="Arial" w:cs="Arial" w:eastAsia="Arial" w:hAnsi="Arial"/>
          <w:sz w:val="20"/>
          <w:szCs w:val="20"/>
          <w:b w:val="1"/>
          <w:bCs w:val="1"/>
          <w:color w:val="auto"/>
        </w:rPr>
      </w:pPr>
    </w:p>
    <w:p>
      <w:pPr>
        <w:ind w:left="28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224" w:lineRule="exact"/>
        <w:rPr>
          <w:rFonts w:ascii="Arial" w:cs="Arial" w:eastAsia="Arial" w:hAnsi="Arial"/>
          <w:sz w:val="20"/>
          <w:szCs w:val="20"/>
          <w:b w:val="1"/>
          <w:bCs w:val="1"/>
          <w:color w:val="auto"/>
        </w:rPr>
      </w:pPr>
    </w:p>
    <w:p>
      <w:pPr>
        <w:ind w:left="280" w:hanging="272"/>
        <w:spacing w:after="0"/>
        <w:tabs>
          <w:tab w:leader="none" w:pos="2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estimated components of the recorded net periodic benefit cost (credit) for pension and postretirement benefits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gridSpan w:val="3"/>
          </w:tcPr>
          <w:p>
            <w:pPr>
              <w:jc w:val="right"/>
              <w:ind w:right="81"/>
              <w:spacing w:after="0"/>
              <w:rPr>
                <w:sz w:val="20"/>
                <w:szCs w:val="20"/>
                <w:color w:val="auto"/>
              </w:rPr>
            </w:pPr>
            <w:r>
              <w:rPr>
                <w:rFonts w:ascii="Arial" w:cs="Arial" w:eastAsia="Arial" w:hAnsi="Arial"/>
                <w:sz w:val="20"/>
                <w:szCs w:val="20"/>
                <w:color w:val="auto"/>
              </w:rPr>
              <w:t>Pension</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gridSpan w:val="6"/>
          </w:tcPr>
          <w:p>
            <w:pPr>
              <w:jc w:val="right"/>
              <w:ind w:right="940"/>
              <w:spacing w:after="0"/>
              <w:rPr>
                <w:sz w:val="20"/>
                <w:szCs w:val="20"/>
                <w:color w:val="auto"/>
              </w:rPr>
            </w:pPr>
            <w:r>
              <w:rPr>
                <w:rFonts w:ascii="Arial" w:cs="Arial" w:eastAsia="Arial" w:hAnsi="Arial"/>
                <w:sz w:val="20"/>
                <w:szCs w:val="20"/>
                <w:color w:val="auto"/>
              </w:rPr>
              <w:t>Postretirement Benefits</w:t>
            </w:r>
          </w:p>
        </w:tc>
      </w:tr>
      <w:tr>
        <w:trPr>
          <w:trHeight w:val="236"/>
        </w:trPr>
        <w:tc>
          <w:tcPr>
            <w:tcW w:w="39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380" w:type="dxa"/>
            <w:vAlign w:val="bottom"/>
            <w:tcBorders>
              <w:top w:val="single" w:sz="8" w:color="auto"/>
              <w:bottom w:val="single" w:sz="8" w:color="auto"/>
            </w:tcBorders>
            <w:gridSpan w:val="5"/>
          </w:tcPr>
          <w:p>
            <w:pPr>
              <w:jc w:val="right"/>
              <w:ind w:right="820"/>
              <w:spacing w:after="0"/>
              <w:rPr>
                <w:sz w:val="20"/>
                <w:szCs w:val="20"/>
                <w:color w:val="auto"/>
              </w:rPr>
            </w:pPr>
            <w:r>
              <w:rPr>
                <w:rFonts w:ascii="Arial" w:cs="Arial" w:eastAsia="Arial" w:hAnsi="Arial"/>
                <w:sz w:val="20"/>
                <w:szCs w:val="20"/>
                <w:color w:val="auto"/>
                <w:w w:val="94"/>
              </w:rPr>
              <w:t>Three Months Ended June 30,</w:t>
            </w:r>
          </w:p>
        </w:tc>
        <w:tc>
          <w:tcPr>
            <w:tcW w:w="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3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2021</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2021</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120" w:type="dxa"/>
            <w:vAlign w:val="bottom"/>
          </w:tcPr>
          <w:p>
            <w:pPr>
              <w:spacing w:after="0"/>
              <w:rPr>
                <w:sz w:val="20"/>
                <w:szCs w:val="20"/>
                <w:color w:val="auto"/>
              </w:rPr>
            </w:pPr>
          </w:p>
        </w:tc>
      </w:tr>
      <w:tr>
        <w:trPr>
          <w:trHeight w:val="233"/>
        </w:trPr>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80" w:type="dxa"/>
            <w:vAlign w:val="bottom"/>
            <w:gridSpan w:val="5"/>
          </w:tcPr>
          <w:p>
            <w:pPr>
              <w:jc w:val="right"/>
              <w:ind w:right="1180"/>
              <w:spacing w:after="0"/>
              <w:rPr>
                <w:sz w:val="20"/>
                <w:szCs w:val="20"/>
                <w:color w:val="auto"/>
              </w:rPr>
            </w:pPr>
            <w:r>
              <w:rPr>
                <w:rFonts w:ascii="Arial" w:cs="Arial" w:eastAsia="Arial" w:hAnsi="Arial"/>
                <w:sz w:val="20"/>
                <w:szCs w:val="20"/>
                <w:i w:val="1"/>
                <w:iCs w:val="1"/>
                <w:color w:val="auto"/>
              </w:rPr>
              <w:t>(Dollars in Millions)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3920" w:type="dxa"/>
            <w:vAlign w:val="bottom"/>
          </w:tcPr>
          <w:p>
            <w:pPr>
              <w:spacing w:after="0"/>
              <w:rPr>
                <w:sz w:val="20"/>
                <w:szCs w:val="20"/>
                <w:color w:val="auto"/>
              </w:rPr>
            </w:pPr>
            <w:r>
              <w:rPr>
                <w:rFonts w:ascii="Arial" w:cs="Arial" w:eastAsia="Arial" w:hAnsi="Arial"/>
                <w:sz w:val="20"/>
                <w:szCs w:val="20"/>
                <w:color w:val="auto"/>
              </w:rPr>
              <w:t>Service cost</w:t>
            </w: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10.6</w:t>
            </w:r>
          </w:p>
        </w:tc>
        <w:tc>
          <w:tcPr>
            <w:tcW w:w="28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10.4</w:t>
            </w:r>
          </w:p>
        </w:tc>
        <w:tc>
          <w:tcPr>
            <w:tcW w:w="28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83"/>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Interest cost</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120" w:type="dxa"/>
            <w:vAlign w:val="bottom"/>
            <w:shd w:val="clear" w:color="auto" w:fill="CFF0FC"/>
          </w:tcPr>
          <w:p>
            <w:pPr>
              <w:spacing w:after="0"/>
              <w:rPr>
                <w:sz w:val="21"/>
                <w:szCs w:val="2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3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(16.3)</w:t>
            </w:r>
          </w:p>
        </w:tc>
        <w:tc>
          <w:tcPr>
            <w:tcW w:w="3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20"/>
                <w:szCs w:val="20"/>
                <w:color w:val="auto"/>
              </w:rPr>
              <w:t>(14.8)</w:t>
            </w:r>
          </w:p>
        </w:tc>
        <w:tc>
          <w:tcPr>
            <w:tcW w:w="36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0.2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(0.2)</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(0.2)</w:t>
            </w:r>
          </w:p>
        </w:tc>
      </w:tr>
      <w:tr>
        <w:trPr>
          <w:trHeight w:val="243"/>
        </w:trPr>
        <w:tc>
          <w:tcPr>
            <w:tcW w:w="39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Actuarial loss</w:t>
            </w: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w:t>
            </w:r>
          </w:p>
        </w:tc>
        <w:tc>
          <w:tcPr>
            <w:tcW w:w="28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w:t>
            </w:r>
          </w:p>
        </w:tc>
        <w:tc>
          <w:tcPr>
            <w:tcW w:w="28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20"/>
                <w:szCs w:val="20"/>
                <w:color w:val="auto"/>
              </w:rPr>
              <w:t>Net periodic benefit cost (credit)</w:t>
            </w: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5.7</w:t>
            </w:r>
          </w:p>
        </w:tc>
        <w:tc>
          <w:tcPr>
            <w:tcW w:w="28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8.8</w:t>
            </w:r>
          </w:p>
        </w:tc>
        <w:tc>
          <w:tcPr>
            <w:tcW w:w="28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(0.1)</w:t>
            </w:r>
          </w:p>
        </w:tc>
        <w:tc>
          <w:tcPr>
            <w:tcW w:w="20" w:type="dxa"/>
            <w:vAlign w:val="bottom"/>
          </w:tcPr>
          <w:p>
            <w:pPr>
              <w:spacing w:after="0"/>
              <w:rPr>
                <w:sz w:val="20"/>
                <w:szCs w:val="20"/>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(0.1)</w:t>
            </w:r>
          </w:p>
        </w:tc>
      </w:tr>
      <w:tr>
        <w:trPr>
          <w:trHeight w:val="20"/>
        </w:trPr>
        <w:tc>
          <w:tcPr>
            <w:tcW w:w="3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80" w:type="dxa"/>
            <w:vAlign w:val="bottom"/>
            <w:gridSpan w:val="4"/>
          </w:tcPr>
          <w:p>
            <w:pPr>
              <w:jc w:val="right"/>
              <w:ind w:right="101"/>
              <w:spacing w:after="0"/>
              <w:rPr>
                <w:sz w:val="20"/>
                <w:szCs w:val="20"/>
                <w:color w:val="auto"/>
              </w:rPr>
            </w:pPr>
            <w:r>
              <w:rPr>
                <w:rFonts w:ascii="Arial" w:cs="Arial" w:eastAsia="Arial" w:hAnsi="Arial"/>
                <w:sz w:val="20"/>
                <w:szCs w:val="20"/>
                <w:color w:val="auto"/>
              </w:rPr>
              <w:t>Pension</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40" w:type="dxa"/>
            <w:vAlign w:val="bottom"/>
            <w:gridSpan w:val="6"/>
          </w:tcPr>
          <w:p>
            <w:pPr>
              <w:jc w:val="right"/>
              <w:ind w:right="920"/>
              <w:spacing w:after="0"/>
              <w:rPr>
                <w:sz w:val="20"/>
                <w:szCs w:val="20"/>
                <w:color w:val="auto"/>
              </w:rPr>
            </w:pPr>
            <w:r>
              <w:rPr>
                <w:rFonts w:ascii="Arial" w:cs="Arial" w:eastAsia="Arial" w:hAnsi="Arial"/>
                <w:sz w:val="20"/>
                <w:szCs w:val="20"/>
                <w:color w:val="auto"/>
              </w:rPr>
              <w:t>Postretirement Benefits</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3240" w:type="dxa"/>
            <w:vAlign w:val="bottom"/>
            <w:tcBorders>
              <w:top w:val="single" w:sz="8" w:color="auto"/>
              <w:bottom w:val="single" w:sz="8" w:color="auto"/>
            </w:tcBorders>
            <w:gridSpan w:val="6"/>
          </w:tcPr>
          <w:p>
            <w:pPr>
              <w:jc w:val="right"/>
              <w:ind w:right="800"/>
              <w:spacing w:after="0"/>
              <w:rPr>
                <w:sz w:val="20"/>
                <w:szCs w:val="20"/>
                <w:color w:val="auto"/>
              </w:rPr>
            </w:pPr>
            <w:r>
              <w:rPr>
                <w:rFonts w:ascii="Arial" w:cs="Arial" w:eastAsia="Arial" w:hAnsi="Arial"/>
                <w:sz w:val="20"/>
                <w:szCs w:val="20"/>
                <w:color w:val="auto"/>
                <w:w w:val="98"/>
              </w:rPr>
              <w:t>Six Months Ended June 30,</w:t>
            </w: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2021</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2020</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2021</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40" w:type="dxa"/>
            <w:vAlign w:val="bottom"/>
            <w:gridSpan w:val="6"/>
          </w:tcPr>
          <w:p>
            <w:pPr>
              <w:jc w:val="right"/>
              <w:ind w:right="1060"/>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23.0</w:t>
            </w:r>
          </w:p>
        </w:tc>
        <w:tc>
          <w:tcPr>
            <w:tcW w:w="1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81"/>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w:t>
            </w:r>
          </w:p>
        </w:tc>
        <w:tc>
          <w:tcPr>
            <w:tcW w:w="1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460" w:type="dxa"/>
            <w:vAlign w:val="bottom"/>
            <w:gridSpan w:val="2"/>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20"/>
                <w:szCs w:val="20"/>
                <w:color w:val="auto"/>
              </w:rPr>
              <w:t>Interest cost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17.7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18.5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0.2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assets</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(35.1)</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(28.6)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20"/>
                <w:szCs w:val="20"/>
                <w:color w:val="auto"/>
              </w:rPr>
              <w:t>Amortization of:</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Prior service cost (credit)</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0.4</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0.3</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(0.4)</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20"/>
                <w:szCs w:val="20"/>
                <w:color w:val="auto"/>
              </w:rPr>
              <w:t>Actuarial loss (gain)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spacing w:after="0"/>
              <w:rPr>
                <w:sz w:val="20"/>
                <w:szCs w:val="20"/>
                <w:color w:val="auto"/>
              </w:rPr>
            </w:pPr>
            <w:r>
              <w:rPr>
                <w:rFonts w:ascii="Arial" w:cs="Arial" w:eastAsia="Arial" w:hAnsi="Arial"/>
                <w:sz w:val="20"/>
                <w:szCs w:val="20"/>
                <w:color w:val="auto"/>
              </w:rPr>
              <w:t>Net periodic benefit cost (credit)</w:t>
            </w: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vMerge w:val="continue"/>
            <w:shd w:val="clear" w:color="auto" w:fill="CFF0FC"/>
          </w:tcPr>
          <w:p>
            <w:pPr>
              <w:spacing w:after="0"/>
              <w:rPr>
                <w:sz w:val="20"/>
                <w:szCs w:val="20"/>
                <w:color w:val="auto"/>
              </w:rPr>
            </w:pP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w:t>
            </w:r>
          </w:p>
        </w:tc>
        <w:tc>
          <w:tcPr>
            <w:tcW w:w="180" w:type="dxa"/>
            <w:vAlign w:val="bottom"/>
            <w:shd w:val="clear" w:color="auto" w:fill="CFF0FC"/>
          </w:tcPr>
          <w:p>
            <w:pPr>
              <w:spacing w:after="0"/>
              <w:rPr>
                <w:sz w:val="20"/>
                <w:szCs w:val="20"/>
                <w:color w:val="auto"/>
              </w:rPr>
            </w:pPr>
          </w:p>
        </w:tc>
        <w:tc>
          <w:tcPr>
            <w:tcW w:w="100" w:type="dxa"/>
            <w:vAlign w:val="bottom"/>
            <w:vMerge w:val="continue"/>
            <w:shd w:val="clear" w:color="auto" w:fill="CFF0FC"/>
          </w:tcPr>
          <w:p>
            <w:pPr>
              <w:spacing w:after="0"/>
              <w:rPr>
                <w:sz w:val="20"/>
                <w:szCs w:val="20"/>
                <w:color w:val="auto"/>
              </w:rPr>
            </w:pPr>
          </w:p>
        </w:tc>
        <w:tc>
          <w:tcPr>
            <w:tcW w:w="3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16.5</w:t>
            </w:r>
          </w:p>
        </w:tc>
        <w:tc>
          <w:tcPr>
            <w:tcW w:w="160" w:type="dxa"/>
            <w:vAlign w:val="bottom"/>
            <w:shd w:val="clear" w:color="auto" w:fill="CFF0FC"/>
          </w:tcPr>
          <w:p>
            <w:pPr>
              <w:spacing w:after="0"/>
              <w:rPr>
                <w:sz w:val="20"/>
                <w:szCs w:val="20"/>
                <w:color w:val="auto"/>
              </w:rPr>
            </w:pPr>
          </w:p>
        </w:tc>
        <w:tc>
          <w:tcPr>
            <w:tcW w:w="100" w:type="dxa"/>
            <w:vAlign w:val="bottom"/>
            <w:vMerge w:val="continue"/>
            <w:shd w:val="clear" w:color="auto" w:fill="CFF0FC"/>
          </w:tcPr>
          <w:p>
            <w:pPr>
              <w:spacing w:after="0"/>
              <w:rPr>
                <w:sz w:val="20"/>
                <w:szCs w:val="20"/>
                <w:color w:val="auto"/>
              </w:rPr>
            </w:pPr>
          </w:p>
        </w:tc>
        <w:tc>
          <w:tcPr>
            <w:tcW w:w="34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(0.3)</w:t>
            </w:r>
          </w:p>
        </w:tc>
        <w:tc>
          <w:tcPr>
            <w:tcW w:w="100" w:type="dxa"/>
            <w:vAlign w:val="bottom"/>
            <w:vMerge w:val="continue"/>
            <w:shd w:val="clear" w:color="auto" w:fill="CFF0FC"/>
          </w:tcPr>
          <w:p>
            <w:pPr>
              <w:spacing w:after="0"/>
              <w:rPr>
                <w:sz w:val="20"/>
                <w:szCs w:val="20"/>
                <w:color w:val="auto"/>
              </w:rPr>
            </w:pP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280"/>
        <w:spacing w:after="0" w:line="250" w:lineRule="auto"/>
        <w:rPr>
          <w:sz w:val="20"/>
          <w:szCs w:val="20"/>
          <w:color w:val="auto"/>
        </w:rPr>
      </w:pPr>
      <w:r>
        <w:rPr>
          <w:rFonts w:ascii="Arial" w:cs="Arial" w:eastAsia="Arial" w:hAnsi="Arial"/>
          <w:sz w:val="20"/>
          <w:szCs w:val="20"/>
          <w:color w:val="auto"/>
        </w:rPr>
        <w:t xml:space="preserve">The service cost component of net periodic benefit cost (credit) is included in </w:t>
      </w:r>
      <w:r>
        <w:rPr>
          <w:rFonts w:ascii="Arial" w:cs="Arial" w:eastAsia="Arial" w:hAnsi="Arial"/>
          <w:sz w:val="20"/>
          <w:szCs w:val="20"/>
          <w:i w:val="1"/>
          <w:iCs w:val="1"/>
          <w:color w:val="auto"/>
        </w:rPr>
        <w:t>Cost of revenues – products and services</w:t>
      </w:r>
      <w:r>
        <w:rPr>
          <w:rFonts w:ascii="Arial" w:cs="Arial" w:eastAsia="Arial" w:hAnsi="Arial"/>
          <w:sz w:val="20"/>
          <w:szCs w:val="20"/>
          <w:color w:val="auto"/>
        </w:rPr>
        <w:t xml:space="preserve"> and </w:t>
      </w:r>
      <w:r>
        <w:rPr>
          <w:rFonts w:ascii="Arial" w:cs="Arial" w:eastAsia="Arial" w:hAnsi="Arial"/>
          <w:sz w:val="20"/>
          <w:szCs w:val="20"/>
          <w:i w:val="1"/>
          <w:iCs w:val="1"/>
          <w:color w:val="auto"/>
        </w:rPr>
        <w:t>Selling,</w:t>
      </w:r>
      <w:r>
        <w:rPr>
          <w:rFonts w:ascii="Arial" w:cs="Arial" w:eastAsia="Arial" w:hAnsi="Arial"/>
          <w:sz w:val="20"/>
          <w:szCs w:val="20"/>
          <w:color w:val="auto"/>
        </w:rPr>
        <w:t xml:space="preserve"> </w:t>
      </w:r>
      <w:r>
        <w:rPr>
          <w:rFonts w:ascii="Arial" w:cs="Arial" w:eastAsia="Arial" w:hAnsi="Arial"/>
          <w:sz w:val="20"/>
          <w:szCs w:val="20"/>
          <w:i w:val="1"/>
          <w:iCs w:val="1"/>
          <w:color w:val="auto"/>
        </w:rPr>
        <w:t>general and administrative expenses</w:t>
      </w:r>
      <w:r>
        <w:rPr>
          <w:rFonts w:ascii="Arial" w:cs="Arial" w:eastAsia="Arial" w:hAnsi="Arial"/>
          <w:sz w:val="20"/>
          <w:szCs w:val="20"/>
          <w:color w:val="auto"/>
        </w:rPr>
        <w:t>. All other components are included in</w:t>
      </w:r>
      <w:r>
        <w:rPr>
          <w:rFonts w:ascii="Arial" w:cs="Arial" w:eastAsia="Arial" w:hAnsi="Arial"/>
          <w:sz w:val="20"/>
          <w:szCs w:val="20"/>
          <w:i w:val="1"/>
          <w:iCs w:val="1"/>
          <w:color w:val="auto"/>
        </w:rPr>
        <w:t xml:space="preserve"> Other nonoperating income, net</w:t>
      </w:r>
      <w:r>
        <w:rPr>
          <w:rFonts w:ascii="Arial" w:cs="Arial" w:eastAsia="Arial" w:hAnsi="Arial"/>
          <w:sz w:val="20"/>
          <w:szCs w:val="20"/>
          <w:color w:val="auto"/>
        </w:rPr>
        <w:t>, in the consolidated</w:t>
      </w:r>
      <w:r>
        <w:rPr>
          <w:rFonts w:ascii="Arial" w:cs="Arial" w:eastAsia="Arial" w:hAnsi="Arial"/>
          <w:sz w:val="20"/>
          <w:szCs w:val="20"/>
          <w:i w:val="1"/>
          <w:iCs w:val="1"/>
          <w:color w:val="auto"/>
        </w:rPr>
        <w:t xml:space="preserve"> </w:t>
      </w:r>
      <w:r>
        <w:rPr>
          <w:rFonts w:ascii="Arial" w:cs="Arial" w:eastAsia="Arial" w:hAnsi="Arial"/>
          <w:sz w:val="20"/>
          <w:szCs w:val="20"/>
          <w:color w:val="auto"/>
        </w:rPr>
        <w:t>statements of earnings and comprehensive earnings.</w:t>
      </w:r>
    </w:p>
    <w:p>
      <w:pPr>
        <w:spacing w:after="0" w:line="234" w:lineRule="exact"/>
        <w:rPr>
          <w:sz w:val="20"/>
          <w:szCs w:val="20"/>
          <w:color w:val="auto"/>
        </w:rPr>
      </w:pPr>
    </w:p>
    <w:p>
      <w:pPr>
        <w:ind w:left="280" w:right="7920" w:hanging="272"/>
        <w:spacing w:after="0" w:line="394" w:lineRule="auto"/>
        <w:tabs>
          <w:tab w:leader="none" w:pos="26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Legal and Administrative Proceedings</w:t>
      </w:r>
    </w:p>
    <w:p>
      <w:pPr>
        <w:spacing w:after="0" w:line="1" w:lineRule="exact"/>
        <w:rPr>
          <w:rFonts w:ascii="Arial" w:cs="Arial" w:eastAsia="Arial" w:hAnsi="Arial"/>
          <w:sz w:val="18"/>
          <w:szCs w:val="18"/>
          <w:b w:val="1"/>
          <w:bCs w:val="1"/>
          <w:color w:val="auto"/>
        </w:rPr>
      </w:pPr>
    </w:p>
    <w:p>
      <w:pPr>
        <w:jc w:val="both"/>
        <w:ind w:left="2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is engaged in certain legal and administrative proceedings incidental to its normal business activities, including matters relating to environmental protection. The Company considers various factors in assessing the probable outcome of each matter, including but not limited to the nature of existing legal proceedings and claims, the asserted or possible damages, the jurisdiction and venue of the case and whether it is a jury trial, the progress of the case, existing law and precedent, the opinions or views of legal counsel and other advisers, the Company’s experience in similar cases and the experience of other companies, the facts available to the Company at the time of assessment, and how the Company intends to respond to the proceeding or claim. The Company’s assessment of these factors may change over time as proceedings or claims progress. The Company believes the probability is remote that the outcome of any currently pending legal or administrative proceeding will result in a material loss to the Company as a whole, based on currently available facts.</w:t>
      </w:r>
    </w:p>
    <w:p>
      <w:pPr>
        <w:spacing w:after="0" w:line="36"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Borrowing Arrangements with Affiliate</w:t>
      </w:r>
    </w:p>
    <w:p>
      <w:pPr>
        <w:spacing w:after="0" w:line="107" w:lineRule="exact"/>
        <w:rPr>
          <w:rFonts w:ascii="Arial" w:cs="Arial" w:eastAsia="Arial" w:hAnsi="Arial"/>
          <w:sz w:val="18"/>
          <w:szCs w:val="18"/>
          <w:b w:val="1"/>
          <w:bCs w:val="1"/>
          <w:color w:val="auto"/>
        </w:rPr>
      </w:pPr>
    </w:p>
    <w:p>
      <w:pPr>
        <w:jc w:val="both"/>
        <w:ind w:left="28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The Company is a co-borrower with an unconsolidated affiliate for a $12.5 million revolving line of credit agreement with Truist Bank, of which $5.8 million was outstanding as of June 30, 2021 and has a maturity date of March 2022.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53" w:lineRule="exact"/>
        <w:rPr>
          <w:rFonts w:ascii="Arial" w:cs="Arial" w:eastAsia="Arial" w:hAnsi="Arial"/>
          <w:sz w:val="18"/>
          <w:szCs w:val="18"/>
          <w:b w:val="1"/>
          <w:bCs w:val="1"/>
          <w:color w:val="auto"/>
        </w:rPr>
      </w:pPr>
    </w:p>
    <w:p>
      <w:pPr>
        <w:ind w:left="280" w:right="20"/>
        <w:spacing w:after="0" w:line="287" w:lineRule="auto"/>
        <w:rPr>
          <w:rFonts w:ascii="Arial" w:cs="Arial" w:eastAsia="Arial" w:hAnsi="Arial"/>
          <w:sz w:val="18"/>
          <w:szCs w:val="18"/>
          <w:b w:val="1"/>
          <w:bCs w:val="1"/>
          <w:color w:val="auto"/>
        </w:rPr>
      </w:pPr>
      <w:r>
        <w:rPr>
          <w:rFonts w:ascii="Arial" w:cs="Arial" w:eastAsia="Arial" w:hAnsi="Arial"/>
          <w:sz w:val="19"/>
          <w:szCs w:val="19"/>
          <w:color w:val="auto"/>
        </w:rPr>
        <w:t>In addition, the Company has a $6.0 million interest-only loan, due December 31, 2022, outstanding from this unconsolidated affiliate as of June 30, 2021 and December 31, 2020. The interest rate is one-month LIBOR plus a current spread of 1.75%.</w:t>
      </w:r>
    </w:p>
    <w:p>
      <w:pPr>
        <w:spacing w:after="0" w:line="44"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Letters of Credit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280"/>
        <w:spacing w:after="0" w:line="269" w:lineRule="auto"/>
        <w:rPr>
          <w:sz w:val="20"/>
          <w:szCs w:val="20"/>
          <w:color w:val="auto"/>
        </w:rPr>
      </w:pPr>
      <w:r>
        <w:rPr>
          <w:rFonts w:ascii="Arial" w:cs="Arial" w:eastAsia="Arial" w:hAnsi="Arial"/>
          <w:sz w:val="19"/>
          <w:szCs w:val="19"/>
          <w:color w:val="auto"/>
        </w:rPr>
        <w:t>In the normal course of business, the Company provides certain third parties with standby letter of credit agreements guaranteeing its payment for certain insurance claims, contract performance and permit requirements. At June 30, 2021, the Company was contingently liable for $32.4 million in letters of credit, of which $2.6 million were issued under the Company’s Revolving Facility.</w:t>
      </w:r>
    </w:p>
    <w:p>
      <w:pPr>
        <w:spacing w:after="0" w:line="272"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Business Segments</w:t>
      </w:r>
    </w:p>
    <w:p>
      <w:pPr>
        <w:spacing w:after="0" w:line="125" w:lineRule="exact"/>
        <w:rPr>
          <w:rFonts w:ascii="Arial" w:cs="Arial" w:eastAsia="Arial" w:hAnsi="Arial"/>
          <w:sz w:val="19"/>
          <w:szCs w:val="19"/>
          <w:b w:val="1"/>
          <w:bCs w:val="1"/>
          <w:color w:val="auto"/>
        </w:rPr>
      </w:pPr>
    </w:p>
    <w:p>
      <w:pPr>
        <w:jc w:val="both"/>
        <w:ind w:left="280"/>
        <w:spacing w:after="0" w:line="242" w:lineRule="auto"/>
        <w:rPr>
          <w:rFonts w:ascii="Arial" w:cs="Arial" w:eastAsia="Arial" w:hAnsi="Arial"/>
          <w:sz w:val="19"/>
          <w:szCs w:val="19"/>
          <w:b w:val="1"/>
          <w:bCs w:val="1"/>
          <w:color w:val="auto"/>
        </w:rPr>
      </w:pPr>
      <w:r>
        <w:rPr>
          <w:rFonts w:ascii="Arial" w:cs="Arial" w:eastAsia="Arial" w:hAnsi="Arial"/>
          <w:sz w:val="20"/>
          <w:szCs w:val="20"/>
          <w:color w:val="auto"/>
        </w:rPr>
        <w:t>The Building Materials business contains two reportable segments: the East Group and the West Group.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acquisition-related expenses; other operating income and expenses, net; and exclude interest expense; other nonoperating income and expenses, net; and income taxes. Corporate loss from operations primarily includes depreciation; expenses for corporate administrative functions; acquisition-related expenses; and other nonrecurring income and expenses excluded from the Company’s evaluation of business segment performance and resource allocation. All long-term debt and related interest expense are held at Corporate.</w:t>
      </w:r>
    </w:p>
    <w:p>
      <w:pPr>
        <w:spacing w:after="0" w:line="88" w:lineRule="exact"/>
        <w:rPr>
          <w:rFonts w:ascii="Arial" w:cs="Arial" w:eastAsia="Arial" w:hAnsi="Arial"/>
          <w:sz w:val="19"/>
          <w:szCs w:val="19"/>
          <w:b w:val="1"/>
          <w:bCs w:val="1"/>
          <w:color w:val="auto"/>
        </w:rPr>
      </w:pPr>
    </w:p>
    <w:p>
      <w:pPr>
        <w:jc w:val="both"/>
        <w:ind w:left="280"/>
        <w:spacing w:after="0" w:line="250" w:lineRule="auto"/>
        <w:rPr>
          <w:rFonts w:ascii="Arial" w:cs="Arial" w:eastAsia="Arial" w:hAnsi="Arial"/>
          <w:sz w:val="19"/>
          <w:szCs w:val="19"/>
          <w:b w:val="1"/>
          <w:bCs w:val="1"/>
          <w:color w:val="auto"/>
        </w:rPr>
      </w:pPr>
      <w:r>
        <w:rPr>
          <w:rFonts w:ascii="Arial" w:cs="Arial" w:eastAsia="Arial" w:hAnsi="Arial"/>
          <w:sz w:val="20"/>
          <w:szCs w:val="20"/>
          <w:color w:val="auto"/>
        </w:rPr>
        <w:t>The following table displays selected financial data for the Company’s reportable segments. Total revenues, as presented on the consolidated statements of earnings and comprehensive earnings, exclude intersegment revenues, which represent sales from one segment to another segment and are eliminated in consolidation.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60" w:type="dxa"/>
            <w:vAlign w:val="bottom"/>
            <w:gridSpan w:val="6"/>
          </w:tcPr>
          <w:p>
            <w:pPr>
              <w:jc w:val="right"/>
              <w:ind w:right="1100"/>
              <w:spacing w:after="0"/>
              <w:rPr>
                <w:sz w:val="20"/>
                <w:szCs w:val="20"/>
                <w:color w:val="auto"/>
              </w:rPr>
            </w:pPr>
            <w:r>
              <w:rPr>
                <w:rFonts w:ascii="Arial" w:cs="Arial" w:eastAsia="Arial" w:hAnsi="Arial"/>
                <w:sz w:val="20"/>
                <w:szCs w:val="20"/>
                <w:color w:val="auto"/>
              </w:rPr>
              <w:t>Three Months Ended</w:t>
            </w:r>
          </w:p>
        </w:tc>
        <w:tc>
          <w:tcPr>
            <w:tcW w:w="340" w:type="dxa"/>
            <w:vAlign w:val="bottom"/>
          </w:tcPr>
          <w:p>
            <w:pPr>
              <w:spacing w:after="0"/>
              <w:rPr>
                <w:sz w:val="21"/>
                <w:szCs w:val="21"/>
                <w:color w:val="auto"/>
              </w:rPr>
            </w:pPr>
          </w:p>
        </w:tc>
        <w:tc>
          <w:tcPr>
            <w:tcW w:w="3120" w:type="dxa"/>
            <w:vAlign w:val="bottom"/>
            <w:gridSpan w:val="6"/>
          </w:tcPr>
          <w:p>
            <w:pPr>
              <w:jc w:val="right"/>
              <w:ind w:right="1060"/>
              <w:spacing w:after="0"/>
              <w:rPr>
                <w:sz w:val="20"/>
                <w:szCs w:val="20"/>
                <w:color w:val="auto"/>
              </w:rPr>
            </w:pPr>
            <w:r>
              <w:rPr>
                <w:rFonts w:ascii="Arial" w:cs="Arial" w:eastAsia="Arial" w:hAnsi="Arial"/>
                <w:sz w:val="20"/>
                <w:szCs w:val="20"/>
                <w:color w:val="auto"/>
              </w:rPr>
              <w:t>Six Months Ended</w:t>
            </w:r>
          </w:p>
        </w:tc>
      </w:tr>
      <w:tr>
        <w:trPr>
          <w:trHeight w:val="246"/>
        </w:trPr>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20"/>
                <w:szCs w:val="20"/>
                <w:color w:val="auto"/>
              </w:rPr>
              <w:t>June 30,</w:t>
            </w:r>
          </w:p>
        </w:tc>
        <w:tc>
          <w:tcPr>
            <w:tcW w:w="11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20"/>
                <w:szCs w:val="20"/>
                <w:color w:val="auto"/>
              </w:rPr>
              <w:t>June 30,</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2021</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2020</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2021</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2020</w:t>
            </w:r>
          </w:p>
        </w:tc>
        <w:tc>
          <w:tcPr>
            <w:tcW w:w="12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5"/>
          </w:tcPr>
          <w:p>
            <w:pPr>
              <w:jc w:val="right"/>
              <w:ind w:right="1000"/>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20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Total revenues:</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11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East Group</w:t>
            </w:r>
          </w:p>
        </w:tc>
        <w:tc>
          <w:tcPr>
            <w:tcW w:w="3040" w:type="dxa"/>
            <w:vAlign w:val="bottom"/>
            <w:tcBorders>
              <w:top w:val="single" w:sz="8" w:color="CFF0FC"/>
            </w:tcBorders>
            <w:gridSpan w:val="3"/>
          </w:tcPr>
          <w:p>
            <w:pPr>
              <w:spacing w:after="0"/>
              <w:rPr>
                <w:sz w:val="21"/>
                <w:szCs w:val="21"/>
                <w:color w:val="auto"/>
              </w:rPr>
            </w:pPr>
          </w:p>
        </w:tc>
        <w:tc>
          <w:tcPr>
            <w:tcW w:w="320" w:type="dxa"/>
            <w:vAlign w:val="bottom"/>
            <w:tcBorders>
              <w:top w:val="single" w:sz="8" w:color="CFF0FC"/>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635.3</w:t>
            </w:r>
          </w:p>
        </w:tc>
        <w:tc>
          <w:tcPr>
            <w:tcW w:w="160" w:type="dxa"/>
            <w:vAlign w:val="bottom"/>
            <w:tcBorders>
              <w:top w:val="single" w:sz="8" w:color="CFF0FC"/>
            </w:tcBorders>
          </w:tcPr>
          <w:p>
            <w:pPr>
              <w:spacing w:after="0"/>
              <w:rPr>
                <w:sz w:val="21"/>
                <w:szCs w:val="21"/>
                <w:color w:val="auto"/>
              </w:rPr>
            </w:pPr>
          </w:p>
        </w:tc>
        <w:tc>
          <w:tcPr>
            <w:tcW w:w="460" w:type="dxa"/>
            <w:vAlign w:val="bottom"/>
            <w:tcBorders>
              <w:top w:val="single" w:sz="8" w:color="CFF0FC"/>
            </w:tcBorders>
            <w:gridSpan w:val="2"/>
          </w:tcPr>
          <w:p>
            <w:pPr>
              <w:jc w:val="right"/>
              <w:ind w:right="181"/>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534.5</w:t>
            </w:r>
          </w:p>
        </w:tc>
        <w:tc>
          <w:tcPr>
            <w:tcW w:w="260" w:type="dxa"/>
            <w:vAlign w:val="bottom"/>
            <w:tcBorders>
              <w:top w:val="single" w:sz="8" w:color="CFF0FC"/>
            </w:tcBorders>
          </w:tcPr>
          <w:p>
            <w:pPr>
              <w:spacing w:after="0"/>
              <w:rPr>
                <w:sz w:val="21"/>
                <w:szCs w:val="21"/>
                <w:color w:val="auto"/>
              </w:rPr>
            </w:pPr>
          </w:p>
        </w:tc>
        <w:tc>
          <w:tcPr>
            <w:tcW w:w="340" w:type="dxa"/>
            <w:vAlign w:val="bottom"/>
            <w:tcBorders>
              <w:top w:val="single" w:sz="8" w:color="CFF0FC"/>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1,030.2</w:t>
            </w:r>
          </w:p>
        </w:tc>
        <w:tc>
          <w:tcPr>
            <w:tcW w:w="160" w:type="dxa"/>
            <w:vAlign w:val="bottom"/>
            <w:tcBorders>
              <w:top w:val="single" w:sz="8" w:color="CFF0FC"/>
            </w:tcBorders>
          </w:tcPr>
          <w:p>
            <w:pPr>
              <w:spacing w:after="0"/>
              <w:rPr>
                <w:sz w:val="21"/>
                <w:szCs w:val="21"/>
                <w:color w:val="auto"/>
              </w:rPr>
            </w:pPr>
          </w:p>
        </w:tc>
        <w:tc>
          <w:tcPr>
            <w:tcW w:w="480" w:type="dxa"/>
            <w:vAlign w:val="bottom"/>
            <w:tcBorders>
              <w:top w:val="single" w:sz="8" w:color="CFF0FC"/>
            </w:tcBorders>
            <w:gridSpan w:val="2"/>
          </w:tcPr>
          <w:p>
            <w:pPr>
              <w:jc w:val="right"/>
              <w:ind w:right="181"/>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916.5</w:t>
            </w:r>
          </w:p>
        </w:tc>
        <w:tc>
          <w:tcPr>
            <w:tcW w:w="120" w:type="dxa"/>
            <w:vAlign w:val="bottom"/>
            <w:tcBorders>
              <w:top w:val="single" w:sz="8" w:color="CFF0FC"/>
            </w:tcBorders>
          </w:tcPr>
          <w:p>
            <w:pPr>
              <w:spacing w:after="0"/>
              <w:rPr>
                <w:sz w:val="21"/>
                <w:szCs w:val="21"/>
                <w:color w:val="auto"/>
              </w:rPr>
            </w:pPr>
          </w:p>
        </w:tc>
      </w:tr>
      <w:tr>
        <w:trPr>
          <w:trHeight w:val="243"/>
        </w:trPr>
        <w:tc>
          <w:tcPr>
            <w:tcW w:w="420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666.8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682.5</w:t>
            </w:r>
          </w:p>
        </w:tc>
        <w:tc>
          <w:tcPr>
            <w:tcW w:w="2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1,183.4</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1,193.1</w:t>
            </w:r>
          </w:p>
        </w:tc>
        <w:tc>
          <w:tcPr>
            <w:tcW w:w="120" w:type="dxa"/>
            <w:vAlign w:val="bottom"/>
            <w:shd w:val="clear" w:color="auto" w:fill="CFF0FC"/>
          </w:tcPr>
          <w:p>
            <w:pPr>
              <w:spacing w:after="0"/>
              <w:rPr>
                <w:sz w:val="21"/>
                <w:szCs w:val="21"/>
                <w:color w:val="auto"/>
              </w:rPr>
            </w:pPr>
          </w:p>
        </w:tc>
      </w:tr>
      <w:tr>
        <w:trPr>
          <w:trHeight w:val="237"/>
        </w:trPr>
        <w:tc>
          <w:tcPr>
            <w:tcW w:w="4200" w:type="dxa"/>
            <w:vAlign w:val="bottom"/>
            <w:gridSpan w:val="4"/>
          </w:tcPr>
          <w:p>
            <w:pPr>
              <w:spacing w:after="0"/>
              <w:rPr>
                <w:sz w:val="20"/>
                <w:szCs w:val="20"/>
                <w:color w:val="auto"/>
              </w:rPr>
            </w:pPr>
            <w:r>
              <w:rPr>
                <w:rFonts w:ascii="Arial" w:cs="Arial" w:eastAsia="Arial" w:hAnsi="Arial"/>
                <w:sz w:val="20"/>
                <w:szCs w:val="20"/>
                <w:color w:val="auto"/>
              </w:rPr>
              <w:t>Total Building Materials business</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1,302.1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1,217.0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2,213.6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2,109.6</w:t>
            </w:r>
          </w:p>
        </w:tc>
        <w:tc>
          <w:tcPr>
            <w:tcW w:w="120" w:type="dxa"/>
            <w:vAlign w:val="bottom"/>
          </w:tcPr>
          <w:p>
            <w:pPr>
              <w:spacing w:after="0"/>
              <w:rPr>
                <w:sz w:val="20"/>
                <w:szCs w:val="20"/>
                <w:color w:val="auto"/>
              </w:rPr>
            </w:pPr>
          </w:p>
        </w:tc>
      </w:tr>
      <w:tr>
        <w:trPr>
          <w:trHeight w:val="243"/>
        </w:trPr>
        <w:tc>
          <w:tcPr>
            <w:tcW w:w="420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53.6</w:t>
            </w:r>
          </w:p>
        </w:tc>
        <w:tc>
          <w:tcPr>
            <w:tcW w:w="2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146.7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119.3</w:t>
            </w:r>
          </w:p>
        </w:tc>
        <w:tc>
          <w:tcPr>
            <w:tcW w:w="120" w:type="dxa"/>
            <w:vAlign w:val="bottom"/>
            <w:shd w:val="clear" w:color="auto" w:fill="CFF0FC"/>
          </w:tcPr>
          <w:p>
            <w:pPr>
              <w:spacing w:after="0"/>
              <w:rPr>
                <w:sz w:val="21"/>
                <w:szCs w:val="21"/>
                <w:color w:val="auto"/>
              </w:rPr>
            </w:pPr>
          </w:p>
        </w:tc>
      </w:tr>
      <w:tr>
        <w:trPr>
          <w:trHeight w:val="277"/>
        </w:trPr>
        <w:tc>
          <w:tcPr>
            <w:tcW w:w="420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Total</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1,377.9</w:t>
            </w: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1,270.6</w:t>
            </w:r>
          </w:p>
        </w:tc>
        <w:tc>
          <w:tcPr>
            <w:tcW w:w="26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2,360.3</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2,228.9</w:t>
            </w:r>
          </w:p>
        </w:tc>
        <w:tc>
          <w:tcPr>
            <w:tcW w:w="120" w:type="dxa"/>
            <w:vAlign w:val="bottom"/>
            <w:tcBorders>
              <w:bottom w:val="single" w:sz="8" w:color="CFF0FC"/>
            </w:tcBorders>
          </w:tcPr>
          <w:p>
            <w:pPr>
              <w:spacing w:after="0"/>
              <w:rPr>
                <w:sz w:val="24"/>
                <w:szCs w:val="24"/>
                <w:color w:val="auto"/>
              </w:rPr>
            </w:pPr>
          </w:p>
        </w:tc>
      </w:tr>
      <w:tr>
        <w:trPr>
          <w:trHeight w:val="223"/>
        </w:trPr>
        <w:tc>
          <w:tcPr>
            <w:tcW w:w="1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3"/>
        </w:trPr>
        <w:tc>
          <w:tcPr>
            <w:tcW w:w="4200" w:type="dxa"/>
            <w:vAlign w:val="bottom"/>
            <w:gridSpan w:val="4"/>
          </w:tcPr>
          <w:p>
            <w:pPr>
              <w:spacing w:after="0" w:line="203" w:lineRule="exact"/>
              <w:rPr>
                <w:sz w:val="20"/>
                <w:szCs w:val="20"/>
                <w:color w:val="auto"/>
              </w:rPr>
            </w:pPr>
            <w:r>
              <w:rPr>
                <w:rFonts w:ascii="Arial" w:cs="Arial" w:eastAsia="Arial" w:hAnsi="Arial"/>
                <w:sz w:val="20"/>
                <w:szCs w:val="20"/>
                <w:color w:val="auto"/>
              </w:rPr>
              <w:t>Products and services revenues: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420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East Group</w:t>
            </w: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596.5</w:t>
            </w:r>
          </w:p>
        </w:tc>
        <w:tc>
          <w:tcPr>
            <w:tcW w:w="1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8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499.7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969.1</w:t>
            </w:r>
          </w:p>
        </w:tc>
        <w:tc>
          <w:tcPr>
            <w:tcW w:w="1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8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857.6</w:t>
            </w:r>
          </w:p>
        </w:tc>
        <w:tc>
          <w:tcPr>
            <w:tcW w:w="120" w:type="dxa"/>
            <w:vAlign w:val="bottom"/>
            <w:shd w:val="clear" w:color="auto" w:fill="CFF0FC"/>
          </w:tcPr>
          <w:p>
            <w:pPr>
              <w:spacing w:after="0"/>
              <w:rPr>
                <w:sz w:val="21"/>
                <w:szCs w:val="21"/>
                <w:color w:val="auto"/>
              </w:rPr>
            </w:pPr>
          </w:p>
        </w:tc>
      </w:tr>
      <w:tr>
        <w:trPr>
          <w:trHeight w:val="243"/>
        </w:trPr>
        <w:tc>
          <w:tcPr>
            <w:tcW w:w="420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West Group</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628.8</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640.9</w:t>
            </w:r>
          </w:p>
        </w:tc>
        <w:tc>
          <w:tcPr>
            <w:tcW w:w="2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1,112.9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1,114.1</w:t>
            </w:r>
          </w:p>
        </w:tc>
        <w:tc>
          <w:tcPr>
            <w:tcW w:w="120" w:type="dxa"/>
            <w:vAlign w:val="bottom"/>
            <w:tcBorders>
              <w:bottom w:val="single" w:sz="8" w:color="CFF0FC"/>
            </w:tcBorders>
          </w:tcPr>
          <w:p>
            <w:pPr>
              <w:spacing w:after="0"/>
              <w:rPr>
                <w:sz w:val="21"/>
                <w:szCs w:val="21"/>
                <w:color w:val="auto"/>
              </w:rPr>
            </w:pPr>
          </w:p>
        </w:tc>
      </w:tr>
      <w:tr>
        <w:trPr>
          <w:trHeight w:val="236"/>
        </w:trPr>
        <w:tc>
          <w:tcPr>
            <w:tcW w:w="420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1,225.3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1,140.6</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2,082.0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1,971.7</w:t>
            </w:r>
          </w:p>
        </w:tc>
        <w:tc>
          <w:tcPr>
            <w:tcW w:w="120" w:type="dxa"/>
            <w:vAlign w:val="bottom"/>
            <w:shd w:val="clear" w:color="auto" w:fill="CFF0FC"/>
          </w:tcPr>
          <w:p>
            <w:pPr>
              <w:spacing w:after="0"/>
              <w:rPr>
                <w:sz w:val="20"/>
                <w:szCs w:val="20"/>
                <w:color w:val="auto"/>
              </w:rPr>
            </w:pPr>
          </w:p>
        </w:tc>
      </w:tr>
      <w:tr>
        <w:trPr>
          <w:trHeight w:val="243"/>
        </w:trPr>
        <w:tc>
          <w:tcPr>
            <w:tcW w:w="4200" w:type="dxa"/>
            <w:vAlign w:val="bottom"/>
            <w:tcBorders>
              <w:bottom w:val="single" w:sz="8" w:color="CFF0FC"/>
            </w:tcBorders>
            <w:gridSpan w:val="4"/>
          </w:tcPr>
          <w:p>
            <w:pPr>
              <w:spacing w:after="0"/>
              <w:rPr>
                <w:sz w:val="20"/>
                <w:szCs w:val="20"/>
                <w:color w:val="auto"/>
              </w:rPr>
            </w:pPr>
            <w:r>
              <w:rPr>
                <w:rFonts w:ascii="Arial" w:cs="Arial" w:eastAsia="Arial" w:hAnsi="Arial"/>
                <w:sz w:val="20"/>
                <w:szCs w:val="20"/>
                <w:color w:val="auto"/>
              </w:rPr>
              <w:t>Magnesia Specialties</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70.0</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48.9</w:t>
            </w:r>
          </w:p>
        </w:tc>
        <w:tc>
          <w:tcPr>
            <w:tcW w:w="2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135.2</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108.8</w:t>
            </w:r>
          </w:p>
        </w:tc>
        <w:tc>
          <w:tcPr>
            <w:tcW w:w="120" w:type="dxa"/>
            <w:vAlign w:val="bottom"/>
            <w:tcBorders>
              <w:bottom w:val="single" w:sz="8" w:color="CFF0FC"/>
            </w:tcBorders>
          </w:tcPr>
          <w:p>
            <w:pPr>
              <w:spacing w:after="0"/>
              <w:rPr>
                <w:sz w:val="21"/>
                <w:szCs w:val="21"/>
                <w:color w:val="auto"/>
              </w:rPr>
            </w:pPr>
          </w:p>
        </w:tc>
      </w:tr>
      <w:tr>
        <w:trPr>
          <w:trHeight w:val="237"/>
        </w:trPr>
        <w:tc>
          <w:tcPr>
            <w:tcW w:w="420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32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1,295.3</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1,189.5</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2,217.2</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2,080.5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200" w:type="dxa"/>
            <w:vAlign w:val="bottom"/>
            <w:gridSpan w:val="4"/>
            <w:shd w:val="clear" w:color="auto" w:fill="CFF0FC"/>
          </w:tcPr>
          <w:p>
            <w:pPr>
              <w:spacing w:after="0" w:line="203" w:lineRule="exact"/>
              <w:rPr>
                <w:sz w:val="20"/>
                <w:szCs w:val="20"/>
                <w:color w:val="auto"/>
              </w:rPr>
            </w:pPr>
            <w:r>
              <w:rPr>
                <w:rFonts w:ascii="Arial" w:cs="Arial" w:eastAsia="Arial" w:hAnsi="Arial"/>
                <w:sz w:val="20"/>
                <w:szCs w:val="20"/>
                <w:color w:val="auto"/>
              </w:rPr>
              <w:t>Earnings (Loss) from operations:</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258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East Group</w:t>
            </w:r>
          </w:p>
        </w:tc>
        <w:tc>
          <w:tcPr>
            <w:tcW w:w="1620" w:type="dxa"/>
            <w:vAlign w:val="bottom"/>
            <w:tcBorders>
              <w:top w:val="single" w:sz="8" w:color="CFF0FC"/>
            </w:tcBorders>
          </w:tcPr>
          <w:p>
            <w:pPr>
              <w:spacing w:after="0"/>
              <w:rPr>
                <w:sz w:val="21"/>
                <w:szCs w:val="21"/>
                <w:color w:val="auto"/>
              </w:rPr>
            </w:pPr>
          </w:p>
        </w:tc>
        <w:tc>
          <w:tcPr>
            <w:tcW w:w="320" w:type="dxa"/>
            <w:vAlign w:val="bottom"/>
            <w:tcBorders>
              <w:top w:val="single" w:sz="8" w:color="CFF0FC"/>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197.8</w:t>
            </w:r>
          </w:p>
        </w:tc>
        <w:tc>
          <w:tcPr>
            <w:tcW w:w="160" w:type="dxa"/>
            <w:vAlign w:val="bottom"/>
            <w:tcBorders>
              <w:top w:val="single" w:sz="8" w:color="CFF0FC"/>
            </w:tcBorders>
          </w:tcPr>
          <w:p>
            <w:pPr>
              <w:spacing w:after="0"/>
              <w:rPr>
                <w:sz w:val="21"/>
                <w:szCs w:val="21"/>
                <w:color w:val="auto"/>
              </w:rPr>
            </w:pPr>
          </w:p>
        </w:tc>
        <w:tc>
          <w:tcPr>
            <w:tcW w:w="460" w:type="dxa"/>
            <w:vAlign w:val="bottom"/>
            <w:tcBorders>
              <w:top w:val="single" w:sz="8" w:color="CFF0FC"/>
            </w:tcBorders>
            <w:gridSpan w:val="2"/>
          </w:tcPr>
          <w:p>
            <w:pPr>
              <w:jc w:val="right"/>
              <w:ind w:right="181"/>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169.9</w:t>
            </w:r>
          </w:p>
        </w:tc>
        <w:tc>
          <w:tcPr>
            <w:tcW w:w="260" w:type="dxa"/>
            <w:vAlign w:val="bottom"/>
            <w:tcBorders>
              <w:top w:val="single" w:sz="8" w:color="CFF0FC"/>
            </w:tcBorders>
          </w:tcPr>
          <w:p>
            <w:pPr>
              <w:spacing w:after="0"/>
              <w:rPr>
                <w:sz w:val="21"/>
                <w:szCs w:val="21"/>
                <w:color w:val="auto"/>
              </w:rPr>
            </w:pPr>
          </w:p>
        </w:tc>
        <w:tc>
          <w:tcPr>
            <w:tcW w:w="340" w:type="dxa"/>
            <w:vAlign w:val="bottom"/>
            <w:tcBorders>
              <w:top w:val="single" w:sz="8" w:color="CFF0FC"/>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259.5</w:t>
            </w:r>
          </w:p>
        </w:tc>
        <w:tc>
          <w:tcPr>
            <w:tcW w:w="160" w:type="dxa"/>
            <w:vAlign w:val="bottom"/>
            <w:tcBorders>
              <w:top w:val="single" w:sz="8" w:color="CFF0FC"/>
            </w:tcBorders>
          </w:tcPr>
          <w:p>
            <w:pPr>
              <w:spacing w:after="0"/>
              <w:rPr>
                <w:sz w:val="21"/>
                <w:szCs w:val="21"/>
                <w:color w:val="auto"/>
              </w:rPr>
            </w:pPr>
          </w:p>
        </w:tc>
        <w:tc>
          <w:tcPr>
            <w:tcW w:w="480" w:type="dxa"/>
            <w:vAlign w:val="bottom"/>
            <w:tcBorders>
              <w:top w:val="single" w:sz="8" w:color="CFF0FC"/>
            </w:tcBorders>
            <w:gridSpan w:val="2"/>
          </w:tcPr>
          <w:p>
            <w:pPr>
              <w:jc w:val="right"/>
              <w:ind w:right="181"/>
              <w:spacing w:after="0"/>
              <w:rPr>
                <w:sz w:val="20"/>
                <w:szCs w:val="20"/>
                <w:color w:val="auto"/>
              </w:rPr>
            </w:pPr>
            <w:r>
              <w:rPr>
                <w:rFonts w:ascii="Arial" w:cs="Arial" w:eastAsia="Arial" w:hAnsi="Arial"/>
                <w:sz w:val="20"/>
                <w:szCs w:val="20"/>
                <w:color w:val="auto"/>
              </w:rPr>
              <w:t>$</w:t>
            </w:r>
          </w:p>
        </w:tc>
        <w:tc>
          <w:tcPr>
            <w:tcW w:w="116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204.7</w:t>
            </w:r>
          </w:p>
        </w:tc>
        <w:tc>
          <w:tcPr>
            <w:tcW w:w="120" w:type="dxa"/>
            <w:vAlign w:val="bottom"/>
            <w:tcBorders>
              <w:top w:val="single" w:sz="8" w:color="CFF0FC"/>
            </w:tcBorders>
          </w:tcPr>
          <w:p>
            <w:pPr>
              <w:spacing w:after="0"/>
              <w:rPr>
                <w:sz w:val="21"/>
                <w:szCs w:val="21"/>
                <w:color w:val="auto"/>
              </w:rPr>
            </w:pPr>
          </w:p>
        </w:tc>
      </w:tr>
      <w:tr>
        <w:trPr>
          <w:trHeight w:val="243"/>
        </w:trPr>
        <w:tc>
          <w:tcPr>
            <w:tcW w:w="420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West Group</w:t>
            </w: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101.8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133.2</w:t>
            </w:r>
          </w:p>
        </w:tc>
        <w:tc>
          <w:tcPr>
            <w:tcW w:w="2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133.6</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155.9</w:t>
            </w:r>
          </w:p>
        </w:tc>
        <w:tc>
          <w:tcPr>
            <w:tcW w:w="120" w:type="dxa"/>
            <w:vAlign w:val="bottom"/>
            <w:shd w:val="clear" w:color="auto" w:fill="CFF0FC"/>
          </w:tcPr>
          <w:p>
            <w:pPr>
              <w:spacing w:after="0"/>
              <w:rPr>
                <w:sz w:val="21"/>
                <w:szCs w:val="21"/>
                <w:color w:val="auto"/>
              </w:rPr>
            </w:pPr>
          </w:p>
        </w:tc>
      </w:tr>
      <w:tr>
        <w:trPr>
          <w:trHeight w:val="236"/>
        </w:trPr>
        <w:tc>
          <w:tcPr>
            <w:tcW w:w="4200" w:type="dxa"/>
            <w:vAlign w:val="bottom"/>
            <w:gridSpan w:val="4"/>
          </w:tcPr>
          <w:p>
            <w:pPr>
              <w:spacing w:after="0"/>
              <w:rPr>
                <w:sz w:val="20"/>
                <w:szCs w:val="20"/>
                <w:color w:val="auto"/>
              </w:rPr>
            </w:pPr>
            <w:r>
              <w:rPr>
                <w:rFonts w:ascii="Arial" w:cs="Arial" w:eastAsia="Arial" w:hAnsi="Arial"/>
                <w:sz w:val="20"/>
                <w:szCs w:val="20"/>
                <w:color w:val="auto"/>
              </w:rPr>
              <w:t>Total Building Materials business</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299.6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303.1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393.1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360.6</w:t>
            </w:r>
          </w:p>
        </w:tc>
        <w:tc>
          <w:tcPr>
            <w:tcW w:w="120" w:type="dxa"/>
            <w:vAlign w:val="bottom"/>
          </w:tcPr>
          <w:p>
            <w:pPr>
              <w:spacing w:after="0"/>
              <w:rPr>
                <w:sz w:val="20"/>
                <w:szCs w:val="20"/>
                <w:color w:val="auto"/>
              </w:rPr>
            </w:pPr>
          </w:p>
        </w:tc>
      </w:tr>
      <w:tr>
        <w:trPr>
          <w:trHeight w:val="243"/>
        </w:trPr>
        <w:tc>
          <w:tcPr>
            <w:tcW w:w="4200" w:type="dxa"/>
            <w:vAlign w:val="bottom"/>
            <w:gridSpan w:val="4"/>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46.7</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34.9</w:t>
            </w:r>
          </w:p>
        </w:tc>
        <w:tc>
          <w:tcPr>
            <w:tcW w:w="120" w:type="dxa"/>
            <w:vAlign w:val="bottom"/>
            <w:shd w:val="clear" w:color="auto" w:fill="CFF0FC"/>
          </w:tcPr>
          <w:p>
            <w:pPr>
              <w:spacing w:after="0"/>
              <w:rPr>
                <w:sz w:val="21"/>
                <w:szCs w:val="21"/>
                <w:color w:val="auto"/>
              </w:rPr>
            </w:pPr>
          </w:p>
        </w:tc>
      </w:tr>
      <w:tr>
        <w:trPr>
          <w:trHeight w:val="243"/>
        </w:trPr>
        <w:tc>
          <w:tcPr>
            <w:tcW w:w="4200" w:type="dxa"/>
            <w:vAlign w:val="bottom"/>
            <w:gridSpan w:val="4"/>
          </w:tcPr>
          <w:p>
            <w:pPr>
              <w:spacing w:after="0"/>
              <w:rPr>
                <w:sz w:val="20"/>
                <w:szCs w:val="20"/>
                <w:color w:val="auto"/>
              </w:rPr>
            </w:pPr>
            <w:r>
              <w:rPr>
                <w:rFonts w:ascii="Arial" w:cs="Arial" w:eastAsia="Arial" w:hAnsi="Arial"/>
                <w:sz w:val="20"/>
                <w:szCs w:val="20"/>
                <w:color w:val="auto"/>
              </w:rPr>
              <w:t>Corporate</w:t>
            </w:r>
          </w:p>
        </w:tc>
        <w:tc>
          <w:tcPr>
            <w:tcW w:w="32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20"/>
                <w:szCs w:val="20"/>
                <w:color w:val="auto"/>
              </w:rPr>
              <w:t>(15.2)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20"/>
                <w:szCs w:val="20"/>
                <w:color w:val="auto"/>
              </w:rPr>
              <w:t>(9.9)</w:t>
            </w:r>
          </w:p>
        </w:tc>
        <w:tc>
          <w:tcPr>
            <w:tcW w:w="3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(33.0)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(31.3)</w:t>
            </w:r>
          </w:p>
        </w:tc>
      </w:tr>
      <w:tr>
        <w:trPr>
          <w:trHeight w:val="236"/>
        </w:trPr>
        <w:tc>
          <w:tcPr>
            <w:tcW w:w="420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rPr>
              <w:t>Total</w:t>
            </w:r>
          </w:p>
        </w:tc>
        <w:tc>
          <w:tcPr>
            <w:tcW w:w="32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307.5</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306.4</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406.8</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364.2</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40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tcPr>
          <w:p>
            <w:pPr>
              <w:jc w:val="right"/>
              <w:ind w:right="441"/>
              <w:spacing w:after="0"/>
              <w:rPr>
                <w:sz w:val="20"/>
                <w:szCs w:val="20"/>
                <w:color w:val="auto"/>
              </w:rPr>
            </w:pPr>
            <w:r>
              <w:rPr>
                <w:rFonts w:ascii="Arial" w:cs="Arial" w:eastAsia="Arial" w:hAnsi="Arial"/>
                <w:sz w:val="20"/>
                <w:szCs w:val="20"/>
                <w:color w:val="auto"/>
              </w:rPr>
              <w:t>June 30, 2021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gridSpan w:val="2"/>
          </w:tcPr>
          <w:p>
            <w:pPr>
              <w:ind w:left="160"/>
              <w:spacing w:after="0"/>
              <w:rPr>
                <w:sz w:val="20"/>
                <w:szCs w:val="20"/>
                <w:color w:val="auto"/>
              </w:rPr>
            </w:pPr>
            <w:r>
              <w:rPr>
                <w:rFonts w:ascii="Arial" w:cs="Arial" w:eastAsia="Arial" w:hAnsi="Arial"/>
                <w:sz w:val="20"/>
                <w:szCs w:val="20"/>
                <w:color w:val="auto"/>
              </w:rPr>
              <w:t>December 31, 2020</w:t>
            </w:r>
          </w:p>
        </w:tc>
      </w:tr>
      <w:tr>
        <w:trPr>
          <w:trHeight w:val="196"/>
        </w:trPr>
        <w:tc>
          <w:tcPr>
            <w:tcW w:w="6160" w:type="dxa"/>
            <w:vAlign w:val="bottom"/>
            <w:gridSpan w:val="2"/>
          </w:tcPr>
          <w:p>
            <w:pPr>
              <w:spacing w:after="0" w:line="196" w:lineRule="exact"/>
              <w:rPr>
                <w:sz w:val="20"/>
                <w:szCs w:val="20"/>
                <w:color w:val="auto"/>
              </w:rPr>
            </w:pPr>
            <w:r>
              <w:rPr>
                <w:rFonts w:ascii="Arial" w:cs="Arial" w:eastAsia="Arial" w:hAnsi="Arial"/>
                <w:sz w:val="20"/>
                <w:szCs w:val="20"/>
                <w:color w:val="auto"/>
              </w:rPr>
              <w:t>Assets employed:</w:t>
            </w:r>
          </w:p>
        </w:tc>
        <w:tc>
          <w:tcPr>
            <w:tcW w:w="320" w:type="dxa"/>
            <w:vAlign w:val="bottom"/>
            <w:tcBorders>
              <w:top w:val="single" w:sz="8" w:color="auto"/>
            </w:tcBorders>
          </w:tcPr>
          <w:p>
            <w:pPr>
              <w:spacing w:after="0"/>
              <w:rPr>
                <w:sz w:val="17"/>
                <w:szCs w:val="17"/>
                <w:color w:val="auto"/>
              </w:rPr>
            </w:pPr>
          </w:p>
        </w:tc>
        <w:tc>
          <w:tcPr>
            <w:tcW w:w="4640" w:type="dxa"/>
            <w:vAlign w:val="bottom"/>
            <w:tcBorders>
              <w:top w:val="single" w:sz="8" w:color="auto"/>
            </w:tcBorders>
            <w:gridSpan w:val="4"/>
          </w:tcPr>
          <w:p>
            <w:pPr>
              <w:jc w:val="right"/>
              <w:ind w:right="1561"/>
              <w:spacing w:after="0" w:line="196" w:lineRule="exact"/>
              <w:rPr>
                <w:sz w:val="20"/>
                <w:szCs w:val="20"/>
                <w:color w:val="auto"/>
              </w:rPr>
            </w:pPr>
            <w:r>
              <w:rPr>
                <w:rFonts w:ascii="Arial" w:cs="Arial" w:eastAsia="Arial" w:hAnsi="Arial"/>
                <w:sz w:val="20"/>
                <w:szCs w:val="20"/>
                <w:i w:val="1"/>
                <w:iCs w:val="1"/>
                <w:color w:val="auto"/>
              </w:rPr>
              <w:t>(Dollars in Millions)</w:t>
            </w:r>
          </w:p>
        </w:tc>
        <w:tc>
          <w:tcPr>
            <w:tcW w:w="120" w:type="dxa"/>
            <w:vAlign w:val="bottom"/>
          </w:tcPr>
          <w:p>
            <w:pPr>
              <w:spacing w:after="0"/>
              <w:rPr>
                <w:sz w:val="17"/>
                <w:szCs w:val="17"/>
                <w:color w:val="auto"/>
              </w:rPr>
            </w:pPr>
          </w:p>
        </w:tc>
      </w:tr>
      <w:tr>
        <w:trPr>
          <w:trHeight w:val="263"/>
        </w:trPr>
        <w:tc>
          <w:tcPr>
            <w:tcW w:w="14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East Group</w:t>
            </w:r>
          </w:p>
        </w:tc>
        <w:tc>
          <w:tcPr>
            <w:tcW w:w="4760" w:type="dxa"/>
            <w:vAlign w:val="bottom"/>
          </w:tcPr>
          <w:p>
            <w:pPr>
              <w:spacing w:after="0"/>
              <w:rPr>
                <w:sz w:val="22"/>
                <w:szCs w:val="22"/>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5,110.4</w:t>
            </w:r>
          </w:p>
        </w:tc>
        <w:tc>
          <w:tcPr>
            <w:tcW w:w="60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2180" w:type="dxa"/>
            <w:vAlign w:val="bottom"/>
          </w:tcPr>
          <w:p>
            <w:pPr>
              <w:jc w:val="right"/>
              <w:spacing w:after="0"/>
              <w:rPr>
                <w:sz w:val="20"/>
                <w:szCs w:val="20"/>
                <w:color w:val="auto"/>
              </w:rPr>
            </w:pPr>
            <w:r>
              <w:rPr>
                <w:rFonts w:ascii="Arial" w:cs="Arial" w:eastAsia="Arial" w:hAnsi="Arial"/>
                <w:sz w:val="20"/>
                <w:szCs w:val="20"/>
                <w:color w:val="auto"/>
              </w:rPr>
              <w:t>4,342.5</w:t>
            </w:r>
          </w:p>
        </w:tc>
        <w:tc>
          <w:tcPr>
            <w:tcW w:w="120" w:type="dxa"/>
            <w:vAlign w:val="bottom"/>
          </w:tcPr>
          <w:p>
            <w:pPr>
              <w:spacing w:after="0"/>
              <w:rPr>
                <w:sz w:val="22"/>
                <w:szCs w:val="22"/>
                <w:color w:val="auto"/>
              </w:rPr>
            </w:pPr>
          </w:p>
        </w:tc>
      </w:tr>
      <w:tr>
        <w:trPr>
          <w:trHeight w:val="243"/>
        </w:trPr>
        <w:tc>
          <w:tcPr>
            <w:tcW w:w="6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West Group</w:t>
            </w:r>
          </w:p>
        </w:tc>
        <w:tc>
          <w:tcPr>
            <w:tcW w:w="32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5,395.9</w:t>
            </w:r>
          </w:p>
        </w:tc>
        <w:tc>
          <w:tcPr>
            <w:tcW w:w="32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5,355.5</w:t>
            </w:r>
          </w:p>
        </w:tc>
        <w:tc>
          <w:tcPr>
            <w:tcW w:w="120" w:type="dxa"/>
            <w:vAlign w:val="bottom"/>
            <w:shd w:val="clear" w:color="auto" w:fill="CFF0FC"/>
          </w:tcPr>
          <w:p>
            <w:pPr>
              <w:spacing w:after="0"/>
              <w:rPr>
                <w:sz w:val="21"/>
                <w:szCs w:val="21"/>
                <w:color w:val="auto"/>
              </w:rPr>
            </w:pPr>
          </w:p>
        </w:tc>
      </w:tr>
      <w:tr>
        <w:trPr>
          <w:trHeight w:val="237"/>
        </w:trPr>
        <w:tc>
          <w:tcPr>
            <w:tcW w:w="616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3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20"/>
                <w:szCs w:val="20"/>
                <w:color w:val="auto"/>
              </w:rPr>
              <w:t>10,506.3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9,698.0</w:t>
            </w:r>
          </w:p>
        </w:tc>
        <w:tc>
          <w:tcPr>
            <w:tcW w:w="120" w:type="dxa"/>
            <w:vAlign w:val="bottom"/>
          </w:tcPr>
          <w:p>
            <w:pPr>
              <w:spacing w:after="0"/>
              <w:rPr>
                <w:sz w:val="20"/>
                <w:szCs w:val="20"/>
                <w:color w:val="auto"/>
              </w:rPr>
            </w:pPr>
          </w:p>
        </w:tc>
      </w:tr>
      <w:tr>
        <w:trPr>
          <w:trHeight w:val="243"/>
        </w:trPr>
        <w:tc>
          <w:tcPr>
            <w:tcW w:w="61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32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168.3</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167.9</w:t>
            </w:r>
          </w:p>
        </w:tc>
        <w:tc>
          <w:tcPr>
            <w:tcW w:w="120" w:type="dxa"/>
            <w:vAlign w:val="bottom"/>
            <w:shd w:val="clear" w:color="auto" w:fill="CFF0FC"/>
          </w:tcPr>
          <w:p>
            <w:pPr>
              <w:spacing w:after="0"/>
              <w:rPr>
                <w:sz w:val="21"/>
                <w:szCs w:val="21"/>
                <w:color w:val="auto"/>
              </w:rPr>
            </w:pPr>
          </w:p>
        </w:tc>
      </w:tr>
      <w:tr>
        <w:trPr>
          <w:trHeight w:val="243"/>
        </w:trPr>
        <w:tc>
          <w:tcPr>
            <w:tcW w:w="616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Corporate</w:t>
            </w: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548.5</w:t>
            </w:r>
          </w:p>
        </w:tc>
        <w:tc>
          <w:tcPr>
            <w:tcW w:w="3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714.9</w:t>
            </w:r>
          </w:p>
        </w:tc>
        <w:tc>
          <w:tcPr>
            <w:tcW w:w="120" w:type="dxa"/>
            <w:vAlign w:val="bottom"/>
            <w:tcBorders>
              <w:bottom w:val="single" w:sz="8" w:color="CFF0FC"/>
            </w:tcBorders>
          </w:tcPr>
          <w:p>
            <w:pPr>
              <w:spacing w:after="0"/>
              <w:rPr>
                <w:sz w:val="21"/>
                <w:szCs w:val="21"/>
                <w:color w:val="auto"/>
              </w:rPr>
            </w:pPr>
          </w:p>
        </w:tc>
      </w:tr>
      <w:tr>
        <w:trPr>
          <w:trHeight w:val="237"/>
        </w:trPr>
        <w:tc>
          <w:tcPr>
            <w:tcW w:w="6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w:t>
            </w:r>
          </w:p>
        </w:tc>
        <w:tc>
          <w:tcPr>
            <w:tcW w:w="32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11,223.1</w:t>
            </w:r>
          </w:p>
        </w:tc>
        <w:tc>
          <w:tcPr>
            <w:tcW w:w="3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10,580.8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4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increase in assets from December 31, 2020 to June 30, 2021 primarily relates to right-of-use assets for finance leases and the Tiller acquisition.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1"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Revenues and Gross Profit</w:t>
      </w:r>
    </w:p>
    <w:p>
      <w:pPr>
        <w:spacing w:after="0" w:line="125" w:lineRule="exact"/>
        <w:rPr>
          <w:rFonts w:ascii="Arial" w:cs="Arial" w:eastAsia="Arial" w:hAnsi="Arial"/>
          <w:sz w:val="19"/>
          <w:szCs w:val="19"/>
          <w:b w:val="1"/>
          <w:bCs w:val="1"/>
          <w:color w:val="auto"/>
        </w:rPr>
      </w:pPr>
    </w:p>
    <w:p>
      <w:pPr>
        <w:jc w:val="both"/>
        <w:ind w:left="280"/>
        <w:spacing w:after="0" w:line="250" w:lineRule="auto"/>
        <w:rPr>
          <w:rFonts w:ascii="Arial" w:cs="Arial" w:eastAsia="Arial" w:hAnsi="Arial"/>
          <w:sz w:val="19"/>
          <w:szCs w:val="19"/>
          <w:b w:val="1"/>
          <w:bCs w:val="1"/>
          <w:color w:val="auto"/>
        </w:rPr>
      </w:pPr>
      <w:r>
        <w:rPr>
          <w:rFonts w:ascii="Arial" w:cs="Arial" w:eastAsia="Arial" w:hAnsi="Arial"/>
          <w:sz w:val="20"/>
          <w:szCs w:val="20"/>
          <w:color w:val="auto"/>
        </w:rPr>
        <w:t>The Building Materials business includes the aggregates, cement, ready mixed concrete and asphalt and paving product lines. Cement and ready mixed concrete product lines and paving services reside only in the West Group. The following table, which is reconciled to consolidated amounts, provides total revenues and gross profit by product line.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60" w:type="dxa"/>
            <w:vAlign w:val="bottom"/>
            <w:gridSpan w:val="4"/>
          </w:tcPr>
          <w:p>
            <w:pPr>
              <w:jc w:val="right"/>
              <w:ind w:right="201"/>
              <w:spacing w:after="0"/>
              <w:rPr>
                <w:sz w:val="20"/>
                <w:szCs w:val="20"/>
                <w:color w:val="auto"/>
              </w:rPr>
            </w:pPr>
            <w:r>
              <w:rPr>
                <w:rFonts w:ascii="Arial" w:cs="Arial" w:eastAsia="Arial" w:hAnsi="Arial"/>
                <w:sz w:val="20"/>
                <w:szCs w:val="20"/>
                <w:color w:val="auto"/>
              </w:rPr>
              <w:t>Three Months Ended</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20"/>
                <w:szCs w:val="20"/>
                <w:color w:val="auto"/>
                <w:w w:val="89"/>
              </w:rPr>
              <w:t>Six Months Ended</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20"/>
                <w:szCs w:val="20"/>
                <w:color w:val="auto"/>
              </w:rPr>
              <w:t>June 30,</w:t>
            </w:r>
          </w:p>
        </w:tc>
        <w:tc>
          <w:tcPr>
            <w:tcW w:w="6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20"/>
                <w:szCs w:val="20"/>
                <w:color w:val="auto"/>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2020</w:t>
            </w: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w w:val="85"/>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4"/>
          </w:tcPr>
          <w:p>
            <w:pPr>
              <w:jc w:val="right"/>
              <w:ind w:right="241"/>
              <w:spacing w:after="0"/>
              <w:rPr>
                <w:sz w:val="20"/>
                <w:szCs w:val="20"/>
                <w:color w:val="auto"/>
              </w:rPr>
            </w:pPr>
            <w:r>
              <w:rPr>
                <w:rFonts w:ascii="Arial" w:cs="Arial" w:eastAsia="Arial" w:hAnsi="Arial"/>
                <w:sz w:val="20"/>
                <w:szCs w:val="20"/>
                <w:i w:val="1"/>
                <w:iCs w:val="1"/>
                <w:color w:val="auto"/>
              </w:rPr>
              <w:t>(Dollars in Millions)</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shd w:val="clear" w:color="auto" w:fill="CFF0FC"/>
          </w:tcPr>
          <w:p>
            <w:pPr>
              <w:spacing w:after="0" w:line="203" w:lineRule="exact"/>
              <w:rPr>
                <w:sz w:val="20"/>
                <w:szCs w:val="20"/>
                <w:color w:val="auto"/>
              </w:rPr>
            </w:pPr>
            <w:r>
              <w:rPr>
                <w:rFonts w:ascii="Arial" w:cs="Arial" w:eastAsia="Arial" w:hAnsi="Arial"/>
                <w:sz w:val="20"/>
                <w:szCs w:val="20"/>
                <w:color w:val="auto"/>
                <w:w w:val="87"/>
              </w:rPr>
              <w:t>Total revenues:</w:t>
            </w:r>
          </w:p>
        </w:tc>
        <w:tc>
          <w:tcPr>
            <w:tcW w:w="2000" w:type="dxa"/>
            <w:vAlign w:val="bottom"/>
            <w:tcBorders>
              <w:bottom w:val="single" w:sz="8" w:color="CFF0FC"/>
            </w:tcBorders>
            <w:gridSpan w:val="2"/>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20"/>
                <w:szCs w:val="20"/>
                <w:color w:val="auto"/>
              </w:rPr>
              <w:t>Building Materials business:</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Products and services:</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260"/>
              <w:spacing w:after="0"/>
              <w:rPr>
                <w:sz w:val="20"/>
                <w:szCs w:val="20"/>
                <w:color w:val="auto"/>
              </w:rPr>
            </w:pPr>
            <w:r>
              <w:rPr>
                <w:rFonts w:ascii="Arial" w:cs="Arial" w:eastAsia="Arial" w:hAnsi="Arial"/>
                <w:sz w:val="20"/>
                <w:szCs w:val="20"/>
                <w:color w:val="auto"/>
              </w:rPr>
              <w:t>Aggregates</w:t>
            </w:r>
          </w:p>
        </w:tc>
        <w:tc>
          <w:tcPr>
            <w:tcW w:w="1560" w:type="dxa"/>
            <w:vAlign w:val="bottom"/>
            <w:gridSpan w:val="2"/>
          </w:tcPr>
          <w:p>
            <w:pPr>
              <w:jc w:val="right"/>
              <w:ind w:right="801"/>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801.8</w:t>
            </w:r>
          </w:p>
        </w:tc>
        <w:tc>
          <w:tcPr>
            <w:tcW w:w="280" w:type="dxa"/>
            <w:vAlign w:val="bottom"/>
          </w:tcPr>
          <w:p>
            <w:pPr>
              <w:spacing w:after="0"/>
              <w:rPr>
                <w:sz w:val="21"/>
                <w:szCs w:val="21"/>
                <w:color w:val="auto"/>
              </w:rPr>
            </w:pPr>
          </w:p>
        </w:tc>
        <w:tc>
          <w:tcPr>
            <w:tcW w:w="980" w:type="dxa"/>
            <w:vAlign w:val="bottom"/>
          </w:tcPr>
          <w:p>
            <w:pPr>
              <w:jc w:val="right"/>
              <w:ind w:right="78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754.9</w:t>
            </w:r>
          </w:p>
        </w:tc>
        <w:tc>
          <w:tcPr>
            <w:tcW w:w="360" w:type="dxa"/>
            <w:vAlign w:val="bottom"/>
          </w:tcPr>
          <w:p>
            <w:pPr>
              <w:spacing w:after="0"/>
              <w:rPr>
                <w:sz w:val="21"/>
                <w:szCs w:val="21"/>
                <w:color w:val="auto"/>
              </w:rPr>
            </w:pPr>
          </w:p>
        </w:tc>
        <w:tc>
          <w:tcPr>
            <w:tcW w:w="1000" w:type="dxa"/>
            <w:vAlign w:val="bottom"/>
          </w:tcPr>
          <w:p>
            <w:pPr>
              <w:jc w:val="right"/>
              <w:ind w:right="80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86"/>
              </w:rPr>
              <w:t>1,374.4</w:t>
            </w:r>
          </w:p>
        </w:tc>
        <w:tc>
          <w:tcPr>
            <w:tcW w:w="280" w:type="dxa"/>
            <w:vAlign w:val="bottom"/>
          </w:tcPr>
          <w:p>
            <w:pPr>
              <w:spacing w:after="0"/>
              <w:rPr>
                <w:sz w:val="21"/>
                <w:szCs w:val="21"/>
                <w:color w:val="auto"/>
              </w:rPr>
            </w:pPr>
          </w:p>
        </w:tc>
        <w:tc>
          <w:tcPr>
            <w:tcW w:w="600" w:type="dxa"/>
            <w:vAlign w:val="bottom"/>
          </w:tcPr>
          <w:p>
            <w:pPr>
              <w:jc w:val="right"/>
              <w:ind w:right="401"/>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1,325.2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Cement</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116.5</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109.5</w:t>
            </w: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226.1</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260"/>
              <w:spacing w:after="0"/>
              <w:rPr>
                <w:sz w:val="20"/>
                <w:szCs w:val="20"/>
                <w:color w:val="auto"/>
              </w:rPr>
            </w:pPr>
            <w:r>
              <w:rPr>
                <w:rFonts w:ascii="Arial" w:cs="Arial" w:eastAsia="Arial" w:hAnsi="Arial"/>
                <w:sz w:val="20"/>
                <w:szCs w:val="20"/>
                <w:color w:val="auto"/>
              </w:rPr>
              <w:t>Ready mixed concrete</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268.4</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245.1</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503.7</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434.8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Asphalt and paving services</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135.3</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107.0</w:t>
            </w: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147.6</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260"/>
              <w:spacing w:after="0"/>
              <w:rPr>
                <w:sz w:val="20"/>
                <w:szCs w:val="20"/>
                <w:color w:val="auto"/>
              </w:rPr>
            </w:pPr>
            <w:r>
              <w:rPr>
                <w:rFonts w:ascii="Arial" w:cs="Arial" w:eastAsia="Arial" w:hAnsi="Arial"/>
                <w:sz w:val="20"/>
                <w:szCs w:val="20"/>
                <w:color w:val="auto"/>
              </w:rPr>
              <w:t>Less: interproduct revenues</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20"/>
                <w:szCs w:val="20"/>
                <w:color w:val="auto"/>
              </w:rPr>
              <w:t>(96.7)</w:t>
            </w:r>
          </w:p>
        </w:tc>
        <w:tc>
          <w:tcPr>
            <w:tcW w:w="98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20"/>
                <w:szCs w:val="20"/>
                <w:color w:val="auto"/>
              </w:rPr>
              <w:t>(75.9)</w:t>
            </w:r>
          </w:p>
        </w:tc>
        <w:tc>
          <w:tcPr>
            <w:tcW w:w="10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0"/>
                <w:szCs w:val="20"/>
                <w:color w:val="auto"/>
              </w:rPr>
              <w:t>(169.8)</w:t>
            </w:r>
          </w:p>
        </w:tc>
        <w:tc>
          <w:tcPr>
            <w:tcW w:w="6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(129.5)</w:t>
            </w:r>
          </w:p>
        </w:tc>
        <w:tc>
          <w:tcPr>
            <w:tcW w:w="0" w:type="dxa"/>
            <w:vAlign w:val="bottom"/>
          </w:tcPr>
          <w:p>
            <w:pPr>
              <w:spacing w:after="0"/>
              <w:rPr>
                <w:sz w:val="1"/>
                <w:szCs w:val="1"/>
                <w:color w:val="auto"/>
              </w:rPr>
            </w:pPr>
          </w:p>
        </w:tc>
      </w:tr>
      <w:tr>
        <w:trPr>
          <w:trHeight w:val="237"/>
        </w:trPr>
        <w:tc>
          <w:tcPr>
            <w:tcW w:w="3220" w:type="dxa"/>
            <w:vAlign w:val="bottom"/>
            <w:tcBorders>
              <w:top w:val="single" w:sz="8" w:color="CFF0FC"/>
            </w:tcBorders>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56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3"/>
              </w:rPr>
              <w:t>1,225.3</w:t>
            </w:r>
          </w:p>
        </w:tc>
        <w:tc>
          <w:tcPr>
            <w:tcW w:w="280" w:type="dxa"/>
            <w:vAlign w:val="bottom"/>
            <w:tcBorders>
              <w:top w:val="single" w:sz="8" w:color="CFF0FC"/>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6"/>
              </w:rPr>
              <w:t>1,140.6</w:t>
            </w:r>
          </w:p>
        </w:tc>
        <w:tc>
          <w:tcPr>
            <w:tcW w:w="36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6"/>
              </w:rPr>
              <w:t>2,082.0</w:t>
            </w:r>
          </w:p>
        </w:tc>
        <w:tc>
          <w:tcPr>
            <w:tcW w:w="280" w:type="dxa"/>
            <w:vAlign w:val="bottom"/>
            <w:tcBorders>
              <w:top w:val="single" w:sz="8" w:color="CFF0FC"/>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1,971.7</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FF0FC"/>
            </w:tcBorders>
            <w:gridSpan w:val="3"/>
          </w:tcPr>
          <w:p>
            <w:pPr>
              <w:ind w:left="140"/>
              <w:spacing w:after="0"/>
              <w:rPr>
                <w:sz w:val="20"/>
                <w:szCs w:val="20"/>
                <w:color w:val="auto"/>
              </w:rPr>
            </w:pPr>
            <w:r>
              <w:rPr>
                <w:rFonts w:ascii="Arial" w:cs="Arial" w:eastAsia="Arial" w:hAnsi="Arial"/>
                <w:sz w:val="20"/>
                <w:szCs w:val="20"/>
                <w:color w:val="auto"/>
              </w:rPr>
              <w:t>Freight</w:t>
            </w:r>
          </w:p>
        </w:tc>
        <w:tc>
          <w:tcPr>
            <w:tcW w:w="56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76.8</w:t>
            </w:r>
          </w:p>
        </w:tc>
        <w:tc>
          <w:tcPr>
            <w:tcW w:w="28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76.4</w:t>
            </w:r>
          </w:p>
        </w:tc>
        <w:tc>
          <w:tcPr>
            <w:tcW w:w="36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131.6</w:t>
            </w:r>
          </w:p>
        </w:tc>
        <w:tc>
          <w:tcPr>
            <w:tcW w:w="28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1,302.1</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6"/>
              </w:rPr>
              <w:t>1,217.0</w:t>
            </w:r>
          </w:p>
        </w:tc>
        <w:tc>
          <w:tcPr>
            <w:tcW w:w="3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6"/>
              </w:rPr>
              <w:t>2,213.6</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2,109.6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70.0</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48.9</w:t>
            </w: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135.2</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FF0FC"/>
            </w:tcBorders>
            <w:gridSpan w:val="3"/>
          </w:tcPr>
          <w:p>
            <w:pPr>
              <w:ind w:left="140"/>
              <w:spacing w:after="0"/>
              <w:rPr>
                <w:sz w:val="20"/>
                <w:szCs w:val="20"/>
                <w:color w:val="auto"/>
              </w:rPr>
            </w:pPr>
            <w:r>
              <w:rPr>
                <w:rFonts w:ascii="Arial" w:cs="Arial" w:eastAsia="Arial" w:hAnsi="Arial"/>
                <w:sz w:val="20"/>
                <w:szCs w:val="20"/>
                <w:color w:val="auto"/>
              </w:rPr>
              <w:t>Freight</w:t>
            </w:r>
          </w:p>
        </w:tc>
        <w:tc>
          <w:tcPr>
            <w:tcW w:w="56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w:t>
            </w:r>
          </w:p>
        </w:tc>
        <w:tc>
          <w:tcPr>
            <w:tcW w:w="28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w:t>
            </w:r>
          </w:p>
        </w:tc>
        <w:tc>
          <w:tcPr>
            <w:tcW w:w="36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w:t>
            </w:r>
          </w:p>
        </w:tc>
        <w:tc>
          <w:tcPr>
            <w:tcW w:w="28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560" w:type="dxa"/>
            <w:vAlign w:val="bottom"/>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75.8</w:t>
            </w:r>
          </w:p>
        </w:tc>
        <w:tc>
          <w:tcPr>
            <w:tcW w:w="280" w:type="dxa"/>
            <w:vAlign w:val="bottom"/>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53.6</w:t>
            </w:r>
          </w:p>
        </w:tc>
        <w:tc>
          <w:tcPr>
            <w:tcW w:w="360" w:type="dxa"/>
            <w:vAlign w:val="bottom"/>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146.7</w:t>
            </w:r>
          </w:p>
        </w:tc>
        <w:tc>
          <w:tcPr>
            <w:tcW w:w="280" w:type="dxa"/>
            <w:vAlign w:val="bottom"/>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20" w:type="dxa"/>
            <w:vAlign w:val="bottom"/>
            <w:gridSpan w:val="3"/>
          </w:tcPr>
          <w:p>
            <w:pPr>
              <w:spacing w:after="0"/>
              <w:rPr>
                <w:sz w:val="20"/>
                <w:szCs w:val="20"/>
                <w:color w:val="auto"/>
              </w:rPr>
            </w:pPr>
            <w:r>
              <w:rPr>
                <w:rFonts w:ascii="Arial" w:cs="Arial" w:eastAsia="Arial" w:hAnsi="Arial"/>
                <w:sz w:val="20"/>
                <w:szCs w:val="20"/>
                <w:color w:val="auto"/>
              </w:rPr>
              <w:t>Total</w:t>
            </w:r>
          </w:p>
        </w:tc>
        <w:tc>
          <w:tcPr>
            <w:tcW w:w="560" w:type="dxa"/>
            <w:vAlign w:val="bottom"/>
          </w:tcPr>
          <w:p>
            <w:pPr>
              <w:spacing w:after="0"/>
              <w:rPr>
                <w:sz w:val="20"/>
                <w:szCs w:val="20"/>
                <w:color w:val="auto"/>
              </w:rPr>
            </w:pP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3"/>
              </w:rPr>
              <w:t>1,377.9</w:t>
            </w:r>
          </w:p>
        </w:tc>
        <w:tc>
          <w:tcPr>
            <w:tcW w:w="280" w:type="dxa"/>
            <w:vAlign w:val="bottom"/>
          </w:tcPr>
          <w:p>
            <w:pPr>
              <w:spacing w:after="0"/>
              <w:rPr>
                <w:sz w:val="20"/>
                <w:szCs w:val="20"/>
                <w:color w:val="auto"/>
              </w:rPr>
            </w:pP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6"/>
              </w:rPr>
              <w:t>1,270.6</w:t>
            </w:r>
          </w:p>
        </w:tc>
        <w:tc>
          <w:tcPr>
            <w:tcW w:w="360" w:type="dxa"/>
            <w:vAlign w:val="bottom"/>
          </w:tcPr>
          <w:p>
            <w:pPr>
              <w:spacing w:after="0"/>
              <w:rPr>
                <w:sz w:val="20"/>
                <w:szCs w:val="20"/>
                <w:color w:val="auto"/>
              </w:rPr>
            </w:pP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6"/>
              </w:rPr>
              <w:t>2,360.3</w:t>
            </w:r>
          </w:p>
        </w:tc>
        <w:tc>
          <w:tcPr>
            <w:tcW w:w="280" w:type="dxa"/>
            <w:vAlign w:val="bottom"/>
          </w:tcPr>
          <w:p>
            <w:pPr>
              <w:spacing w:after="0"/>
              <w:rPr>
                <w:sz w:val="20"/>
                <w:szCs w:val="20"/>
                <w:color w:val="auto"/>
              </w:rPr>
            </w:pPr>
          </w:p>
        </w:tc>
        <w:tc>
          <w:tcPr>
            <w:tcW w:w="6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spacing w:after="0"/>
              <w:rPr>
                <w:sz w:val="20"/>
                <w:szCs w:val="20"/>
                <w:color w:val="auto"/>
              </w:rPr>
            </w:pPr>
            <w:r>
              <w:rPr>
                <w:rFonts w:ascii="Arial" w:cs="Arial" w:eastAsia="Arial" w:hAnsi="Arial"/>
                <w:sz w:val="20"/>
                <w:szCs w:val="20"/>
                <w:color w:val="auto"/>
              </w:rPr>
              <w:t>Gross profit (loss):</w:t>
            </w:r>
          </w:p>
        </w:tc>
        <w:tc>
          <w:tcPr>
            <w:tcW w:w="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20"/>
                <w:szCs w:val="20"/>
                <w:color w:val="auto"/>
              </w:rPr>
              <w:t>Products and services:</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Aggregates</w:t>
            </w:r>
          </w:p>
        </w:tc>
        <w:tc>
          <w:tcPr>
            <w:tcW w:w="1560" w:type="dxa"/>
            <w:vAlign w:val="bottom"/>
            <w:gridSpan w:val="2"/>
            <w:shd w:val="clear" w:color="auto" w:fill="CFF0FC"/>
          </w:tcPr>
          <w:p>
            <w:pPr>
              <w:jc w:val="right"/>
              <w:ind w:right="80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273.0</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8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268.0</w:t>
            </w: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0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394.7</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0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260"/>
              <w:spacing w:after="0"/>
              <w:rPr>
                <w:sz w:val="20"/>
                <w:szCs w:val="20"/>
                <w:color w:val="auto"/>
              </w:rPr>
            </w:pPr>
            <w:r>
              <w:rPr>
                <w:rFonts w:ascii="Arial" w:cs="Arial" w:eastAsia="Arial" w:hAnsi="Arial"/>
                <w:sz w:val="20"/>
                <w:szCs w:val="20"/>
                <w:color w:val="auto"/>
              </w:rPr>
              <w:t>Cement</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36.1</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43.4</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51.4</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Ready mixed concrete</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19.1</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26.1</w:t>
            </w: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38.6</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FF0FC"/>
            </w:tcBorders>
            <w:gridSpan w:val="3"/>
          </w:tcPr>
          <w:p>
            <w:pPr>
              <w:ind w:left="260"/>
              <w:spacing w:after="0"/>
              <w:rPr>
                <w:sz w:val="20"/>
                <w:szCs w:val="20"/>
                <w:color w:val="auto"/>
              </w:rPr>
            </w:pPr>
            <w:r>
              <w:rPr>
                <w:rFonts w:ascii="Arial" w:cs="Arial" w:eastAsia="Arial" w:hAnsi="Arial"/>
                <w:sz w:val="20"/>
                <w:szCs w:val="20"/>
                <w:color w:val="auto"/>
              </w:rPr>
              <w:t>Asphalt and paving services</w:t>
            </w:r>
          </w:p>
        </w:tc>
        <w:tc>
          <w:tcPr>
            <w:tcW w:w="56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w:t>
            </w:r>
          </w:p>
        </w:tc>
        <w:tc>
          <w:tcPr>
            <w:tcW w:w="28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w:t>
            </w:r>
          </w:p>
        </w:tc>
        <w:tc>
          <w:tcPr>
            <w:tcW w:w="36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w:t>
            </w:r>
          </w:p>
        </w:tc>
        <w:tc>
          <w:tcPr>
            <w:tcW w:w="28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20" w:type="dxa"/>
            <w:vAlign w:val="bottom"/>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356.9</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359.4</w:t>
            </w:r>
          </w:p>
        </w:tc>
        <w:tc>
          <w:tcPr>
            <w:tcW w:w="3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505.1</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140"/>
              <w:spacing w:after="0"/>
              <w:rPr>
                <w:sz w:val="20"/>
                <w:szCs w:val="20"/>
                <w:color w:val="auto"/>
              </w:rPr>
            </w:pPr>
            <w:r>
              <w:rPr>
                <w:rFonts w:ascii="Arial" w:cs="Arial" w:eastAsia="Arial" w:hAnsi="Arial"/>
                <w:sz w:val="20"/>
                <w:szCs w:val="20"/>
                <w:color w:val="auto"/>
              </w:rPr>
              <w:t>Freight</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0.7</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20"/>
                <w:szCs w:val="20"/>
                <w:color w:val="auto"/>
              </w:rPr>
              <w:t>(0.3)</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0.5</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36"/>
        </w:trPr>
        <w:tc>
          <w:tcPr>
            <w:tcW w:w="32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56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357.6</w:t>
            </w:r>
          </w:p>
        </w:tc>
        <w:tc>
          <w:tcPr>
            <w:tcW w:w="280" w:type="dxa"/>
            <w:vAlign w:val="bottom"/>
            <w:tcBorders>
              <w:top w:val="single" w:sz="8" w:color="CFF0FC"/>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359.1</w:t>
            </w:r>
          </w:p>
        </w:tc>
        <w:tc>
          <w:tcPr>
            <w:tcW w:w="36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505.6</w:t>
            </w:r>
          </w:p>
        </w:tc>
        <w:tc>
          <w:tcPr>
            <w:tcW w:w="280" w:type="dxa"/>
            <w:vAlign w:val="bottom"/>
            <w:tcBorders>
              <w:top w:val="single" w:sz="8" w:color="CFF0FC"/>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477.2</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w:t>
            </w: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56.3</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140"/>
              <w:spacing w:after="0"/>
              <w:rPr>
                <w:sz w:val="20"/>
                <w:szCs w:val="20"/>
                <w:color w:val="auto"/>
              </w:rPr>
            </w:pPr>
            <w:r>
              <w:rPr>
                <w:rFonts w:ascii="Arial" w:cs="Arial" w:eastAsia="Arial" w:hAnsi="Arial"/>
                <w:sz w:val="20"/>
                <w:szCs w:val="20"/>
                <w:color w:val="auto"/>
              </w:rPr>
              <w:t>Freight</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20"/>
                <w:szCs w:val="20"/>
                <w:color w:val="auto"/>
              </w:rPr>
              <w:t>(0.9)</w:t>
            </w:r>
          </w:p>
        </w:tc>
        <w:tc>
          <w:tcPr>
            <w:tcW w:w="98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20"/>
                <w:szCs w:val="20"/>
                <w:color w:val="auto"/>
              </w:rPr>
              <w:t>(1.3)</w:t>
            </w:r>
          </w:p>
        </w:tc>
        <w:tc>
          <w:tcPr>
            <w:tcW w:w="10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0"/>
                <w:szCs w:val="20"/>
                <w:color w:val="auto"/>
              </w:rPr>
              <w:t>(1.9)</w:t>
            </w:r>
          </w:p>
        </w:tc>
        <w:tc>
          <w:tcPr>
            <w:tcW w:w="6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36"/>
        </w:trPr>
        <w:tc>
          <w:tcPr>
            <w:tcW w:w="32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56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27.0</w:t>
            </w:r>
          </w:p>
        </w:tc>
        <w:tc>
          <w:tcPr>
            <w:tcW w:w="280" w:type="dxa"/>
            <w:vAlign w:val="bottom"/>
            <w:tcBorders>
              <w:top w:val="single" w:sz="8" w:color="CFF0FC"/>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16.9</w:t>
            </w:r>
          </w:p>
        </w:tc>
        <w:tc>
          <w:tcPr>
            <w:tcW w:w="36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54.4</w:t>
            </w:r>
          </w:p>
        </w:tc>
        <w:tc>
          <w:tcPr>
            <w:tcW w:w="280" w:type="dxa"/>
            <w:vAlign w:val="bottom"/>
            <w:tcBorders>
              <w:top w:val="single" w:sz="8" w:color="CFF0FC"/>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42.1</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20"/>
                <w:szCs w:val="20"/>
                <w:color w:val="auto"/>
              </w:rPr>
              <w:t>Corporate</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0.5</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4.5</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0"/>
                <w:szCs w:val="20"/>
                <w:color w:val="auto"/>
              </w:rPr>
              <w:t>(0.2)</w:t>
            </w: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2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w:t>
            </w:r>
          </w:p>
        </w:tc>
        <w:tc>
          <w:tcPr>
            <w:tcW w:w="560" w:type="dxa"/>
            <w:vAlign w:val="bottom"/>
            <w:tcBorders>
              <w:top w:val="single" w:sz="8" w:color="CFF0FC"/>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ind w:right="801"/>
              <w:spacing w:after="0"/>
              <w:rPr>
                <w:sz w:val="20"/>
                <w:szCs w:val="20"/>
                <w:color w:val="auto"/>
              </w:rPr>
            </w:pPr>
            <w:r>
              <w:rPr>
                <w:rFonts w:ascii="Arial" w:cs="Arial" w:eastAsia="Arial" w:hAnsi="Arial"/>
                <w:sz w:val="20"/>
                <w:szCs w:val="20"/>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385.1</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781"/>
              <w:spacing w:after="0"/>
              <w:rPr>
                <w:sz w:val="20"/>
                <w:szCs w:val="20"/>
                <w:color w:val="auto"/>
              </w:rPr>
            </w:pPr>
            <w:r>
              <w:rPr>
                <w:rFonts w:ascii="Arial" w:cs="Arial" w:eastAsia="Arial" w:hAnsi="Arial"/>
                <w:sz w:val="20"/>
                <w:szCs w:val="20"/>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380.5</w:t>
            </w: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ind w:right="801"/>
              <w:spacing w:after="0"/>
              <w:rPr>
                <w:sz w:val="20"/>
                <w:szCs w:val="20"/>
                <w:color w:val="auto"/>
              </w:rPr>
            </w:pPr>
            <w:r>
              <w:rPr>
                <w:rFonts w:ascii="Arial" w:cs="Arial" w:eastAsia="Arial" w:hAnsi="Arial"/>
                <w:sz w:val="20"/>
                <w:szCs w:val="20"/>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559.8</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ind w:right="40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522.9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420" w:type="dxa"/>
            <w:vAlign w:val="bottom"/>
          </w:tcPr>
          <w:p>
            <w:pPr>
              <w:spacing w:after="0"/>
              <w:rPr>
                <w:sz w:val="20"/>
                <w:szCs w:val="20"/>
                <w:color w:val="auto"/>
              </w:rPr>
            </w:pPr>
            <w:r>
              <w:rPr>
                <w:rFonts w:ascii="Arial" w:cs="Arial" w:eastAsia="Arial" w:hAnsi="Arial"/>
                <w:sz w:val="20"/>
                <w:szCs w:val="20"/>
                <w:b w:val="1"/>
                <w:bCs w:val="1"/>
                <w:color w:val="auto"/>
              </w:rPr>
              <w:t>13. Supplemental Cash Flow Information</w:t>
            </w: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8"/>
        </w:trPr>
        <w:tc>
          <w:tcPr>
            <w:tcW w:w="6420" w:type="dxa"/>
            <w:vAlign w:val="bottom"/>
          </w:tcPr>
          <w:p>
            <w:pPr>
              <w:ind w:left="280"/>
              <w:spacing w:after="0"/>
              <w:rPr>
                <w:sz w:val="20"/>
                <w:szCs w:val="20"/>
                <w:color w:val="auto"/>
              </w:rPr>
            </w:pPr>
            <w:r>
              <w:rPr>
                <w:rFonts w:ascii="Arial" w:cs="Arial" w:eastAsia="Arial" w:hAnsi="Arial"/>
                <w:sz w:val="20"/>
                <w:szCs w:val="20"/>
                <w:color w:val="auto"/>
              </w:rPr>
              <w:t>Noncash investing and financing activities are as follows:</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3"/>
        </w:trPr>
        <w:tc>
          <w:tcPr>
            <w:tcW w:w="6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40" w:type="dxa"/>
            <w:vAlign w:val="bottom"/>
            <w:gridSpan w:val="2"/>
          </w:tcPr>
          <w:p>
            <w:pPr>
              <w:jc w:val="center"/>
              <w:ind w:right="481"/>
              <w:spacing w:after="0"/>
              <w:rPr>
                <w:sz w:val="20"/>
                <w:szCs w:val="20"/>
                <w:color w:val="auto"/>
              </w:rPr>
            </w:pPr>
            <w:r>
              <w:rPr>
                <w:rFonts w:ascii="Arial" w:cs="Arial" w:eastAsia="Arial" w:hAnsi="Arial"/>
                <w:sz w:val="20"/>
                <w:szCs w:val="20"/>
                <w:color w:val="auto"/>
                <w:w w:val="91"/>
              </w:rPr>
              <w:t>Six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2"/>
          </w:tcPr>
          <w:p>
            <w:pPr>
              <w:jc w:val="center"/>
              <w:ind w:right="461"/>
              <w:spacing w:after="0"/>
              <w:rPr>
                <w:sz w:val="20"/>
                <w:szCs w:val="20"/>
                <w:color w:val="auto"/>
              </w:rPr>
            </w:pPr>
            <w:r>
              <w:rPr>
                <w:rFonts w:ascii="Arial" w:cs="Arial" w:eastAsia="Arial" w:hAnsi="Arial"/>
                <w:sz w:val="20"/>
                <w:szCs w:val="20"/>
                <w:color w:val="auto"/>
                <w:w w:val="85"/>
              </w:rPr>
              <w:t>June 30,</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2020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40" w:type="dxa"/>
            <w:vAlign w:val="bottom"/>
            <w:gridSpan w:val="3"/>
          </w:tcPr>
          <w:p>
            <w:pPr>
              <w:jc w:val="center"/>
              <w:ind w:left="421"/>
              <w:spacing w:after="0"/>
              <w:rPr>
                <w:sz w:val="20"/>
                <w:szCs w:val="20"/>
                <w:color w:val="auto"/>
              </w:rPr>
            </w:pPr>
            <w:r>
              <w:rPr>
                <w:rFonts w:ascii="Arial" w:cs="Arial" w:eastAsia="Arial" w:hAnsi="Arial"/>
                <w:sz w:val="20"/>
                <w:szCs w:val="20"/>
                <w:i w:val="1"/>
                <w:iCs w:val="1"/>
                <w:color w:val="auto"/>
                <w:w w:val="97"/>
              </w:rPr>
              <w:t>(Dollars in Millions)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420" w:type="dxa"/>
            <w:vAlign w:val="bottom"/>
            <w:shd w:val="clear" w:color="auto" w:fill="CFF0FC"/>
          </w:tcPr>
          <w:p>
            <w:pPr>
              <w:spacing w:after="0"/>
              <w:rPr>
                <w:sz w:val="20"/>
                <w:szCs w:val="20"/>
                <w:color w:val="auto"/>
              </w:rPr>
            </w:pPr>
            <w:r>
              <w:rPr>
                <w:rFonts w:ascii="Arial" w:cs="Arial" w:eastAsia="Arial" w:hAnsi="Arial"/>
                <w:sz w:val="20"/>
                <w:szCs w:val="20"/>
                <w:color w:val="auto"/>
              </w:rPr>
              <w:t>Noncash investing and financing activities:</w:t>
            </w:r>
          </w:p>
        </w:tc>
        <w:tc>
          <w:tcPr>
            <w:tcW w:w="9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6"/>
        </w:trPr>
        <w:tc>
          <w:tcPr>
            <w:tcW w:w="6420" w:type="dxa"/>
            <w:vAlign w:val="bottom"/>
          </w:tcPr>
          <w:p>
            <w:pPr>
              <w:ind w:left="260"/>
              <w:spacing w:after="0" w:line="227" w:lineRule="exact"/>
              <w:rPr>
                <w:sz w:val="20"/>
                <w:szCs w:val="20"/>
                <w:color w:val="auto"/>
              </w:rPr>
            </w:pPr>
            <w:r>
              <w:rPr>
                <w:rFonts w:ascii="Arial" w:cs="Arial" w:eastAsia="Arial" w:hAnsi="Arial"/>
                <w:sz w:val="20"/>
                <w:szCs w:val="20"/>
                <w:color w:val="auto"/>
              </w:rPr>
              <w:t>Right-of-use assets obtained in exchange for</w:t>
            </w: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420" w:type="dxa"/>
            <w:vAlign w:val="bottom"/>
          </w:tcPr>
          <w:p>
            <w:pPr>
              <w:ind w:left="400"/>
              <w:spacing w:after="0"/>
              <w:rPr>
                <w:sz w:val="20"/>
                <w:szCs w:val="20"/>
                <w:color w:val="auto"/>
              </w:rPr>
            </w:pPr>
            <w:r>
              <w:rPr>
                <w:rFonts w:ascii="Arial" w:cs="Arial" w:eastAsia="Arial" w:hAnsi="Arial"/>
                <w:sz w:val="20"/>
                <w:szCs w:val="20"/>
                <w:color w:val="auto"/>
              </w:rPr>
              <w:t>new finance lease liabilities</w:t>
            </w:r>
          </w:p>
        </w:tc>
        <w:tc>
          <w:tcPr>
            <w:tcW w:w="2040" w:type="dxa"/>
            <w:vAlign w:val="bottom"/>
            <w:gridSpan w:val="2"/>
          </w:tcPr>
          <w:p>
            <w:pPr>
              <w:jc w:val="right"/>
              <w:ind w:right="90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158.8</w:t>
            </w:r>
          </w:p>
        </w:tc>
        <w:tc>
          <w:tcPr>
            <w:tcW w:w="1340" w:type="dxa"/>
            <w:vAlign w:val="bottom"/>
          </w:tcPr>
          <w:p>
            <w:pPr>
              <w:jc w:val="right"/>
              <w:ind w:right="1061"/>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1.1</w:t>
            </w:r>
          </w:p>
        </w:tc>
        <w:tc>
          <w:tcPr>
            <w:tcW w:w="100" w:type="dxa"/>
            <w:vAlign w:val="bottom"/>
          </w:tcPr>
          <w:p>
            <w:pPr>
              <w:spacing w:after="0"/>
              <w:rPr>
                <w:sz w:val="21"/>
                <w:szCs w:val="21"/>
                <w:color w:val="auto"/>
              </w:rPr>
            </w:pPr>
          </w:p>
        </w:tc>
      </w:tr>
      <w:tr>
        <w:trPr>
          <w:trHeight w:val="243"/>
        </w:trPr>
        <w:tc>
          <w:tcPr>
            <w:tcW w:w="64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Accrued liabilities for purchases of property, plant and equipment</w:t>
            </w:r>
          </w:p>
        </w:tc>
        <w:tc>
          <w:tcPr>
            <w:tcW w:w="2040" w:type="dxa"/>
            <w:vAlign w:val="bottom"/>
            <w:gridSpan w:val="2"/>
            <w:shd w:val="clear" w:color="auto" w:fill="CFF0FC"/>
          </w:tcPr>
          <w:p>
            <w:pPr>
              <w:jc w:val="right"/>
              <w:ind w:right="90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29.5</w:t>
            </w:r>
          </w:p>
        </w:tc>
        <w:tc>
          <w:tcPr>
            <w:tcW w:w="1340" w:type="dxa"/>
            <w:vAlign w:val="bottom"/>
            <w:shd w:val="clear" w:color="auto" w:fill="CFF0FC"/>
          </w:tcPr>
          <w:p>
            <w:pPr>
              <w:jc w:val="right"/>
              <w:ind w:right="106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22.0</w:t>
            </w:r>
          </w:p>
        </w:tc>
        <w:tc>
          <w:tcPr>
            <w:tcW w:w="100" w:type="dxa"/>
            <w:vAlign w:val="bottom"/>
            <w:shd w:val="clear" w:color="auto" w:fill="CFF0FC"/>
          </w:tcPr>
          <w:p>
            <w:pPr>
              <w:spacing w:after="0"/>
              <w:rPr>
                <w:sz w:val="21"/>
                <w:szCs w:val="21"/>
                <w:color w:val="auto"/>
              </w:rPr>
            </w:pPr>
          </w:p>
        </w:tc>
      </w:tr>
      <w:tr>
        <w:trPr>
          <w:trHeight w:val="226"/>
        </w:trPr>
        <w:tc>
          <w:tcPr>
            <w:tcW w:w="6420" w:type="dxa"/>
            <w:vAlign w:val="bottom"/>
          </w:tcPr>
          <w:p>
            <w:pPr>
              <w:ind w:left="260"/>
              <w:spacing w:after="0" w:line="227" w:lineRule="exact"/>
              <w:rPr>
                <w:sz w:val="20"/>
                <w:szCs w:val="20"/>
                <w:color w:val="auto"/>
              </w:rPr>
            </w:pPr>
            <w:r>
              <w:rPr>
                <w:rFonts w:ascii="Arial" w:cs="Arial" w:eastAsia="Arial" w:hAnsi="Arial"/>
                <w:sz w:val="20"/>
                <w:szCs w:val="20"/>
                <w:color w:val="auto"/>
              </w:rPr>
              <w:t>Right-of-use assets obtained in exchange for new</w:t>
            </w: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420" w:type="dxa"/>
            <w:vAlign w:val="bottom"/>
          </w:tcPr>
          <w:p>
            <w:pPr>
              <w:ind w:left="400"/>
              <w:spacing w:after="0"/>
              <w:rPr>
                <w:sz w:val="20"/>
                <w:szCs w:val="20"/>
                <w:color w:val="auto"/>
              </w:rPr>
            </w:pPr>
            <w:r>
              <w:rPr>
                <w:rFonts w:ascii="Arial" w:cs="Arial" w:eastAsia="Arial" w:hAnsi="Arial"/>
                <w:sz w:val="20"/>
                <w:szCs w:val="20"/>
                <w:color w:val="auto"/>
              </w:rPr>
              <w:t>operating lease liabilities</w:t>
            </w:r>
          </w:p>
        </w:tc>
        <w:tc>
          <w:tcPr>
            <w:tcW w:w="2040" w:type="dxa"/>
            <w:vAlign w:val="bottom"/>
            <w:gridSpan w:val="2"/>
          </w:tcPr>
          <w:p>
            <w:pPr>
              <w:jc w:val="right"/>
              <w:ind w:right="90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13.2</w:t>
            </w:r>
          </w:p>
        </w:tc>
        <w:tc>
          <w:tcPr>
            <w:tcW w:w="1340" w:type="dxa"/>
            <w:vAlign w:val="bottom"/>
          </w:tcPr>
          <w:p>
            <w:pPr>
              <w:jc w:val="right"/>
              <w:ind w:right="1061"/>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18.0</w:t>
            </w:r>
          </w:p>
        </w:tc>
        <w:tc>
          <w:tcPr>
            <w:tcW w:w="100" w:type="dxa"/>
            <w:vAlign w:val="bottom"/>
          </w:tcPr>
          <w:p>
            <w:pPr>
              <w:spacing w:after="0"/>
              <w:rPr>
                <w:sz w:val="21"/>
                <w:szCs w:val="21"/>
                <w:color w:val="auto"/>
              </w:rPr>
            </w:pPr>
          </w:p>
        </w:tc>
      </w:tr>
      <w:tr>
        <w:trPr>
          <w:trHeight w:val="243"/>
        </w:trPr>
        <w:tc>
          <w:tcPr>
            <w:tcW w:w="64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Remeasurement of operating lease right-of-use assets</w:t>
            </w:r>
          </w:p>
        </w:tc>
        <w:tc>
          <w:tcPr>
            <w:tcW w:w="2040" w:type="dxa"/>
            <w:vAlign w:val="bottom"/>
            <w:gridSpan w:val="2"/>
            <w:shd w:val="clear" w:color="auto" w:fill="CFF0FC"/>
          </w:tcPr>
          <w:p>
            <w:pPr>
              <w:jc w:val="right"/>
              <w:ind w:right="90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(6.3)</w:t>
            </w:r>
          </w:p>
        </w:tc>
        <w:tc>
          <w:tcPr>
            <w:tcW w:w="1340" w:type="dxa"/>
            <w:vAlign w:val="bottom"/>
            <w:shd w:val="clear" w:color="auto" w:fill="CFF0FC"/>
          </w:tcPr>
          <w:p>
            <w:pPr>
              <w:jc w:val="right"/>
              <w:ind w:right="106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w:t>
            </w:r>
          </w:p>
        </w:tc>
        <w:tc>
          <w:tcPr>
            <w:tcW w:w="100" w:type="dxa"/>
            <w:vAlign w:val="bottom"/>
            <w:shd w:val="clear" w:color="auto" w:fill="CFF0FC"/>
          </w:tcPr>
          <w:p>
            <w:pPr>
              <w:spacing w:after="0"/>
              <w:rPr>
                <w:sz w:val="21"/>
                <w:szCs w:val="21"/>
                <w:color w:val="auto"/>
              </w:rPr>
            </w:pPr>
          </w:p>
        </w:tc>
      </w:tr>
    </w:tbl>
    <w:p>
      <w:pPr>
        <w:spacing w:after="0" w:line="348" w:lineRule="exact"/>
        <w:rPr>
          <w:sz w:val="20"/>
          <w:szCs w:val="20"/>
          <w:color w:val="auto"/>
        </w:rPr>
      </w:pPr>
    </w:p>
    <w:p>
      <w:pPr>
        <w:jc w:val="both"/>
        <w:ind w:left="280"/>
        <w:spacing w:after="0" w:line="250" w:lineRule="auto"/>
        <w:rPr>
          <w:sz w:val="20"/>
          <w:szCs w:val="20"/>
          <w:color w:val="auto"/>
        </w:rPr>
      </w:pPr>
      <w:r>
        <w:rPr>
          <w:rFonts w:ascii="Arial" w:cs="Arial" w:eastAsia="Arial" w:hAnsi="Arial"/>
          <w:sz w:val="20"/>
          <w:szCs w:val="20"/>
          <w:color w:val="auto"/>
        </w:rPr>
        <w:t>For the six months ended June 30, 2021, the right-of-use assets obtained in exchange for new finance lease liabilities balance was primarily attributable to the leases of the new corporate headquarters, production equipment and leases assumed as part of the Tiller acquisition.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380" w:type="dxa"/>
            <w:vAlign w:val="bottom"/>
          </w:tcPr>
          <w:p>
            <w:pPr>
              <w:ind w:left="2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03"/>
        </w:trPr>
        <w:tc>
          <w:tcPr>
            <w:tcW w:w="6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20"/>
                <w:szCs w:val="20"/>
                <w:color w:val="auto"/>
                <w:w w:val="89"/>
              </w:rPr>
              <w:t>Six Months Ended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6"/>
        </w:trPr>
        <w:tc>
          <w:tcPr>
            <w:tcW w:w="6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5"/>
              </w:rPr>
              <w:t>June 30,</w:t>
            </w: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6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w w:val="85"/>
              </w:rPr>
              <w:t>2020</w:t>
            </w:r>
          </w:p>
        </w:tc>
        <w:tc>
          <w:tcPr>
            <w:tcW w:w="120" w:type="dxa"/>
            <w:vAlign w:val="bottom"/>
          </w:tcPr>
          <w:p>
            <w:pPr>
              <w:spacing w:after="0"/>
              <w:rPr>
                <w:sz w:val="20"/>
                <w:szCs w:val="20"/>
                <w:color w:val="auto"/>
              </w:rPr>
            </w:pPr>
          </w:p>
        </w:tc>
      </w:tr>
      <w:tr>
        <w:trPr>
          <w:trHeight w:val="236"/>
        </w:trPr>
        <w:tc>
          <w:tcPr>
            <w:tcW w:w="6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380" w:type="dxa"/>
            <w:vAlign w:val="bottom"/>
            <w:shd w:val="clear" w:color="auto" w:fill="CFF0FC"/>
          </w:tcPr>
          <w:p>
            <w:pPr>
              <w:spacing w:after="0"/>
              <w:rPr>
                <w:sz w:val="20"/>
                <w:szCs w:val="20"/>
                <w:color w:val="auto"/>
              </w:rPr>
            </w:pPr>
            <w:r>
              <w:rPr>
                <w:rFonts w:ascii="Arial" w:cs="Arial" w:eastAsia="Arial" w:hAnsi="Arial"/>
                <w:sz w:val="20"/>
                <w:szCs w:val="20"/>
                <w:color w:val="auto"/>
              </w:rPr>
              <w:t>Cash paid for interest, net of capitalized amount</w:t>
            </w:r>
          </w:p>
        </w:tc>
        <w:tc>
          <w:tcPr>
            <w:tcW w:w="1920" w:type="dxa"/>
            <w:vAlign w:val="bottom"/>
            <w:gridSpan w:val="2"/>
            <w:shd w:val="clear" w:color="auto" w:fill="CFF0FC"/>
          </w:tcPr>
          <w:p>
            <w:pPr>
              <w:jc w:val="right"/>
              <w:ind w:right="8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53.6</w:t>
            </w:r>
          </w:p>
        </w:tc>
        <w:tc>
          <w:tcPr>
            <w:tcW w:w="900" w:type="dxa"/>
            <w:vAlign w:val="bottom"/>
            <w:shd w:val="clear" w:color="auto" w:fill="CFF0FC"/>
          </w:tcPr>
          <w:p>
            <w:pPr>
              <w:jc w:val="right"/>
              <w:ind w:right="521"/>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53.0</w:t>
            </w:r>
          </w:p>
        </w:tc>
        <w:tc>
          <w:tcPr>
            <w:tcW w:w="120" w:type="dxa"/>
            <w:vAlign w:val="bottom"/>
            <w:shd w:val="clear" w:color="auto" w:fill="CFF0FC"/>
          </w:tcPr>
          <w:p>
            <w:pPr>
              <w:spacing w:after="0"/>
              <w:rPr>
                <w:sz w:val="21"/>
                <w:szCs w:val="21"/>
                <w:color w:val="auto"/>
              </w:rPr>
            </w:pPr>
          </w:p>
        </w:tc>
      </w:tr>
      <w:tr>
        <w:trPr>
          <w:trHeight w:val="250"/>
        </w:trPr>
        <w:tc>
          <w:tcPr>
            <w:tcW w:w="6380" w:type="dxa"/>
            <w:vAlign w:val="bottom"/>
          </w:tcPr>
          <w:p>
            <w:pPr>
              <w:spacing w:after="0"/>
              <w:rPr>
                <w:sz w:val="20"/>
                <w:szCs w:val="20"/>
                <w:color w:val="auto"/>
              </w:rPr>
            </w:pPr>
            <w:r>
              <w:rPr>
                <w:rFonts w:ascii="Arial" w:cs="Arial" w:eastAsia="Arial" w:hAnsi="Arial"/>
                <w:sz w:val="20"/>
                <w:szCs w:val="20"/>
                <w:color w:val="auto"/>
              </w:rPr>
              <w:t>Cash paid for income taxes, net of refunds</w:t>
            </w:r>
          </w:p>
        </w:tc>
        <w:tc>
          <w:tcPr>
            <w:tcW w:w="1920" w:type="dxa"/>
            <w:vAlign w:val="bottom"/>
            <w:gridSpan w:val="2"/>
          </w:tcPr>
          <w:p>
            <w:pPr>
              <w:jc w:val="right"/>
              <w:ind w:right="8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01"/>
              <w:spacing w:after="0"/>
              <w:rPr>
                <w:sz w:val="20"/>
                <w:szCs w:val="20"/>
                <w:color w:val="auto"/>
              </w:rPr>
            </w:pPr>
            <w:r>
              <w:rPr>
                <w:rFonts w:ascii="Arial" w:cs="Arial" w:eastAsia="Arial" w:hAnsi="Arial"/>
                <w:sz w:val="20"/>
                <w:szCs w:val="20"/>
                <w:color w:val="auto"/>
              </w:rPr>
              <w:t>56.9</w:t>
            </w:r>
          </w:p>
        </w:tc>
        <w:tc>
          <w:tcPr>
            <w:tcW w:w="90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4.7</w:t>
            </w:r>
          </w:p>
        </w:tc>
        <w:tc>
          <w:tcPr>
            <w:tcW w:w="120" w:type="dxa"/>
            <w:vAlign w:val="bottom"/>
          </w:tcPr>
          <w:p>
            <w:pPr>
              <w:spacing w:after="0"/>
              <w:rPr>
                <w:sz w:val="21"/>
                <w:szCs w:val="21"/>
                <w:color w:val="auto"/>
              </w:rPr>
            </w:pPr>
          </w:p>
        </w:tc>
      </w:tr>
    </w:tbl>
    <w:p>
      <w:pPr>
        <w:spacing w:after="0" w:line="84" w:lineRule="exact"/>
        <w:rPr>
          <w:sz w:val="20"/>
          <w:szCs w:val="20"/>
          <w:color w:val="auto"/>
        </w:rPr>
      </w:pPr>
    </w:p>
    <w:p>
      <w:pPr>
        <w:jc w:val="both"/>
        <w:ind w:left="280"/>
        <w:spacing w:after="0" w:line="269" w:lineRule="auto"/>
        <w:rPr>
          <w:sz w:val="20"/>
          <w:szCs w:val="20"/>
          <w:color w:val="auto"/>
        </w:rPr>
      </w:pPr>
      <w:r>
        <w:rPr>
          <w:rFonts w:ascii="Arial" w:cs="Arial" w:eastAsia="Arial" w:hAnsi="Arial"/>
          <w:sz w:val="19"/>
          <w:szCs w:val="19"/>
          <w:color w:val="auto"/>
        </w:rPr>
        <w:t xml:space="preserve">During the six months ended June 30, 2021 and 2020, the Company received proceeds of $11.2 million and repaid $7.2 million of loans, respectively, related to its company-owned life insurance policies. The proceeds and repayment, as applicable, are included in the </w:t>
      </w:r>
      <w:r>
        <w:rPr>
          <w:rFonts w:ascii="Arial" w:cs="Arial" w:eastAsia="Arial" w:hAnsi="Arial"/>
          <w:sz w:val="19"/>
          <w:szCs w:val="19"/>
          <w:i w:val="1"/>
          <w:iCs w:val="1"/>
          <w:color w:val="auto"/>
        </w:rPr>
        <w:t>Investments in life insurance contracts, net</w:t>
      </w:r>
      <w:r>
        <w:rPr>
          <w:rFonts w:ascii="Arial" w:cs="Arial" w:eastAsia="Arial" w:hAnsi="Arial"/>
          <w:sz w:val="19"/>
          <w:szCs w:val="19"/>
          <w:color w:val="auto"/>
        </w:rPr>
        <w:t>, in the investing activities of the consolidated statements of cash flows.</w:t>
      </w:r>
    </w:p>
    <w:p>
      <w:pPr>
        <w:spacing w:after="0" w:line="204"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Other Operating (Income) and Expenses, Net</w:t>
      </w:r>
    </w:p>
    <w:p>
      <w:pPr>
        <w:spacing w:after="0" w:line="98" w:lineRule="exact"/>
        <w:rPr>
          <w:rFonts w:ascii="Arial" w:cs="Arial" w:eastAsia="Arial" w:hAnsi="Arial"/>
          <w:sz w:val="19"/>
          <w:szCs w:val="19"/>
          <w:b w:val="1"/>
          <w:bCs w:val="1"/>
          <w:color w:val="auto"/>
        </w:rPr>
      </w:pPr>
    </w:p>
    <w:p>
      <w:pPr>
        <w:ind w:left="280"/>
        <w:spacing w:after="0" w:line="260" w:lineRule="auto"/>
        <w:rPr>
          <w:rFonts w:ascii="Arial" w:cs="Arial" w:eastAsia="Arial" w:hAnsi="Arial"/>
          <w:sz w:val="19"/>
          <w:szCs w:val="19"/>
          <w:b w:val="1"/>
          <w:bCs w:val="1"/>
          <w:color w:val="auto"/>
        </w:rPr>
      </w:pPr>
      <w:r>
        <w:rPr>
          <w:rFonts w:ascii="Arial" w:cs="Arial" w:eastAsia="Arial" w:hAnsi="Arial"/>
          <w:sz w:val="20"/>
          <w:szCs w:val="20"/>
          <w:color w:val="auto"/>
        </w:rPr>
        <w:t>Other operating (income) and expenses, net, for the three and six months ended June 30, 2021 included a gain on the sale of the Company’s corporate headquarters of $12.3 million.</w:t>
      </w:r>
    </w:p>
    <w:p>
      <w:pPr>
        <w:spacing w:after="0" w:line="197" w:lineRule="exact"/>
        <w:rPr>
          <w:rFonts w:ascii="Arial" w:cs="Arial" w:eastAsia="Arial" w:hAnsi="Arial"/>
          <w:sz w:val="19"/>
          <w:szCs w:val="19"/>
          <w:b w:val="1"/>
          <w:bCs w:val="1"/>
          <w:color w:val="auto"/>
        </w:rPr>
      </w:pPr>
    </w:p>
    <w:p>
      <w:pPr>
        <w:ind w:left="280" w:hanging="272"/>
        <w:spacing w:after="0"/>
        <w:tabs>
          <w:tab w:leader="none" w:pos="28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Other Nonoperating Income, Net</w:t>
      </w:r>
    </w:p>
    <w:p>
      <w:pPr>
        <w:spacing w:after="0" w:line="98" w:lineRule="exact"/>
        <w:rPr>
          <w:rFonts w:ascii="Arial" w:cs="Arial" w:eastAsia="Arial" w:hAnsi="Arial"/>
          <w:sz w:val="19"/>
          <w:szCs w:val="19"/>
          <w:b w:val="1"/>
          <w:bCs w:val="1"/>
          <w:color w:val="auto"/>
        </w:rPr>
      </w:pPr>
    </w:p>
    <w:p>
      <w:pPr>
        <w:jc w:val="both"/>
        <w:ind w:left="280"/>
        <w:spacing w:after="0" w:line="291" w:lineRule="auto"/>
        <w:rPr>
          <w:rFonts w:ascii="Arial" w:cs="Arial" w:eastAsia="Arial" w:hAnsi="Arial"/>
          <w:sz w:val="19"/>
          <w:szCs w:val="19"/>
          <w:b w:val="1"/>
          <w:bCs w:val="1"/>
          <w:color w:val="auto"/>
        </w:rPr>
      </w:pPr>
      <w:r>
        <w:rPr>
          <w:rFonts w:ascii="Arial" w:cs="Arial" w:eastAsia="Arial" w:hAnsi="Arial"/>
          <w:sz w:val="18"/>
          <w:szCs w:val="18"/>
          <w:color w:val="auto"/>
        </w:rPr>
        <w:t>For the three and six months ended June 30, 2021, the increase in other nonoperating income, net, was primarily attributable to lower pension expense of $4.6 million and $7.8 million, respectively, compared with the prior-year periods. For the six months ended June 30, 2020, other nonoperating (income) and expenses, net, included $5.6 million of third-party railroad track maintenance expense.</w:t>
      </w:r>
    </w:p>
    <w:p>
      <w:pPr>
        <w:spacing w:after="0" w:line="186" w:lineRule="exact"/>
        <w:rPr>
          <w:rFonts w:ascii="Arial" w:cs="Arial" w:eastAsia="Arial" w:hAnsi="Arial"/>
          <w:sz w:val="19"/>
          <w:szCs w:val="19"/>
          <w:b w:val="1"/>
          <w:bCs w:val="1"/>
          <w:color w:val="auto"/>
        </w:rPr>
      </w:pPr>
    </w:p>
    <w:p>
      <w:pPr>
        <w:ind w:left="280" w:hanging="272"/>
        <w:spacing w:after="0"/>
        <w:tabs>
          <w:tab w:leader="none" w:pos="28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Pending Business Combination and Related Financing</w:t>
      </w:r>
    </w:p>
    <w:p>
      <w:pPr>
        <w:spacing w:after="0" w:line="125" w:lineRule="exact"/>
        <w:rPr>
          <w:rFonts w:ascii="Arial" w:cs="Arial" w:eastAsia="Arial" w:hAnsi="Arial"/>
          <w:sz w:val="19"/>
          <w:szCs w:val="19"/>
          <w:b w:val="1"/>
          <w:bCs w:val="1"/>
          <w:color w:val="auto"/>
        </w:rPr>
      </w:pPr>
    </w:p>
    <w:p>
      <w:pPr>
        <w:jc w:val="both"/>
        <w:ind w:left="280"/>
        <w:spacing w:after="0" w:line="278" w:lineRule="auto"/>
        <w:rPr>
          <w:rFonts w:ascii="Arial" w:cs="Arial" w:eastAsia="Arial" w:hAnsi="Arial"/>
          <w:sz w:val="19"/>
          <w:szCs w:val="19"/>
          <w:b w:val="1"/>
          <w:bCs w:val="1"/>
          <w:color w:val="auto"/>
        </w:rPr>
      </w:pPr>
      <w:r>
        <w:rPr>
          <w:rFonts w:ascii="Arial" w:cs="Arial" w:eastAsia="Arial" w:hAnsi="Arial"/>
          <w:sz w:val="18"/>
          <w:szCs w:val="18"/>
          <w:color w:val="auto"/>
        </w:rPr>
        <w:t>On May 24, 2021, the Company announced a definitive agreement to acquire Lehigh West Region for $2.3 billion in cash. Lehigh West Region has a portfolio of 17 active aggregates quarries, two cement plants with related distribution terminals, and targeted downstream operations in California and Arizona. These operations will provide a new upstream, materials-led growth platform across several of the nation’s largest and fastest growing megaregions, solidifying the Company’s position as a leading coast-to-coast aggregates producer. The transaction is expected to close in the second half of 2021, subject to customary closing conditions.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28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FORM 10-Q</w:t>
      </w:r>
    </w:p>
    <w:p>
      <w:pPr>
        <w:jc w:val="center"/>
        <w:ind w:right="280"/>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On July 2, 2021, the Company issued $700 million aggregate principal amount of 0.650% Senior Notes due 2023 (the 0.650% Senior Notes), $900 million aggregate principal amount of 2.400% Senior Notes due 2031 (the 2.400% Senior Notes) and $900 million aggregate principal amount of 3.200% Senior Notes due 2051 (the 3.200% Senior Notes) and, together with the 0.650% Senior Notes and the 2.400% Senior Notes (the Senior Notes), pursuant to a base indenture, dated as of May 22, 2017 (the Base Indenture), as amended and supplemented from time to time, including by the Fourth Supplemental Indenture, dated as of July 2, 2021 and, together with the Base Indenture (the Indenture) between the Company and Regions Bank, as trustee, governing the Senior Notes. The Senior Notes are carried net of original issue discount, which will be amortized using the effective interest method over the lives of the issues. The Company intends to use the net proceeds of the 2.400% Senior Notes and the 3.200% Senior Notes to pay the consideration for the acquisition of Lehigh Hanson, Inc.’s West Region business (Lehigh West Region). The net proceeds of the 0.650% Senior Notes will be used for general corporate purposes, which may include funding acquisitions (including Lehigh West Region) or repaying indebtedness. If (i) the Lehigh West Region acquisition is not consummated prior to March 31, 2022, (ii) the securities purchase agreement in respect of the acquisition is terminated at any time prior to March 31, 2022 (other than as a result of consummating the acquisition) or (iii) the Company publicly announces at any time prior to March 31, 2022 that it will no longer pursue the consummation of the acquisition, then the Company will be required to redeem all of the outstanding 2.400% Senior Notes and 3.200% Senior Notes pursuant to a special mandatory redemption at a redemption price equal to 101% of the aggregate principal amount of the 2.400% Senior Notes and the 3.200% Senior Notes, respectively, plus accrued and unpaid interest to, but excluding, the date of such special mandatory redemption. The 0.650% Senior Notes will not be subject to the special mandatory redemption.</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Prior to July 2, 2022 (the 2023 Par Call Date), the Company may redeem the 0.650% Senior Notes, at its option, at any time in whole or from time to time in part at a price equal to the greater of: (i) 100% of the principal amount of the 0.650% Senior Notes to be redeemed and (ii) the sum of the present values of the principal amount of the 0.650% Senior Notes to be redeemed and the remaining scheduled payments of interest thereon after the date of optional redemption (a 2023 Optional Redemption Date) through the 2023 Par Call Date (assuming, for this purpose, that the 0.650% Senior Notes are scheduled to mature on the 2023 Par Call Date), excluding interest, if any, accrued thereon to such 2023 Optional Redemption Date, discounted to such 2023 Optional Redemption Date on a semiannual basis (assuming a 360-day year consisting of twelve 30-day months) at the Treasury Rate (as defined in the Indenture) plus 10 basis points (or 0.100%) plus, in each case, unpaid interest, if any, accrued thereon to, but excluding, such 2023 Optional Redemption Date. On or after the 2023 Par Call Date and prior to maturity, the Company may redeem the 0.650% Senior Notes at any time in whole or from time to time in part at a price equal to 100% of the principal amount of the 0.650% Senior Notes, at its option, to be redeemed, plus unpaid interest, if any, accrued thereon to, but excluding, the 2023 Optional Redemption Date.</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Prior to April 15, 2031 (the 2031 Par Call Date), the Company may redeem the 2.400% Senior Notes, at its option, at any time in whole or from time to time in part at a price equal to the greater of: (i) 100% of the principal amount of the 2.400% Senior Notes to be redeemed and (ii) the sum of the present values of the principal amount of the 2.400% Senior Notes to be redeemed and the remaining scheduled payments of interest thereon after the date of optional redemption (a 2031 Optional Redemption Date) through the 2031 Par Call Date (assuming, for this purpose, that the 2.400% Senior Notes are scheduled to mature on the 2031 Par Call Date), excluding interest, if any, accrued thereon to such 2031 Optional Redemption Date, discounted to such 2031 Optional Redemption Date on a semiannual basis (assuming a 360-day year consisting of twelve 30-day months) at the Treasury Rate (as defined in the Indenture) plus 15 basis points (or 0.150%) plus, in each case, unpaid interest, if any, accrued thereon to, but</w:t>
      </w:r>
    </w:p>
    <w:p>
      <w:pPr>
        <w:spacing w:after="0" w:line="168"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Page 26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66040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21" w:right="339" w:bottom="1440" w:gutter="0" w:footer="0" w:header="0"/>
        </w:sectPr>
      </w:pPr>
    </w:p>
    <w:bookmarkStart w:id="26" w:name="page27"/>
    <w:bookmarkEnd w:id="26"/>
    <w:p>
      <w:pPr>
        <w:jc w:val="center"/>
        <w:ind w:right="28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FORM 10-Q</w:t>
      </w:r>
    </w:p>
    <w:p>
      <w:pPr>
        <w:jc w:val="center"/>
        <w:ind w:right="280"/>
        <w:spacing w:after="0"/>
        <w:rPr>
          <w:sz w:val="20"/>
          <w:szCs w:val="20"/>
          <w:color w:val="auto"/>
        </w:rPr>
      </w:pPr>
      <w:r>
        <w:rPr>
          <w:rFonts w:ascii="Arial" w:cs="Arial" w:eastAsia="Arial" w:hAnsi="Arial"/>
          <w:sz w:val="20"/>
          <w:szCs w:val="20"/>
          <w:color w:val="auto"/>
        </w:rPr>
        <w:t>For the Quarter Ended June 30, 2021</w:t>
      </w:r>
    </w:p>
    <w:p>
      <w:pPr>
        <w:spacing w:after="0" w:line="51"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excluding, such 2031 Optional Redemption Date. On or after the 2031 Par Call Date and prior to maturity, the Company may redeem the 2.400% Senior Notes at any time in whole or from time to time in part at a price equal to 100% of the principal amount of the 2.400% Senior Notes, at its option, to be redeemed, plus unpaid interest, if any, accrued thereon to, but excluding, the 2031 Optional Redemption Date.</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Prior to January 15, 2051 (the 2051 Par Call Date), the Company may redeem the 3.200% Senior Notes, at its option, at any time in whole or from time to time in part at a price equal to the greater of: (i) 100% of the principal amount of the 3.200% Senior Notes to be redeemed and (ii) the sum of the present values of the principal amount of the 3.200% Senior Notes to be redeemed and the remaining scheduled payments of interest thereon after the date of optional redemption (a 2051 Optional Redemption Date) through the 2051 Par Call Date (assuming, for this purpose, that the 3.200% Senior Notes are scheduled to mature on the 2051 Par Call Date), excluding interest, if any, accrued thereon to such 2051 Optional Redemption Date, discounted to such 2051 Optional Redemption Date on a semiannual basis (assuming a 360-day year consisting of twelve 30-day months) at the Treasury Rate (as defined in the Indenture) plus 20 basis points (or 0.200%) plus, in each case, unpaid interest, if any, accrued thereon to, but excluding, such 2051 Optional Redemption Date. On or after the 2051 Par Call Date and prior to maturity, the Company may redeem the 3.200% Senior Notes at any time in whole or from time to time in part at a price equal to 100% of the principal amount of the 3.200% Senior Notes, at its option, to be redeemed, plus unpaid interest, if any, accrued thereon to, but excluding, the 2051 Optional Redemption Date.</w:t>
      </w:r>
    </w:p>
    <w:p>
      <w:pPr>
        <w:spacing w:after="0" w:line="38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Page 27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66040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21" w:right="339" w:bottom="1440" w:gutter="0" w:footer="0" w:header="0"/>
        </w:sectPr>
      </w:pPr>
    </w:p>
    <w:bookmarkStart w:id="27" w:name="page28"/>
    <w:bookmarkEnd w:id="27"/>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FORM 10-Q</w:t>
      </w:r>
    </w:p>
    <w:p>
      <w:pPr>
        <w:jc w:val="center"/>
        <w:ind w:right="60"/>
        <w:spacing w:after="0"/>
        <w:rPr>
          <w:sz w:val="20"/>
          <w:szCs w:val="20"/>
          <w:color w:val="auto"/>
        </w:rPr>
      </w:pPr>
      <w:r>
        <w:rPr>
          <w:rFonts w:ascii="Arial" w:cs="Arial" w:eastAsia="Arial" w:hAnsi="Arial"/>
          <w:sz w:val="20"/>
          <w:szCs w:val="20"/>
          <w:color w:val="auto"/>
        </w:rPr>
        <w:t>For the Quarter Ended June 30, 2021</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RESULTS OF OPERATIONS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8" w:lineRule="exact"/>
        <w:rPr>
          <w:sz w:val="20"/>
          <w:szCs w:val="20"/>
          <w:color w:val="auto"/>
        </w:rPr>
      </w:pPr>
    </w:p>
    <w:p>
      <w:pPr>
        <w:jc w:val="both"/>
        <w:ind w:right="60"/>
        <w:spacing w:after="0" w:line="273" w:lineRule="auto"/>
        <w:rPr>
          <w:sz w:val="20"/>
          <w:szCs w:val="20"/>
          <w:color w:val="auto"/>
        </w:rPr>
      </w:pPr>
      <w:r>
        <w:rPr>
          <w:rFonts w:ascii="Arial" w:cs="Arial" w:eastAsia="Arial" w:hAnsi="Arial"/>
          <w:sz w:val="18"/>
          <w:szCs w:val="18"/>
          <w:color w:val="auto"/>
        </w:rPr>
        <w:t>Martin Marietta Materials, Inc. (the Company or Martin Marietta) is a natural resource-based building materials company. The Company supplies aggregates (crushed stone, sand and gravel) through its network of approximately 310 quarries, mines and distribution yards in 26 states, Canada and The Bahamas. In the southwestern and western United States, Martin Marietta also provides cement and downstream products and services, namely, ready mixed concrete, asphalt and paving, in vertically-integrated structured markets where the Company has a leading aggregates position. The Company also provides asphalt in Minnesota, subsequent to a business combination in the quarter ended June 30, 2021.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60" w:lineRule="exact"/>
        <w:rPr>
          <w:sz w:val="20"/>
          <w:szCs w:val="20"/>
          <w:color w:val="auto"/>
        </w:rPr>
      </w:pPr>
    </w:p>
    <w:p>
      <w:pPr>
        <w:jc w:val="center"/>
        <w:ind w:right="2120"/>
        <w:spacing w:after="0" w:line="308" w:lineRule="auto"/>
        <w:rPr>
          <w:sz w:val="20"/>
          <w:szCs w:val="20"/>
          <w:color w:val="auto"/>
        </w:rPr>
      </w:pPr>
      <w:r>
        <w:rPr>
          <w:rFonts w:ascii="Arial" w:cs="Arial" w:eastAsia="Arial" w:hAnsi="Arial"/>
          <w:sz w:val="20"/>
          <w:szCs w:val="20"/>
          <w:color w:val="auto"/>
        </w:rPr>
        <w:t xml:space="preserve">The Company’s Building Materials business includes two reportable segments: the East Group and the West Group. </w:t>
      </w:r>
      <w:r>
        <w:rPr>
          <w:rFonts w:ascii="Arial" w:cs="Arial" w:eastAsia="Arial" w:hAnsi="Arial"/>
          <w:sz w:val="20"/>
          <w:szCs w:val="20"/>
          <w:b w:val="1"/>
          <w:bCs w:val="1"/>
          <w:color w:val="auto"/>
        </w:rPr>
        <w:t>BUILDING MATERIALS BUSINESS</w:t>
      </w:r>
    </w:p>
    <w:tbl>
      <w:tblPr>
        <w:tblLayout w:type="fixed"/>
        <w:tblInd w:w="0" w:type="dxa"/>
        <w:tblCellMar>
          <w:top w:w="0" w:type="dxa"/>
          <w:left w:w="0" w:type="dxa"/>
          <w:bottom w:w="0" w:type="dxa"/>
          <w:right w:w="0" w:type="dxa"/>
        </w:tblCellMar>
      </w:tblPr>
      <w:tr>
        <w:trPr>
          <w:trHeight w:val="217"/>
        </w:trPr>
        <w:tc>
          <w:tcPr>
            <w:tcW w:w="2260" w:type="dxa"/>
            <w:vAlign w:val="bottom"/>
            <w:tcBorders>
              <w:top w:val="single" w:sz="8" w:color="auto"/>
            </w:tcBorders>
            <w:gridSpan w:val="2"/>
          </w:tcPr>
          <w:p>
            <w:pPr>
              <w:jc w:val="center"/>
              <w:ind w:right="100"/>
              <w:spacing w:after="0" w:line="216" w:lineRule="exact"/>
              <w:rPr>
                <w:sz w:val="20"/>
                <w:szCs w:val="20"/>
                <w:color w:val="auto"/>
              </w:rPr>
            </w:pPr>
            <w:r>
              <w:rPr>
                <w:rFonts w:ascii="Arial" w:cs="Arial" w:eastAsia="Arial" w:hAnsi="Arial"/>
                <w:sz w:val="20"/>
                <w:szCs w:val="20"/>
                <w:color w:val="auto"/>
                <w:w w:val="86"/>
              </w:rPr>
              <w:t>Reportable Segments</w:t>
            </w:r>
          </w:p>
        </w:tc>
        <w:tc>
          <w:tcPr>
            <w:tcW w:w="4600" w:type="dxa"/>
            <w:vAlign w:val="bottom"/>
            <w:tcBorders>
              <w:top w:val="single" w:sz="8" w:color="auto"/>
            </w:tcBorders>
            <w:gridSpan w:val="2"/>
          </w:tcPr>
          <w:p>
            <w:pPr>
              <w:jc w:val="center"/>
              <w:ind w:right="100"/>
              <w:spacing w:after="0" w:line="216" w:lineRule="exact"/>
              <w:rPr>
                <w:sz w:val="20"/>
                <w:szCs w:val="20"/>
                <w:color w:val="auto"/>
              </w:rPr>
            </w:pPr>
            <w:r>
              <w:rPr>
                <w:rFonts w:ascii="Arial" w:cs="Arial" w:eastAsia="Arial" w:hAnsi="Arial"/>
                <w:sz w:val="20"/>
                <w:szCs w:val="20"/>
                <w:color w:val="auto"/>
                <w:w w:val="88"/>
              </w:rPr>
              <w:t>East Group</w:t>
            </w:r>
          </w:p>
        </w:tc>
        <w:tc>
          <w:tcPr>
            <w:tcW w:w="444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0"/>
                <w:szCs w:val="20"/>
                <w:color w:val="auto"/>
                <w:w w:val="89"/>
              </w:rPr>
              <w:t>West Group</w:t>
            </w:r>
          </w:p>
        </w:tc>
      </w:tr>
      <w:tr>
        <w:trPr>
          <w:trHeight w:val="206"/>
        </w:trPr>
        <w:tc>
          <w:tcPr>
            <w:tcW w:w="21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Operating Locations</w:t>
            </w:r>
          </w:p>
        </w:tc>
        <w:tc>
          <w:tcPr>
            <w:tcW w:w="10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 Georgia, Indiana, Iowa,</w:t>
            </w:r>
          </w:p>
        </w:tc>
        <w:tc>
          <w:tcPr>
            <w:tcW w:w="120" w:type="dxa"/>
            <w:vAlign w:val="bottom"/>
          </w:tcPr>
          <w:p>
            <w:pPr>
              <w:spacing w:after="0"/>
              <w:rPr>
                <w:sz w:val="17"/>
                <w:szCs w:val="17"/>
                <w:color w:val="auto"/>
              </w:rPr>
            </w:pPr>
          </w:p>
        </w:tc>
        <w:tc>
          <w:tcPr>
            <w:tcW w:w="44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Arkansas, Colorado, Louisiana, western</w:t>
            </w:r>
          </w:p>
        </w:tc>
      </w:tr>
      <w:tr>
        <w:trPr>
          <w:trHeight w:val="229"/>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Kansas, Kentucky, Maryland,</w:t>
            </w:r>
          </w:p>
        </w:tc>
        <w:tc>
          <w:tcPr>
            <w:tcW w:w="4440" w:type="dxa"/>
            <w:vAlign w:val="bottom"/>
          </w:tcPr>
          <w:p>
            <w:pPr>
              <w:jc w:val="center"/>
              <w:spacing w:after="0"/>
              <w:rPr>
                <w:sz w:val="20"/>
                <w:szCs w:val="20"/>
                <w:color w:val="auto"/>
              </w:rPr>
            </w:pPr>
            <w:r>
              <w:rPr>
                <w:rFonts w:ascii="Arial" w:cs="Arial" w:eastAsia="Arial" w:hAnsi="Arial"/>
                <w:sz w:val="20"/>
                <w:szCs w:val="20"/>
                <w:color w:val="auto"/>
                <w:w w:val="88"/>
              </w:rPr>
              <w:t>Nebraska, Oklahoma, Texas, Utah,</w:t>
            </w:r>
          </w:p>
        </w:tc>
      </w:tr>
      <w:tr>
        <w:trPr>
          <w:trHeight w:val="229"/>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ind w:left="640"/>
              <w:spacing w:after="0"/>
              <w:rPr>
                <w:sz w:val="20"/>
                <w:szCs w:val="20"/>
                <w:color w:val="auto"/>
              </w:rPr>
            </w:pPr>
            <w:r>
              <w:rPr>
                <w:rFonts w:ascii="Arial" w:cs="Arial" w:eastAsia="Arial" w:hAnsi="Arial"/>
                <w:sz w:val="20"/>
                <w:szCs w:val="20"/>
                <w:color w:val="auto"/>
              </w:rPr>
              <w:t>Minnesota, Missouri, eastern Nebraska,</w:t>
            </w:r>
          </w:p>
        </w:tc>
        <w:tc>
          <w:tcPr>
            <w:tcW w:w="4440" w:type="dxa"/>
            <w:vAlign w:val="bottom"/>
          </w:tcPr>
          <w:p>
            <w:pPr>
              <w:jc w:val="center"/>
              <w:spacing w:after="0"/>
              <w:rPr>
                <w:sz w:val="20"/>
                <w:szCs w:val="20"/>
                <w:color w:val="auto"/>
              </w:rPr>
            </w:pPr>
            <w:r>
              <w:rPr>
                <w:rFonts w:ascii="Arial" w:cs="Arial" w:eastAsia="Arial" w:hAnsi="Arial"/>
                <w:sz w:val="20"/>
                <w:szCs w:val="20"/>
                <w:color w:val="auto"/>
                <w:w w:val="90"/>
              </w:rPr>
              <w:t>Washington and Wyoming</w:t>
            </w:r>
          </w:p>
        </w:tc>
      </w:tr>
      <w:tr>
        <w:trPr>
          <w:trHeight w:val="23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North Carolina, Ohio, Pennsylvania,</w:t>
            </w:r>
          </w:p>
        </w:tc>
        <w:tc>
          <w:tcPr>
            <w:tcW w:w="4440" w:type="dxa"/>
            <w:vAlign w:val="bottom"/>
          </w:tcPr>
          <w:p>
            <w:pPr>
              <w:spacing w:after="0"/>
              <w:rPr>
                <w:sz w:val="19"/>
                <w:szCs w:val="19"/>
                <w:color w:val="auto"/>
              </w:rPr>
            </w:pPr>
          </w:p>
        </w:tc>
      </w:tr>
      <w:tr>
        <w:trPr>
          <w:trHeight w:val="229"/>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South Carolina, Tennessee, Virginia,</w:t>
            </w:r>
          </w:p>
        </w:tc>
        <w:tc>
          <w:tcPr>
            <w:tcW w:w="4440" w:type="dxa"/>
            <w:vAlign w:val="bottom"/>
          </w:tcPr>
          <w:p>
            <w:pPr>
              <w:spacing w:after="0"/>
              <w:rPr>
                <w:sz w:val="19"/>
                <w:szCs w:val="19"/>
                <w:color w:val="auto"/>
              </w:rPr>
            </w:pPr>
          </w:p>
        </w:tc>
      </w:tr>
      <w:tr>
        <w:trPr>
          <w:trHeight w:val="250"/>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West Virginia, Nova Scotia and The Bahamas</w:t>
            </w:r>
          </w:p>
        </w:tc>
        <w:tc>
          <w:tcPr>
            <w:tcW w:w="4440" w:type="dxa"/>
            <w:vAlign w:val="bottom"/>
          </w:tcPr>
          <w:p>
            <w:pPr>
              <w:spacing w:after="0"/>
              <w:rPr>
                <w:sz w:val="21"/>
                <w:szCs w:val="21"/>
                <w:color w:val="auto"/>
              </w:rPr>
            </w:pPr>
          </w:p>
        </w:tc>
      </w:tr>
      <w:tr>
        <w:trPr>
          <w:trHeight w:val="357"/>
        </w:trPr>
        <w:tc>
          <w:tcPr>
            <w:tcW w:w="22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Product Lines</w:t>
            </w: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88"/>
              </w:rPr>
              <w:t>Aggregates and Asphalt</w:t>
            </w:r>
          </w:p>
        </w:tc>
        <w:tc>
          <w:tcPr>
            <w:tcW w:w="4440" w:type="dxa"/>
            <w:vAlign w:val="bottom"/>
          </w:tcPr>
          <w:p>
            <w:pPr>
              <w:jc w:val="center"/>
              <w:spacing w:after="0"/>
              <w:rPr>
                <w:sz w:val="20"/>
                <w:szCs w:val="20"/>
                <w:color w:val="auto"/>
              </w:rPr>
            </w:pPr>
            <w:r>
              <w:rPr>
                <w:rFonts w:ascii="Arial" w:cs="Arial" w:eastAsia="Arial" w:hAnsi="Arial"/>
                <w:sz w:val="20"/>
                <w:szCs w:val="20"/>
                <w:color w:val="auto"/>
                <w:w w:val="87"/>
              </w:rPr>
              <w:t>Aggregates, Cement, Ready</w:t>
            </w:r>
          </w:p>
        </w:tc>
      </w:tr>
      <w:tr>
        <w:trPr>
          <w:trHeight w:val="23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20"/>
                <w:szCs w:val="20"/>
                <w:color w:val="auto"/>
                <w:w w:val="90"/>
              </w:rPr>
              <w:t>Mixed Concrete, Asphalt and</w:t>
            </w:r>
          </w:p>
        </w:tc>
      </w:tr>
      <w:tr>
        <w:trPr>
          <w:trHeight w:val="250"/>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Arial" w:cs="Arial" w:eastAsia="Arial" w:hAnsi="Arial"/>
                <w:sz w:val="20"/>
                <w:szCs w:val="20"/>
                <w:color w:val="auto"/>
                <w:w w:val="91"/>
              </w:rPr>
              <w:t>Paving</w:t>
            </w:r>
          </w:p>
        </w:tc>
      </w:tr>
      <w:tr>
        <w:trPr>
          <w:trHeight w:val="357"/>
        </w:trPr>
        <w:tc>
          <w:tcPr>
            <w:tcW w:w="22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Facility Types</w:t>
            </w: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Quarries, Mines, Plants and Distribution Facilities</w:t>
            </w:r>
          </w:p>
        </w:tc>
        <w:tc>
          <w:tcPr>
            <w:tcW w:w="4440" w:type="dxa"/>
            <w:vAlign w:val="bottom"/>
          </w:tcPr>
          <w:p>
            <w:pPr>
              <w:jc w:val="center"/>
              <w:spacing w:after="0"/>
              <w:rPr>
                <w:sz w:val="20"/>
                <w:szCs w:val="20"/>
                <w:color w:val="auto"/>
              </w:rPr>
            </w:pPr>
            <w:r>
              <w:rPr>
                <w:rFonts w:ascii="Arial" w:cs="Arial" w:eastAsia="Arial" w:hAnsi="Arial"/>
                <w:sz w:val="20"/>
                <w:szCs w:val="20"/>
                <w:color w:val="auto"/>
                <w:w w:val="89"/>
              </w:rPr>
              <w:t>Quarries, Mines, Plants and</w:t>
            </w:r>
          </w:p>
        </w:tc>
      </w:tr>
      <w:tr>
        <w:trPr>
          <w:trHeight w:val="250"/>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Arial" w:cs="Arial" w:eastAsia="Arial" w:hAnsi="Arial"/>
                <w:sz w:val="20"/>
                <w:szCs w:val="20"/>
                <w:color w:val="auto"/>
                <w:w w:val="93"/>
              </w:rPr>
              <w:t>Distribution Facilities</w:t>
            </w:r>
          </w:p>
        </w:tc>
      </w:tr>
      <w:tr>
        <w:trPr>
          <w:trHeight w:val="392"/>
        </w:trPr>
        <w:tc>
          <w:tcPr>
            <w:tcW w:w="2260" w:type="dxa"/>
            <w:vAlign w:val="bottom"/>
            <w:gridSpan w:val="2"/>
          </w:tcPr>
          <w:p>
            <w:pPr>
              <w:ind w:left="140"/>
              <w:spacing w:after="0"/>
              <w:rPr>
                <w:sz w:val="20"/>
                <w:szCs w:val="20"/>
                <w:color w:val="auto"/>
              </w:rPr>
            </w:pPr>
            <w:r>
              <w:rPr>
                <w:rFonts w:ascii="Arial" w:cs="Arial" w:eastAsia="Arial" w:hAnsi="Arial"/>
                <w:sz w:val="20"/>
                <w:szCs w:val="20"/>
                <w:color w:val="auto"/>
                <w:w w:val="96"/>
              </w:rPr>
              <w:t>Modes of Transportation</w:t>
            </w:r>
          </w:p>
        </w:tc>
        <w:tc>
          <w:tcPr>
            <w:tcW w:w="460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Truck, Railcar and Ship</w:t>
            </w:r>
          </w:p>
        </w:tc>
        <w:tc>
          <w:tcPr>
            <w:tcW w:w="4440" w:type="dxa"/>
            <w:vAlign w:val="bottom"/>
          </w:tcPr>
          <w:p>
            <w:pPr>
              <w:jc w:val="center"/>
              <w:spacing w:after="0"/>
              <w:rPr>
                <w:sz w:val="20"/>
                <w:szCs w:val="20"/>
                <w:color w:val="auto"/>
              </w:rPr>
            </w:pPr>
            <w:r>
              <w:rPr>
                <w:rFonts w:ascii="Arial" w:cs="Arial" w:eastAsia="Arial" w:hAnsi="Arial"/>
                <w:sz w:val="20"/>
                <w:szCs w:val="20"/>
                <w:color w:val="auto"/>
                <w:w w:val="91"/>
              </w:rPr>
              <w:t>Truck and Railcar</w:t>
            </w:r>
          </w:p>
        </w:tc>
      </w:tr>
    </w:tbl>
    <w:p>
      <w:pPr>
        <w:spacing w:after="0" w:line="236" w:lineRule="exact"/>
        <w:rPr>
          <w:sz w:val="20"/>
          <w:szCs w:val="20"/>
          <w:color w:val="auto"/>
        </w:rPr>
      </w:pPr>
    </w:p>
    <w:p>
      <w:pPr>
        <w:jc w:val="both"/>
        <w:ind w:right="60"/>
        <w:spacing w:after="0" w:line="257" w:lineRule="auto"/>
        <w:rPr>
          <w:sz w:val="20"/>
          <w:szCs w:val="20"/>
          <w:color w:val="auto"/>
        </w:rPr>
      </w:pPr>
      <w:r>
        <w:rPr>
          <w:rFonts w:ascii="Arial" w:cs="Arial" w:eastAsia="Arial" w:hAnsi="Arial"/>
          <w:sz w:val="19"/>
          <w:szCs w:val="19"/>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production, shipments and profitability in all markets served by the Company. Due to the potentially significant impact of weather on the Company’s operations, current-period results are not necessarily indicative of expected performance for other interim periods or the full year.</w:t>
      </w:r>
    </w:p>
    <w:p>
      <w:pPr>
        <w:spacing w:after="0" w:line="198"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33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Page 28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outlined its critical accounting policies in its Annual Report on Form 10-K for the year ended December 31, 2020. There were no changes to the Company’s critical accounting policies during the six months ended June 30, 2021.</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Earnings before interest; income taxes; depreciation, depletion and amortization; the earnings/loss from nonconsolidated equity affiliates; acquisition-related expenses; and the impact of selling acquired inventory after its markup to fair value as part of acquisition accounting (Adjusted EBITDA) is an indicator used by the Company and investors to evaluate the Company’s operating performance from period to period. Adjusted EBITDA is not defined by accounting principles generally accepted in the United States and, as such, should not be construed as an alternative to net earnings, earnings from operations or cash provided by operating activities. However, the Company’s management believes that Adjusted EBITDA may provide additional information with respect to the Company’s performance and is a measure used by management to evaluate the Company’s performance. Because Adjusted EBITDA excludes some, but not all, items that affect net earnings and may vary among companies, Adjusted EBITDA as presented by the Company may not be comparable with similarly titled measures of other companies.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attributable to Martin Marietta to Adjusted EBITDA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4"/>
          </w:tcPr>
          <w:p>
            <w:pPr>
              <w:jc w:val="right"/>
              <w:ind w:right="461"/>
              <w:spacing w:after="0"/>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6"/>
          </w:tcPr>
          <w:p>
            <w:pPr>
              <w:ind w:left="400"/>
              <w:spacing w:after="0"/>
              <w:rPr>
                <w:sz w:val="20"/>
                <w:szCs w:val="20"/>
                <w:color w:val="auto"/>
              </w:rPr>
            </w:pPr>
            <w:r>
              <w:rPr>
                <w:rFonts w:ascii="Arial" w:cs="Arial" w:eastAsia="Arial" w:hAnsi="Arial"/>
                <w:sz w:val="20"/>
                <w:szCs w:val="20"/>
                <w:color w:val="auto"/>
              </w:rPr>
              <w:t>Six Months Ended</w:t>
            </w:r>
          </w:p>
        </w:tc>
      </w:tr>
      <w:tr>
        <w:trPr>
          <w:trHeight w:val="246"/>
        </w:trPr>
        <w:tc>
          <w:tcPr>
            <w:tcW w:w="4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2021</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2021</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2020</w:t>
            </w:r>
          </w:p>
        </w:tc>
        <w:tc>
          <w:tcPr>
            <w:tcW w:w="100" w:type="dxa"/>
            <w:vAlign w:val="bottom"/>
          </w:tcPr>
          <w:p>
            <w:pPr>
              <w:spacing w:after="0"/>
              <w:rPr>
                <w:sz w:val="20"/>
                <w:szCs w:val="20"/>
                <w:color w:val="auto"/>
              </w:rPr>
            </w:pPr>
          </w:p>
        </w:tc>
      </w:tr>
      <w:tr>
        <w:trPr>
          <w:trHeight w:val="237"/>
        </w:trPr>
        <w:tc>
          <w:tcPr>
            <w:tcW w:w="4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5"/>
          </w:tcPr>
          <w:p>
            <w:pPr>
              <w:ind w:left="260"/>
              <w:spacing w:after="0"/>
              <w:rPr>
                <w:sz w:val="20"/>
                <w:szCs w:val="20"/>
                <w:color w:val="auto"/>
              </w:rPr>
            </w:pPr>
            <w:r>
              <w:rPr>
                <w:rFonts w:ascii="Arial" w:cs="Arial" w:eastAsia="Arial" w:hAnsi="Arial"/>
                <w:sz w:val="20"/>
                <w:szCs w:val="20"/>
                <w:i w:val="1"/>
                <w:iCs w:val="1"/>
                <w:color w:val="auto"/>
              </w:rPr>
              <w:t>(Dollars in Millions)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76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820" w:type="dxa"/>
            <w:vAlign w:val="bottom"/>
            <w:gridSpan w:val="2"/>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225.8</w:t>
            </w:r>
          </w:p>
        </w:tc>
        <w:tc>
          <w:tcPr>
            <w:tcW w:w="560" w:type="dxa"/>
            <w:vAlign w:val="bottom"/>
            <w:gridSpan w:val="2"/>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217.6</w:t>
            </w:r>
          </w:p>
        </w:tc>
        <w:tc>
          <w:tcPr>
            <w:tcW w:w="500" w:type="dxa"/>
            <w:vAlign w:val="bottom"/>
            <w:gridSpan w:val="2"/>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291.1</w:t>
            </w:r>
          </w:p>
        </w:tc>
        <w:tc>
          <w:tcPr>
            <w:tcW w:w="2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3"/>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243.5</w:t>
            </w:r>
          </w:p>
        </w:tc>
        <w:tc>
          <w:tcPr>
            <w:tcW w:w="100" w:type="dxa"/>
            <w:vAlign w:val="bottom"/>
            <w:shd w:val="clear" w:color="auto" w:fill="CFF0FC"/>
          </w:tcPr>
          <w:p>
            <w:pPr>
              <w:spacing w:after="0"/>
              <w:rPr>
                <w:sz w:val="21"/>
                <w:szCs w:val="2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Add back:</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 net of interest income</w:t>
            </w: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55.5</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60.7</w:t>
            </w:r>
          </w:p>
        </w:tc>
        <w:tc>
          <w:tcPr>
            <w:tcW w:w="100" w:type="dxa"/>
            <w:vAlign w:val="bottom"/>
            <w:shd w:val="clear" w:color="auto" w:fill="CFF0FC"/>
          </w:tcPr>
          <w:p>
            <w:pPr>
              <w:spacing w:after="0"/>
              <w:rPr>
                <w:sz w:val="21"/>
                <w:szCs w:val="21"/>
                <w:color w:val="auto"/>
              </w:rPr>
            </w:pPr>
          </w:p>
        </w:tc>
      </w:tr>
      <w:tr>
        <w:trPr>
          <w:trHeight w:val="243"/>
        </w:trPr>
        <w:tc>
          <w:tcPr>
            <w:tcW w:w="4760" w:type="dxa"/>
            <w:vAlign w:val="bottom"/>
          </w:tcPr>
          <w:p>
            <w:pPr>
              <w:ind w:left="260"/>
              <w:spacing w:after="0"/>
              <w:rPr>
                <w:sz w:val="20"/>
                <w:szCs w:val="20"/>
                <w:color w:val="auto"/>
              </w:rPr>
            </w:pPr>
            <w:r>
              <w:rPr>
                <w:rFonts w:ascii="Arial" w:cs="Arial" w:eastAsia="Arial" w:hAnsi="Arial"/>
                <w:sz w:val="20"/>
                <w:szCs w:val="20"/>
                <w:color w:val="auto"/>
              </w:rPr>
              <w:t>Income tax expense for controlling interests</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62.2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61.4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78.1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61.5</w:t>
            </w:r>
          </w:p>
        </w:tc>
        <w:tc>
          <w:tcPr>
            <w:tcW w:w="100" w:type="dxa"/>
            <w:vAlign w:val="bottom"/>
          </w:tcPr>
          <w:p>
            <w:pPr>
              <w:spacing w:after="0"/>
              <w:rPr>
                <w:sz w:val="21"/>
                <w:szCs w:val="21"/>
                <w:color w:val="auto"/>
              </w:rPr>
            </w:pPr>
          </w:p>
        </w:tc>
      </w:tr>
      <w:tr>
        <w:trPr>
          <w:trHeight w:val="226"/>
        </w:trPr>
        <w:tc>
          <w:tcPr>
            <w:tcW w:w="476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Depreciation, depletion and amortization and</w:t>
            </w: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60" w:type="dxa"/>
            <w:vAlign w:val="bottom"/>
            <w:shd w:val="clear" w:color="auto" w:fill="CFF0FC"/>
          </w:tcPr>
          <w:p>
            <w:pPr>
              <w:ind w:left="400"/>
              <w:spacing w:after="0"/>
              <w:rPr>
                <w:sz w:val="20"/>
                <w:szCs w:val="20"/>
                <w:color w:val="auto"/>
              </w:rPr>
            </w:pPr>
            <w:r>
              <w:rPr>
                <w:rFonts w:ascii="Arial" w:cs="Arial" w:eastAsia="Arial" w:hAnsi="Arial"/>
                <w:sz w:val="20"/>
                <w:szCs w:val="20"/>
                <w:color w:val="auto"/>
              </w:rPr>
              <w:t>earnings/loss from nonconsolidated equity</w:t>
            </w: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4760" w:type="dxa"/>
            <w:vAlign w:val="bottom"/>
            <w:shd w:val="clear" w:color="auto" w:fill="CFF0FC"/>
          </w:tcPr>
          <w:p>
            <w:pPr>
              <w:ind w:left="400"/>
              <w:spacing w:after="0"/>
              <w:rPr>
                <w:sz w:val="20"/>
                <w:szCs w:val="20"/>
                <w:color w:val="auto"/>
              </w:rPr>
            </w:pPr>
            <w:r>
              <w:rPr>
                <w:rFonts w:ascii="Arial" w:cs="Arial" w:eastAsia="Arial" w:hAnsi="Arial"/>
                <w:sz w:val="20"/>
                <w:szCs w:val="20"/>
                <w:color w:val="auto"/>
              </w:rPr>
              <w:t>affiliates</w:t>
            </w: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106.1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97.0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201.9</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190.3</w:t>
            </w:r>
          </w:p>
        </w:tc>
        <w:tc>
          <w:tcPr>
            <w:tcW w:w="100" w:type="dxa"/>
            <w:vAlign w:val="bottom"/>
            <w:shd w:val="clear" w:color="auto" w:fill="CFF0FC"/>
          </w:tcPr>
          <w:p>
            <w:pPr>
              <w:spacing w:after="0"/>
              <w:rPr>
                <w:sz w:val="21"/>
                <w:szCs w:val="21"/>
                <w:color w:val="auto"/>
              </w:rPr>
            </w:pPr>
          </w:p>
        </w:tc>
      </w:tr>
      <w:tr>
        <w:trPr>
          <w:trHeight w:val="243"/>
        </w:trPr>
        <w:tc>
          <w:tcPr>
            <w:tcW w:w="4760" w:type="dxa"/>
            <w:vAlign w:val="bottom"/>
          </w:tcPr>
          <w:p>
            <w:pPr>
              <w:ind w:left="260"/>
              <w:spacing w:after="0"/>
              <w:rPr>
                <w:sz w:val="20"/>
                <w:szCs w:val="20"/>
                <w:color w:val="auto"/>
              </w:rPr>
            </w:pPr>
            <w:r>
              <w:rPr>
                <w:rFonts w:ascii="Arial" w:cs="Arial" w:eastAsia="Arial" w:hAnsi="Arial"/>
                <w:sz w:val="20"/>
                <w:szCs w:val="20"/>
                <w:color w:val="auto"/>
              </w:rPr>
              <w:t>Acquisition-related expenses</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26"/>
        </w:trPr>
        <w:tc>
          <w:tcPr>
            <w:tcW w:w="476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Impact of selling acquired inventory after markup</w:t>
            </w: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4760" w:type="dxa"/>
            <w:vAlign w:val="bottom"/>
            <w:shd w:val="clear" w:color="auto" w:fill="CFF0FC"/>
          </w:tcPr>
          <w:p>
            <w:pPr>
              <w:ind w:left="400"/>
              <w:spacing w:after="0"/>
              <w:rPr>
                <w:sz w:val="20"/>
                <w:szCs w:val="20"/>
                <w:color w:val="auto"/>
              </w:rPr>
            </w:pPr>
            <w:r>
              <w:rPr>
                <w:rFonts w:ascii="Arial" w:cs="Arial" w:eastAsia="Arial" w:hAnsi="Arial"/>
                <w:sz w:val="20"/>
                <w:szCs w:val="20"/>
                <w:color w:val="auto"/>
              </w:rPr>
              <w:t>to fair value as a part of acquisition accounting</w:t>
            </w: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36"/>
        </w:trPr>
        <w:tc>
          <w:tcPr>
            <w:tcW w:w="4760" w:type="dxa"/>
            <w:vAlign w:val="bottom"/>
          </w:tcPr>
          <w:p>
            <w:pPr>
              <w:spacing w:after="0"/>
              <w:rPr>
                <w:sz w:val="20"/>
                <w:szCs w:val="20"/>
                <w:color w:val="auto"/>
              </w:rPr>
            </w:pPr>
            <w:r>
              <w:rPr>
                <w:rFonts w:ascii="Arial" w:cs="Arial" w:eastAsia="Arial" w:hAnsi="Arial"/>
                <w:sz w:val="20"/>
                <w:szCs w:val="20"/>
                <w:color w:val="auto"/>
              </w:rPr>
              <w:t>Adjusted EBITDA</w:t>
            </w:r>
          </w:p>
        </w:tc>
        <w:tc>
          <w:tcPr>
            <w:tcW w:w="5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439.2</w:t>
            </w:r>
          </w:p>
        </w:tc>
        <w:tc>
          <w:tcPr>
            <w:tcW w:w="2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407.0</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644.8</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556.0</w:t>
            </w:r>
          </w:p>
        </w:tc>
        <w:tc>
          <w:tcPr>
            <w:tcW w:w="100" w:type="dxa"/>
            <w:vAlign w:val="bottom"/>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Mix-adjusted average selling price (mix-adjusted ASP) excludes the impacts of product, geographic and other mix from the current-period average selling price and is a non-GAAP measure. Mix-adjusted ASP is calculated by comparing current-period shipments to like-to-like shipments in the comparable prior period. Management uses this metric to evaluate the effectiveness of the Company’s pricing increases and believes this information is useful to investors as it provides same-on-same pricing trends. The following reconciles reported average selling price to mix-adjusted ASP and corresponding variances.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0" w:type="dxa"/>
            <w:vAlign w:val="bottom"/>
            <w:gridSpan w:val="6"/>
          </w:tcPr>
          <w:p>
            <w:pPr>
              <w:ind w:left="300"/>
              <w:spacing w:after="0"/>
              <w:rPr>
                <w:sz w:val="20"/>
                <w:szCs w:val="20"/>
                <w:color w:val="auto"/>
              </w:rPr>
            </w:pPr>
            <w:r>
              <w:rPr>
                <w:rFonts w:ascii="Arial" w:cs="Arial" w:eastAsia="Arial" w:hAnsi="Arial"/>
                <w:sz w:val="20"/>
                <w:szCs w:val="20"/>
                <w:color w:val="auto"/>
              </w:rPr>
              <w:t>Three Months Ended</w:t>
            </w:r>
          </w:p>
        </w:tc>
        <w:tc>
          <w:tcPr>
            <w:tcW w:w="280" w:type="dxa"/>
            <w:vAlign w:val="bottom"/>
          </w:tcPr>
          <w:p>
            <w:pPr>
              <w:spacing w:after="0"/>
              <w:rPr>
                <w:sz w:val="21"/>
                <w:szCs w:val="21"/>
                <w:color w:val="auto"/>
              </w:rPr>
            </w:pPr>
          </w:p>
        </w:tc>
        <w:tc>
          <w:tcPr>
            <w:tcW w:w="2700" w:type="dxa"/>
            <w:vAlign w:val="bottom"/>
            <w:gridSpan w:val="5"/>
          </w:tcPr>
          <w:p>
            <w:pPr>
              <w:ind w:left="420"/>
              <w:spacing w:after="0"/>
              <w:rPr>
                <w:sz w:val="20"/>
                <w:szCs w:val="20"/>
                <w:color w:val="auto"/>
              </w:rPr>
            </w:pPr>
            <w:r>
              <w:rPr>
                <w:rFonts w:ascii="Arial" w:cs="Arial" w:eastAsia="Arial" w:hAnsi="Arial"/>
                <w:sz w:val="20"/>
                <w:szCs w:val="20"/>
                <w:color w:val="auto"/>
              </w:rPr>
              <w:t>Six Months Ended</w:t>
            </w:r>
          </w:p>
        </w:tc>
        <w:tc>
          <w:tcPr>
            <w:tcW w:w="0" w:type="dxa"/>
            <w:vAlign w:val="bottom"/>
          </w:tcPr>
          <w:p>
            <w:pPr>
              <w:spacing w:after="0"/>
              <w:rPr>
                <w:sz w:val="1"/>
                <w:szCs w:val="1"/>
                <w:color w:val="auto"/>
              </w:rPr>
            </w:pPr>
          </w:p>
        </w:tc>
      </w:tr>
      <w:tr>
        <w:trPr>
          <w:trHeight w:val="246"/>
        </w:trPr>
        <w:tc>
          <w:tcPr>
            <w:tcW w:w="5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20"/>
                <w:szCs w:val="20"/>
                <w:color w:val="auto"/>
              </w:rPr>
              <w:t>June 30,</w:t>
            </w:r>
          </w:p>
        </w:tc>
        <w:tc>
          <w:tcPr>
            <w:tcW w:w="9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2021</w:t>
            </w:r>
          </w:p>
        </w:tc>
        <w:tc>
          <w:tcPr>
            <w:tcW w:w="2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2021</w:t>
            </w:r>
          </w:p>
        </w:tc>
        <w:tc>
          <w:tcPr>
            <w:tcW w:w="3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West Group - Aggregates:</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200" w:type="dxa"/>
            <w:vAlign w:val="bottom"/>
          </w:tcPr>
          <w:p>
            <w:pPr>
              <w:spacing w:after="0"/>
              <w:rPr>
                <w:sz w:val="20"/>
                <w:szCs w:val="20"/>
                <w:color w:val="auto"/>
              </w:rPr>
            </w:pPr>
            <w:r>
              <w:rPr>
                <w:rFonts w:ascii="Arial" w:cs="Arial" w:eastAsia="Arial" w:hAnsi="Arial"/>
                <w:sz w:val="20"/>
                <w:szCs w:val="20"/>
                <w:color w:val="auto"/>
              </w:rPr>
              <w:t>Reported average selling price</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14.03</w:t>
            </w:r>
          </w:p>
        </w:tc>
        <w:tc>
          <w:tcPr>
            <w:tcW w:w="260" w:type="dxa"/>
            <w:vAlign w:val="bottom"/>
          </w:tcPr>
          <w:p>
            <w:pPr>
              <w:spacing w:after="0"/>
              <w:rPr>
                <w:sz w:val="24"/>
                <w:szCs w:val="2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13.93</w:t>
            </w:r>
          </w:p>
        </w:tc>
        <w:tc>
          <w:tcPr>
            <w:tcW w:w="240" w:type="dxa"/>
            <w:vAlign w:val="bottom"/>
          </w:tcPr>
          <w:p>
            <w:pPr>
              <w:spacing w:after="0"/>
              <w:rPr>
                <w:sz w:val="24"/>
                <w:szCs w:val="24"/>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13.93</w:t>
            </w:r>
          </w:p>
        </w:tc>
        <w:tc>
          <w:tcPr>
            <w:tcW w:w="32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13.75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20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20"/>
                <w:szCs w:val="20"/>
                <w:color w:val="auto"/>
              </w:rPr>
              <w:t>Adjustment for unfavorable impact of product,</w:t>
            </w:r>
          </w:p>
        </w:tc>
        <w:tc>
          <w:tcPr>
            <w:tcW w:w="26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2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geographic and other mix</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0.24</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0.18</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2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Mix-adjusted ASP</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14.27</w:t>
            </w:r>
          </w:p>
        </w:tc>
        <w:tc>
          <w:tcPr>
            <w:tcW w:w="2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14.11</w:t>
            </w:r>
          </w:p>
        </w:tc>
        <w:tc>
          <w:tcPr>
            <w:tcW w:w="32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9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Pr>
          <w:p>
            <w:pPr>
              <w:spacing w:after="0"/>
              <w:rPr>
                <w:sz w:val="20"/>
                <w:szCs w:val="20"/>
                <w:color w:val="auto"/>
              </w:rPr>
            </w:pPr>
            <w:r>
              <w:rPr>
                <w:rFonts w:ascii="Arial" w:cs="Arial" w:eastAsia="Arial" w:hAnsi="Arial"/>
                <w:sz w:val="20"/>
                <w:szCs w:val="20"/>
                <w:color w:val="auto"/>
              </w:rPr>
              <w:t>Reported average selling price variance</w:t>
            </w:r>
          </w:p>
        </w:tc>
        <w:tc>
          <w:tcPr>
            <w:tcW w:w="2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20"/>
                <w:szCs w:val="20"/>
                <w:color w:val="auto"/>
              </w:rPr>
              <w:t>0.7%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20"/>
                <w:szCs w:val="20"/>
                <w:color w:val="auto"/>
              </w:rPr>
              <w:t>1.3%</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20"/>
                <w:szCs w:val="20"/>
                <w:color w:val="auto"/>
              </w:rPr>
              <w:t>Mix-adjusted ASP variance</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line="224" w:lineRule="exact"/>
              <w:rPr>
                <w:sz w:val="20"/>
                <w:szCs w:val="20"/>
                <w:color w:val="auto"/>
              </w:rPr>
            </w:pPr>
            <w:r>
              <w:rPr>
                <w:rFonts w:ascii="Arial" w:cs="Arial" w:eastAsia="Arial" w:hAnsi="Arial"/>
                <w:sz w:val="20"/>
                <w:szCs w:val="20"/>
                <w:color w:val="auto"/>
              </w:rPr>
              <w:t>2.4%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line="224" w:lineRule="exact"/>
              <w:rPr>
                <w:sz w:val="20"/>
                <w:szCs w:val="20"/>
                <w:color w:val="auto"/>
              </w:rPr>
            </w:pPr>
            <w:r>
              <w:rPr>
                <w:rFonts w:ascii="Arial" w:cs="Arial" w:eastAsia="Arial" w:hAnsi="Arial"/>
                <w:sz w:val="20"/>
                <w:szCs w:val="20"/>
                <w:color w:val="auto"/>
              </w:rPr>
              <w:t>2.6%</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Cement:</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200" w:type="dxa"/>
            <w:vAlign w:val="bottom"/>
          </w:tcPr>
          <w:p>
            <w:pPr>
              <w:spacing w:after="0"/>
              <w:rPr>
                <w:sz w:val="20"/>
                <w:szCs w:val="20"/>
                <w:color w:val="auto"/>
              </w:rPr>
            </w:pPr>
            <w:r>
              <w:rPr>
                <w:rFonts w:ascii="Arial" w:cs="Arial" w:eastAsia="Arial" w:hAnsi="Arial"/>
                <w:sz w:val="20"/>
                <w:szCs w:val="20"/>
                <w:color w:val="auto"/>
              </w:rPr>
              <w:t>Reported average selling price</w:t>
            </w:r>
          </w:p>
        </w:tc>
        <w:tc>
          <w:tcPr>
            <w:tcW w:w="260" w:type="dxa"/>
            <w:vAlign w:val="bottom"/>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122.11</w:t>
            </w:r>
          </w:p>
        </w:tc>
        <w:tc>
          <w:tcPr>
            <w:tcW w:w="260" w:type="dxa"/>
            <w:vAlign w:val="bottom"/>
          </w:tcPr>
          <w:p>
            <w:pPr>
              <w:spacing w:after="0"/>
              <w:rPr>
                <w:sz w:val="24"/>
                <w:szCs w:val="2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114.34</w:t>
            </w:r>
          </w:p>
        </w:tc>
        <w:tc>
          <w:tcPr>
            <w:tcW w:w="240" w:type="dxa"/>
            <w:vAlign w:val="bottom"/>
          </w:tcPr>
          <w:p>
            <w:pPr>
              <w:spacing w:after="0"/>
              <w:rPr>
                <w:sz w:val="24"/>
                <w:szCs w:val="24"/>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118.80</w:t>
            </w:r>
          </w:p>
        </w:tc>
        <w:tc>
          <w:tcPr>
            <w:tcW w:w="32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114.06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20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20"/>
                <w:szCs w:val="20"/>
                <w:color w:val="auto"/>
              </w:rPr>
              <w:t>Adjustment for favorable impact of product,</w:t>
            </w:r>
          </w:p>
        </w:tc>
        <w:tc>
          <w:tcPr>
            <w:tcW w:w="26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2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geographic and other mix</w:t>
            </w: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(2.97)</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(1.30)</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2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Mix-adjusted ASP</w:t>
            </w: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119.14</w:t>
            </w:r>
          </w:p>
        </w:tc>
        <w:tc>
          <w:tcPr>
            <w:tcW w:w="2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117.50</w:t>
            </w:r>
          </w:p>
        </w:tc>
        <w:tc>
          <w:tcPr>
            <w:tcW w:w="320" w:type="dxa"/>
            <w:vAlign w:val="bottom"/>
            <w:tcBorders>
              <w:bottom w:val="single" w:sz="8" w:color="CFF0FC"/>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9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Pr>
          <w:p>
            <w:pPr>
              <w:spacing w:after="0"/>
              <w:rPr>
                <w:sz w:val="20"/>
                <w:szCs w:val="20"/>
                <w:color w:val="auto"/>
              </w:rPr>
            </w:pPr>
            <w:r>
              <w:rPr>
                <w:rFonts w:ascii="Arial" w:cs="Arial" w:eastAsia="Arial" w:hAnsi="Arial"/>
                <w:sz w:val="20"/>
                <w:szCs w:val="20"/>
                <w:color w:val="auto"/>
              </w:rPr>
              <w:t>Reported average selling price variance</w:t>
            </w:r>
          </w:p>
        </w:tc>
        <w:tc>
          <w:tcPr>
            <w:tcW w:w="2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20"/>
                <w:szCs w:val="20"/>
                <w:color w:val="auto"/>
              </w:rPr>
              <w:t>6.8%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20"/>
                <w:szCs w:val="20"/>
                <w:color w:val="auto"/>
              </w:rPr>
              <w:t>4.2%</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20"/>
                <w:szCs w:val="20"/>
                <w:color w:val="auto"/>
              </w:rPr>
              <w:t>Mix-adjusted ASP variance</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line="224" w:lineRule="exact"/>
              <w:rPr>
                <w:sz w:val="20"/>
                <w:szCs w:val="20"/>
                <w:color w:val="auto"/>
              </w:rPr>
            </w:pPr>
            <w:r>
              <w:rPr>
                <w:rFonts w:ascii="Arial" w:cs="Arial" w:eastAsia="Arial" w:hAnsi="Arial"/>
                <w:sz w:val="20"/>
                <w:szCs w:val="20"/>
                <w:color w:val="auto"/>
              </w:rPr>
              <w:t>4.2%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line="224" w:lineRule="exact"/>
              <w:rPr>
                <w:sz w:val="20"/>
                <w:szCs w:val="20"/>
                <w:color w:val="auto"/>
              </w:rPr>
            </w:pPr>
            <w:r>
              <w:rPr>
                <w:rFonts w:ascii="Arial" w:cs="Arial" w:eastAsia="Arial" w:hAnsi="Arial"/>
                <w:sz w:val="20"/>
                <w:szCs w:val="20"/>
                <w:color w:val="auto"/>
              </w:rPr>
              <w:t>3.0%</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Quarter Ended June 30,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Financial highlights for the quarter ended June 30, 2021 (unless noted, all comparisons are versus the prior-year quarter):</w:t>
      </w:r>
    </w:p>
    <w:p>
      <w:pPr>
        <w:spacing w:after="0" w:line="108"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total revenues of $1.38 billion compared with $1.27 billion</w:t>
      </w:r>
    </w:p>
    <w:p>
      <w:pPr>
        <w:spacing w:after="0" w:line="15" w:lineRule="exact"/>
        <w:rPr>
          <w:rFonts w:ascii="Arial" w:cs="Arial" w:eastAsia="Arial" w:hAnsi="Arial"/>
          <w:sz w:val="20"/>
          <w:szCs w:val="20"/>
          <w:color w:val="007DC6"/>
        </w:rPr>
      </w:pP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$1.23 billion compared with $1.14 billion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Magnesia Specialties products revenues of $70.0 million compared with $48.9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gross profit of $385.1 million compared with $380.5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Consolidated earnings from operations of $307.5 million compared with $306.4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$225.8 million compared with $217.6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Adjusted EBITDA of $439.2 million compared with $407.0 million</w:t>
      </w:r>
    </w:p>
    <w:p>
      <w:pPr>
        <w:ind w:left="740" w:hanging="368"/>
        <w:spacing w:after="0"/>
        <w:tabs>
          <w:tab w:leader="none" w:pos="740" w:val="left"/>
        </w:tabs>
        <w:numPr>
          <w:ilvl w:val="0"/>
          <w:numId w:val="12"/>
        </w:numPr>
        <w:rPr>
          <w:rFonts w:ascii="Arial" w:cs="Arial" w:eastAsia="Arial" w:hAnsi="Arial"/>
          <w:sz w:val="20"/>
          <w:szCs w:val="20"/>
          <w:color w:val="007DC6"/>
        </w:rPr>
      </w:pPr>
      <w:r>
        <w:rPr>
          <w:rFonts w:ascii="Arial" w:cs="Arial" w:eastAsia="Arial" w:hAnsi="Arial"/>
          <w:sz w:val="20"/>
          <w:szCs w:val="20"/>
          <w:color w:val="auto"/>
        </w:rPr>
        <w:t>Earnings per diluted share of $3.61 compared with $3.49</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following tables present total revenues, gross profit (loss), selling, general and administrative (SG&amp;A) expenses and earnings (loss) from operations data for the Company and its reportable segments by product line for the three months ended June 30, 2021 and 2020. In each case, the data is stated as a percentage of revenues of the Company or the relevant segment or product line, as the case may be.</w:t>
      </w:r>
    </w:p>
    <w:tbl>
      <w:tblPr>
        <w:tblLayout w:type="fixed"/>
        <w:tblInd w:w="0" w:type="dxa"/>
        <w:tblCellMar>
          <w:top w:w="0" w:type="dxa"/>
          <w:left w:w="0" w:type="dxa"/>
          <w:bottom w:w="0" w:type="dxa"/>
          <w:right w:w="0" w:type="dxa"/>
        </w:tblCellMar>
      </w:tblPr>
      <w:tr>
        <w:trPr>
          <w:trHeight w:val="239"/>
        </w:trPr>
        <w:tc>
          <w:tcPr>
            <w:tcW w:w="3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60" w:type="dxa"/>
            <w:vAlign w:val="bottom"/>
            <w:gridSpan w:val="5"/>
          </w:tcPr>
          <w:p>
            <w:pPr>
              <w:ind w:left="240"/>
              <w:spacing w:after="0"/>
              <w:rPr>
                <w:sz w:val="20"/>
                <w:szCs w:val="20"/>
                <w:color w:val="auto"/>
              </w:rPr>
            </w:pPr>
            <w:r>
              <w:rPr>
                <w:rFonts w:ascii="Arial" w:cs="Arial" w:eastAsia="Arial" w:hAnsi="Arial"/>
                <w:sz w:val="20"/>
                <w:szCs w:val="20"/>
                <w:color w:val="auto"/>
              </w:rPr>
              <w:t>Three Months Ended June 30,</w:t>
            </w:r>
          </w:p>
        </w:tc>
      </w:tr>
      <w:tr>
        <w:trPr>
          <w:trHeight w:val="237"/>
        </w:trPr>
        <w:tc>
          <w:tcPr>
            <w:tcW w:w="3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20"/>
                <w:szCs w:val="20"/>
                <w:color w:val="auto"/>
              </w:rPr>
              <w:t>2021</w:t>
            </w:r>
          </w:p>
        </w:tc>
        <w:tc>
          <w:tcPr>
            <w:tcW w:w="3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20"/>
                <w:szCs w:val="20"/>
                <w:color w:val="auto"/>
              </w:rPr>
              <w:t>2020</w:t>
            </w: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61"/>
              <w:spacing w:after="0"/>
              <w:rPr>
                <w:sz w:val="20"/>
                <w:szCs w:val="20"/>
                <w:color w:val="auto"/>
              </w:rPr>
            </w:pPr>
            <w:r>
              <w:rPr>
                <w:rFonts w:ascii="Arial" w:cs="Arial" w:eastAsia="Arial" w:hAnsi="Arial"/>
                <w:sz w:val="20"/>
                <w:szCs w:val="20"/>
                <w:color w:val="auto"/>
              </w:rPr>
              <w:t>Amount</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61"/>
              <w:spacing w:after="0"/>
              <w:rPr>
                <w:sz w:val="20"/>
                <w:szCs w:val="20"/>
                <w:color w:val="auto"/>
              </w:rPr>
            </w:pPr>
            <w:r>
              <w:rPr>
                <w:rFonts w:ascii="Arial" w:cs="Arial" w:eastAsia="Arial" w:hAnsi="Arial"/>
                <w:sz w:val="20"/>
                <w:szCs w:val="20"/>
                <w:color w:val="auto"/>
              </w:rPr>
              <w:t>Amount</w:t>
            </w:r>
          </w:p>
        </w:tc>
        <w:tc>
          <w:tcPr>
            <w:tcW w:w="1700" w:type="dxa"/>
            <w:vAlign w:val="bottom"/>
            <w:gridSpan w:val="2"/>
          </w:tcPr>
          <w:p>
            <w:pPr>
              <w:spacing w:after="0"/>
              <w:rPr>
                <w:sz w:val="20"/>
                <w:szCs w:val="20"/>
                <w:color w:val="auto"/>
              </w:rPr>
            </w:pPr>
          </w:p>
        </w:tc>
      </w:tr>
      <w:tr>
        <w:trPr>
          <w:trHeight w:val="236"/>
        </w:trPr>
        <w:tc>
          <w:tcPr>
            <w:tcW w:w="3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560" w:type="dxa"/>
            <w:vAlign w:val="bottom"/>
            <w:tcBorders>
              <w:top w:val="single" w:sz="8" w:color="auto"/>
            </w:tcBorders>
            <w:gridSpan w:val="4"/>
          </w:tcPr>
          <w:p>
            <w:pPr>
              <w:jc w:val="right"/>
              <w:ind w:right="2300"/>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r>
      <w:tr>
        <w:trPr>
          <w:trHeight w:val="243"/>
        </w:trPr>
        <w:tc>
          <w:tcPr>
            <w:tcW w:w="38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20"/>
                <w:szCs w:val="20"/>
                <w:color w:val="auto"/>
              </w:rPr>
              <w:t>East Group</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6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554.2</w:t>
            </w:r>
          </w:p>
        </w:tc>
        <w:tc>
          <w:tcPr>
            <w:tcW w:w="32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499.7</w:t>
            </w: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60" w:type="dxa"/>
            <w:vAlign w:val="bottom"/>
          </w:tcPr>
          <w:p>
            <w:pPr>
              <w:ind w:left="620"/>
              <w:spacing w:after="0"/>
              <w:rPr>
                <w:sz w:val="20"/>
                <w:szCs w:val="20"/>
                <w:color w:val="auto"/>
              </w:rPr>
            </w:pPr>
            <w:r>
              <w:rPr>
                <w:rFonts w:ascii="Arial" w:cs="Arial" w:eastAsia="Arial" w:hAnsi="Arial"/>
                <w:sz w:val="20"/>
                <w:szCs w:val="20"/>
                <w:color w:val="auto"/>
              </w:rPr>
              <w:t>Asphalt</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47.1</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gridSpan w:val="3"/>
          </w:tcPr>
          <w:p>
            <w:pPr>
              <w:jc w:val="right"/>
              <w:ind w:right="1720"/>
              <w:spacing w:after="0"/>
              <w:rPr>
                <w:sz w:val="20"/>
                <w:szCs w:val="20"/>
                <w:color w:val="auto"/>
              </w:rPr>
            </w:pPr>
            <w:r>
              <w:rPr>
                <w:rFonts w:ascii="Arial" w:cs="Arial" w:eastAsia="Arial" w:hAnsi="Arial"/>
                <w:sz w:val="20"/>
                <w:szCs w:val="20"/>
                <w:color w:val="auto"/>
              </w:rPr>
              <w:t>—</w:t>
            </w:r>
          </w:p>
        </w:tc>
      </w:tr>
      <w:tr>
        <w:trPr>
          <w:trHeight w:val="243"/>
        </w:trPr>
        <w:tc>
          <w:tcPr>
            <w:tcW w:w="3860" w:type="dxa"/>
            <w:vAlign w:val="bottom"/>
            <w:shd w:val="clear" w:color="auto" w:fill="CFF0FC"/>
          </w:tcPr>
          <w:p>
            <w:pPr>
              <w:ind w:left="620"/>
              <w:spacing w:after="0"/>
              <w:rPr>
                <w:sz w:val="20"/>
                <w:szCs w:val="20"/>
                <w:color w:val="auto"/>
              </w:rPr>
            </w:pPr>
            <w:r>
              <w:rPr>
                <w:rFonts w:ascii="Arial" w:cs="Arial" w:eastAsia="Arial" w:hAnsi="Arial"/>
                <w:sz w:val="20"/>
                <w:szCs w:val="20"/>
                <w:color w:val="auto"/>
              </w:rPr>
              <w:t>Less: Interproduct revenues</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(4.8)</w:t>
            </w: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40" w:type="dxa"/>
            <w:vAlign w:val="bottom"/>
            <w:gridSpan w:val="3"/>
            <w:shd w:val="clear" w:color="auto" w:fill="CFF0FC"/>
          </w:tcPr>
          <w:p>
            <w:pPr>
              <w:jc w:val="right"/>
              <w:ind w:right="1720"/>
              <w:spacing w:after="0"/>
              <w:rPr>
                <w:sz w:val="20"/>
                <w:szCs w:val="20"/>
                <w:color w:val="auto"/>
              </w:rPr>
            </w:pPr>
            <w:r>
              <w:rPr>
                <w:rFonts w:ascii="Arial" w:cs="Arial" w:eastAsia="Arial" w:hAnsi="Arial"/>
                <w:sz w:val="20"/>
                <w:szCs w:val="20"/>
                <w:color w:val="auto"/>
              </w:rPr>
              <w:t>—</w:t>
            </w:r>
          </w:p>
        </w:tc>
      </w:tr>
      <w:tr>
        <w:trPr>
          <w:trHeight w:val="237"/>
        </w:trPr>
        <w:tc>
          <w:tcPr>
            <w:tcW w:w="386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East Group Total</w:t>
            </w:r>
          </w:p>
        </w:tc>
        <w:tc>
          <w:tcPr>
            <w:tcW w:w="10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596.5</w:t>
            </w:r>
          </w:p>
        </w:tc>
        <w:tc>
          <w:tcPr>
            <w:tcW w:w="320" w:type="dxa"/>
            <w:vAlign w:val="bottom"/>
            <w:tcBorders>
              <w:bottom w:val="single" w:sz="8" w:color="CFF0FC"/>
            </w:tcBorders>
          </w:tcPr>
          <w:p>
            <w:pPr>
              <w:spacing w:after="0"/>
              <w:rPr>
                <w:sz w:val="20"/>
                <w:szCs w:val="20"/>
                <w:color w:val="auto"/>
              </w:rPr>
            </w:pPr>
          </w:p>
        </w:tc>
        <w:tc>
          <w:tcPr>
            <w:tcW w:w="160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499.7</w:t>
            </w:r>
          </w:p>
        </w:tc>
        <w:tc>
          <w:tcPr>
            <w:tcW w:w="16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7"/>
        </w:trPr>
        <w:tc>
          <w:tcPr>
            <w:tcW w:w="3860" w:type="dxa"/>
            <w:vAlign w:val="bottom"/>
            <w:shd w:val="clear" w:color="auto" w:fill="CFF0FC"/>
          </w:tcPr>
          <w:p>
            <w:pPr>
              <w:ind w:left="380"/>
              <w:spacing w:after="0"/>
              <w:rPr>
                <w:sz w:val="20"/>
                <w:szCs w:val="20"/>
                <w:color w:val="auto"/>
              </w:rPr>
            </w:pPr>
            <w:r>
              <w:rPr>
                <w:rFonts w:ascii="Arial" w:cs="Arial" w:eastAsia="Arial" w:hAnsi="Arial"/>
                <w:sz w:val="20"/>
                <w:szCs w:val="20"/>
                <w:color w:val="auto"/>
              </w:rPr>
              <w:t>West Group</w:t>
            </w: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86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247.6</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255.2</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60" w:type="dxa"/>
            <w:vAlign w:val="bottom"/>
            <w:shd w:val="clear" w:color="auto" w:fill="CFF0FC"/>
          </w:tcPr>
          <w:p>
            <w:pPr>
              <w:ind w:left="620"/>
              <w:spacing w:after="0"/>
              <w:rPr>
                <w:sz w:val="20"/>
                <w:szCs w:val="20"/>
                <w:color w:val="auto"/>
              </w:rPr>
            </w:pPr>
            <w:r>
              <w:rPr>
                <w:rFonts w:ascii="Arial" w:cs="Arial" w:eastAsia="Arial" w:hAnsi="Arial"/>
                <w:sz w:val="20"/>
                <w:szCs w:val="20"/>
                <w:color w:val="auto"/>
              </w:rPr>
              <w:t>Cement</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116.5</w:t>
            </w: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109.5</w:t>
            </w: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60" w:type="dxa"/>
            <w:vAlign w:val="bottom"/>
          </w:tcPr>
          <w:p>
            <w:pPr>
              <w:ind w:left="620"/>
              <w:spacing w:after="0"/>
              <w:rPr>
                <w:sz w:val="20"/>
                <w:szCs w:val="20"/>
                <w:color w:val="auto"/>
              </w:rPr>
            </w:pPr>
            <w:r>
              <w:rPr>
                <w:rFonts w:ascii="Arial" w:cs="Arial" w:eastAsia="Arial" w:hAnsi="Arial"/>
                <w:sz w:val="20"/>
                <w:szCs w:val="20"/>
                <w:color w:val="auto"/>
              </w:rPr>
              <w:t>Ready mixed concrete</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268.4</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245.1</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6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Asphalt and paving</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88.2</w:t>
            </w: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107.0</w:t>
            </w: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60" w:type="dxa"/>
            <w:vAlign w:val="bottom"/>
          </w:tcPr>
          <w:p>
            <w:pPr>
              <w:ind w:left="620"/>
              <w:spacing w:after="0"/>
              <w:rPr>
                <w:sz w:val="20"/>
                <w:szCs w:val="20"/>
                <w:color w:val="auto"/>
              </w:rPr>
            </w:pPr>
            <w:r>
              <w:rPr>
                <w:rFonts w:ascii="Arial" w:cs="Arial" w:eastAsia="Arial" w:hAnsi="Arial"/>
                <w:sz w:val="20"/>
                <w:szCs w:val="20"/>
                <w:color w:val="auto"/>
              </w:rPr>
              <w:t>Less: Interproduct revenues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20"/>
                <w:szCs w:val="20"/>
                <w:color w:val="auto"/>
              </w:rPr>
              <w:t>(91.9)</w:t>
            </w: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gridSpan w:val="2"/>
          </w:tcPr>
          <w:p>
            <w:pPr>
              <w:jc w:val="right"/>
              <w:ind w:right="1540"/>
              <w:spacing w:after="0"/>
              <w:rPr>
                <w:sz w:val="20"/>
                <w:szCs w:val="20"/>
                <w:color w:val="auto"/>
              </w:rPr>
            </w:pPr>
            <w:r>
              <w:rPr>
                <w:rFonts w:ascii="Arial" w:cs="Arial" w:eastAsia="Arial" w:hAnsi="Arial"/>
                <w:sz w:val="20"/>
                <w:szCs w:val="20"/>
                <w:color w:val="auto"/>
              </w:rPr>
              <w:t>(75.9)</w:t>
            </w:r>
          </w:p>
        </w:tc>
        <w:tc>
          <w:tcPr>
            <w:tcW w:w="100" w:type="dxa"/>
            <w:vAlign w:val="bottom"/>
          </w:tcPr>
          <w:p>
            <w:pPr>
              <w:spacing w:after="0"/>
              <w:rPr>
                <w:sz w:val="21"/>
                <w:szCs w:val="21"/>
                <w:color w:val="auto"/>
              </w:rPr>
            </w:pPr>
          </w:p>
        </w:tc>
      </w:tr>
      <w:tr>
        <w:trPr>
          <w:trHeight w:val="236"/>
        </w:trPr>
        <w:tc>
          <w:tcPr>
            <w:tcW w:w="38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West Group Total</w:t>
            </w:r>
          </w:p>
        </w:tc>
        <w:tc>
          <w:tcPr>
            <w:tcW w:w="10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628.8</w:t>
            </w:r>
          </w:p>
        </w:tc>
        <w:tc>
          <w:tcPr>
            <w:tcW w:w="320" w:type="dxa"/>
            <w:vAlign w:val="bottom"/>
            <w:tcBorders>
              <w:top w:val="single" w:sz="8" w:color="CFF0FC"/>
            </w:tcBorders>
            <w:shd w:val="clear" w:color="auto" w:fill="CFF0FC"/>
          </w:tcPr>
          <w:p>
            <w:pPr>
              <w:spacing w:after="0"/>
              <w:rPr>
                <w:sz w:val="20"/>
                <w:szCs w:val="20"/>
                <w:color w:val="auto"/>
              </w:rPr>
            </w:pPr>
          </w:p>
        </w:tc>
        <w:tc>
          <w:tcPr>
            <w:tcW w:w="16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640.9</w:t>
            </w:r>
          </w:p>
        </w:tc>
        <w:tc>
          <w:tcPr>
            <w:tcW w:w="16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7"/>
        </w:trPr>
        <w:tc>
          <w:tcPr>
            <w:tcW w:w="386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1,225.3</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1,140.6</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8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10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76.8</w:t>
            </w: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76.4</w:t>
            </w: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8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Building Materials business</w:t>
            </w:r>
          </w:p>
        </w:tc>
        <w:tc>
          <w:tcPr>
            <w:tcW w:w="10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1,302.1</w:t>
            </w:r>
          </w:p>
        </w:tc>
        <w:tc>
          <w:tcPr>
            <w:tcW w:w="320" w:type="dxa"/>
            <w:vAlign w:val="bottom"/>
            <w:tcBorders>
              <w:bottom w:val="single" w:sz="8" w:color="CFF0FC"/>
            </w:tcBorders>
          </w:tcPr>
          <w:p>
            <w:pPr>
              <w:spacing w:after="0"/>
              <w:rPr>
                <w:sz w:val="20"/>
                <w:szCs w:val="20"/>
                <w:color w:val="auto"/>
              </w:rPr>
            </w:pPr>
          </w:p>
        </w:tc>
        <w:tc>
          <w:tcPr>
            <w:tcW w:w="16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1,217.0</w:t>
            </w:r>
          </w:p>
        </w:tc>
        <w:tc>
          <w:tcPr>
            <w:tcW w:w="16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7"/>
        </w:trPr>
        <w:tc>
          <w:tcPr>
            <w:tcW w:w="386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20"/>
                <w:szCs w:val="20"/>
                <w:color w:val="auto"/>
              </w:rPr>
              <w:t>Products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70.0</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48.9</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10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w:t>
            </w: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w:t>
            </w: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8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w:t>
            </w:r>
          </w:p>
        </w:tc>
        <w:tc>
          <w:tcPr>
            <w:tcW w:w="10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75.8</w:t>
            </w:r>
          </w:p>
        </w:tc>
        <w:tc>
          <w:tcPr>
            <w:tcW w:w="320" w:type="dxa"/>
            <w:vAlign w:val="bottom"/>
            <w:tcBorders>
              <w:bottom w:val="single" w:sz="8" w:color="CFF0FC"/>
            </w:tcBorders>
          </w:tcPr>
          <w:p>
            <w:pPr>
              <w:spacing w:after="0"/>
              <w:rPr>
                <w:sz w:val="20"/>
                <w:szCs w:val="20"/>
                <w:color w:val="auto"/>
              </w:rPr>
            </w:pPr>
          </w:p>
        </w:tc>
        <w:tc>
          <w:tcPr>
            <w:tcW w:w="16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53.6</w:t>
            </w:r>
          </w:p>
        </w:tc>
        <w:tc>
          <w:tcPr>
            <w:tcW w:w="16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6"/>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1,377.9</w:t>
            </w:r>
          </w:p>
        </w:tc>
        <w:tc>
          <w:tcPr>
            <w:tcW w:w="32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1,270.6</w:t>
            </w:r>
          </w:p>
        </w:tc>
        <w:tc>
          <w:tcPr>
            <w:tcW w:w="16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20"/>
                <w:szCs w:val="20"/>
                <w:color w:val="auto"/>
                <w:w w:val="94"/>
              </w:rPr>
              <w:t>Three Months Ended June 30,</w:t>
            </w: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2021</w:t>
            </w:r>
          </w:p>
        </w:tc>
        <w:tc>
          <w:tcPr>
            <w:tcW w:w="1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2020</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6"/>
              </w:rPr>
              <w:t>% of Revenues</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6"/>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300" w:type="dxa"/>
            <w:vAlign w:val="bottom"/>
            <w:vMerge w:val="restart"/>
          </w:tcPr>
          <w:p>
            <w:pPr>
              <w:spacing w:after="0"/>
              <w:rPr>
                <w:sz w:val="20"/>
                <w:szCs w:val="20"/>
                <w:color w:val="auto"/>
              </w:rPr>
            </w:pPr>
            <w:r>
              <w:rPr>
                <w:rFonts w:ascii="Arial" w:cs="Arial" w:eastAsia="Arial" w:hAnsi="Arial"/>
                <w:sz w:val="20"/>
                <w:szCs w:val="20"/>
                <w:b w:val="1"/>
                <w:bCs w:val="1"/>
                <w:color w:val="auto"/>
              </w:rPr>
              <w:t>Gross profit (loss):</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0" w:type="dxa"/>
            <w:vAlign w:val="bottom"/>
            <w:gridSpan w:val="7"/>
          </w:tcPr>
          <w:p>
            <w:pPr>
              <w:jc w:val="right"/>
              <w:ind w:right="1000"/>
              <w:spacing w:after="0"/>
              <w:rPr>
                <w:sz w:val="20"/>
                <w:szCs w:val="20"/>
                <w:color w:val="auto"/>
              </w:rPr>
            </w:pPr>
            <w:r>
              <w:rPr>
                <w:rFonts w:ascii="Arial" w:cs="Arial" w:eastAsia="Arial" w:hAnsi="Arial"/>
                <w:sz w:val="20"/>
                <w:szCs w:val="20"/>
                <w:i w:val="1"/>
                <w:iCs w:val="1"/>
                <w:color w:val="auto"/>
              </w:rPr>
              <w:t>(Dollars in Millions)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0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East Group</w:t>
            </w: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84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212.2</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38.3</w:t>
            </w:r>
          </w:p>
        </w:tc>
        <w:tc>
          <w:tcPr>
            <w:tcW w:w="46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194.0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Asphalt</w:t>
            </w: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430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East Group Total</w:t>
            </w:r>
          </w:p>
        </w:tc>
        <w:tc>
          <w:tcPr>
            <w:tcW w:w="60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224.0</w:t>
            </w:r>
          </w:p>
        </w:tc>
        <w:tc>
          <w:tcPr>
            <w:tcW w:w="38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37.5</w:t>
            </w:r>
          </w:p>
        </w:tc>
        <w:tc>
          <w:tcPr>
            <w:tcW w:w="2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194.0</w:t>
            </w:r>
          </w:p>
        </w:tc>
        <w:tc>
          <w:tcPr>
            <w:tcW w:w="30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38.8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West Group</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60.8</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24.6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74.0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Cement</w:t>
            </w: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36.1</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43.4</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620"/>
              <w:spacing w:after="0"/>
              <w:rPr>
                <w:sz w:val="20"/>
                <w:szCs w:val="20"/>
                <w:color w:val="auto"/>
              </w:rPr>
            </w:pPr>
            <w:r>
              <w:rPr>
                <w:rFonts w:ascii="Arial" w:cs="Arial" w:eastAsia="Arial" w:hAnsi="Arial"/>
                <w:sz w:val="20"/>
                <w:szCs w:val="20"/>
                <w:color w:val="auto"/>
              </w:rPr>
              <w:t>Ready mixed concrete</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19.1</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7.1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26.1</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Asphalt and paving</w:t>
            </w:r>
          </w:p>
        </w:tc>
        <w:tc>
          <w:tcPr>
            <w:tcW w:w="6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16.9</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19.2</w:t>
            </w: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21.9</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0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West Group Total</w:t>
            </w:r>
          </w:p>
        </w:tc>
        <w:tc>
          <w:tcPr>
            <w:tcW w:w="6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132.9</w:t>
            </w:r>
          </w:p>
        </w:tc>
        <w:tc>
          <w:tcPr>
            <w:tcW w:w="38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21.1</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165.4</w:t>
            </w:r>
          </w:p>
        </w:tc>
        <w:tc>
          <w:tcPr>
            <w:tcW w:w="30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25.8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356.9</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359.4</w:t>
            </w: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40"/>
              <w:spacing w:after="0"/>
              <w:rPr>
                <w:sz w:val="20"/>
                <w:szCs w:val="20"/>
                <w:color w:val="auto"/>
              </w:rPr>
            </w:pPr>
            <w:r>
              <w:rPr>
                <w:rFonts w:ascii="Arial" w:cs="Arial" w:eastAsia="Arial" w:hAnsi="Arial"/>
                <w:sz w:val="20"/>
                <w:szCs w:val="20"/>
                <w:color w:val="auto"/>
              </w:rPr>
              <w:t>Freight</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0.7</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20"/>
                <w:szCs w:val="20"/>
                <w:color w:val="auto"/>
              </w:rPr>
              <w:t>(0.3)</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357.6</w:t>
            </w:r>
          </w:p>
        </w:tc>
        <w:tc>
          <w:tcPr>
            <w:tcW w:w="38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27.5</w:t>
            </w:r>
          </w:p>
        </w:tc>
        <w:tc>
          <w:tcPr>
            <w:tcW w:w="24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359.1</w:t>
            </w:r>
          </w:p>
        </w:tc>
        <w:tc>
          <w:tcPr>
            <w:tcW w:w="30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29.5</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r>
              <w:rPr>
                <w:rFonts w:ascii="Arial" w:cs="Arial" w:eastAsia="Arial" w:hAnsi="Arial"/>
                <w:sz w:val="20"/>
                <w:szCs w:val="20"/>
                <w:color w:val="auto"/>
              </w:rPr>
              <w:t>Magnesia Specialties: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w:t>
            </w: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18.2</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40"/>
              <w:spacing w:after="0"/>
              <w:rPr>
                <w:sz w:val="20"/>
                <w:szCs w:val="20"/>
                <w:color w:val="auto"/>
              </w:rPr>
            </w:pPr>
            <w:r>
              <w:rPr>
                <w:rFonts w:ascii="Arial" w:cs="Arial" w:eastAsia="Arial" w:hAnsi="Arial"/>
                <w:sz w:val="20"/>
                <w:szCs w:val="20"/>
                <w:color w:val="auto"/>
              </w:rPr>
              <w:t>Freight</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20"/>
                <w:szCs w:val="20"/>
                <w:color w:val="auto"/>
              </w:rPr>
              <w:t>(0.9)</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20"/>
                <w:szCs w:val="20"/>
                <w:color w:val="auto"/>
              </w:rPr>
              <w:t>(1.3)</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6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27.0</w:t>
            </w:r>
          </w:p>
        </w:tc>
        <w:tc>
          <w:tcPr>
            <w:tcW w:w="38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35.6</w:t>
            </w:r>
          </w:p>
        </w:tc>
        <w:tc>
          <w:tcPr>
            <w:tcW w:w="24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16.9</w:t>
            </w:r>
          </w:p>
        </w:tc>
        <w:tc>
          <w:tcPr>
            <w:tcW w:w="30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31.5</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6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w:t>
            </w:r>
          </w:p>
        </w:tc>
        <w:tc>
          <w:tcPr>
            <w:tcW w:w="38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4.5</w:t>
            </w:r>
          </w:p>
        </w:tc>
        <w:tc>
          <w:tcPr>
            <w:tcW w:w="30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6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385.1</w:t>
            </w: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27.9</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380.5</w:t>
            </w:r>
          </w:p>
        </w:tc>
        <w:tc>
          <w:tcPr>
            <w:tcW w:w="3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20"/>
                <w:szCs w:val="20"/>
                <w:i w:val="1"/>
                <w:iCs w:val="1"/>
                <w:color w:val="auto"/>
              </w:rPr>
              <w:t>Aggregates Products Gross Profit Rollforward</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940" w:type="dxa"/>
            <w:vAlign w:val="bottom"/>
            <w:gridSpan w:val="6"/>
          </w:tcPr>
          <w:p>
            <w:pPr>
              <w:spacing w:after="0"/>
              <w:rPr>
                <w:sz w:val="20"/>
                <w:szCs w:val="20"/>
                <w:color w:val="auto"/>
              </w:rPr>
            </w:pPr>
            <w:r>
              <w:rPr>
                <w:rFonts w:ascii="Arial" w:cs="Arial" w:eastAsia="Arial" w:hAnsi="Arial"/>
                <w:sz w:val="20"/>
                <w:szCs w:val="20"/>
                <w:color w:val="auto"/>
                <w:w w:val="98"/>
              </w:rPr>
              <w:t>The following presents a rollforward of aggregates products gross profit (dollars in millions):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140" w:type="dxa"/>
            <w:vAlign w:val="bottom"/>
            <w:gridSpan w:val="3"/>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140" w:type="dxa"/>
            <w:vAlign w:val="bottom"/>
            <w:gridSpan w:val="3"/>
            <w:shd w:val="clear" w:color="auto" w:fill="CFF0FC"/>
          </w:tcPr>
          <w:p>
            <w:pPr>
              <w:spacing w:after="0"/>
              <w:rPr>
                <w:sz w:val="20"/>
                <w:szCs w:val="20"/>
                <w:color w:val="auto"/>
              </w:rPr>
            </w:pPr>
            <w:r>
              <w:rPr>
                <w:rFonts w:ascii="Arial" w:cs="Arial" w:eastAsia="Arial" w:hAnsi="Arial"/>
                <w:sz w:val="20"/>
                <w:szCs w:val="20"/>
                <w:color w:val="auto"/>
                <w:w w:val="91"/>
              </w:rPr>
              <w:t>Aggregates products gross profit, quarter ended June 30, 2020</w:t>
            </w: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32"/>
              <w:spacing w:after="0"/>
              <w:rPr>
                <w:sz w:val="20"/>
                <w:szCs w:val="20"/>
                <w:color w:val="auto"/>
              </w:rPr>
            </w:pPr>
            <w:r>
              <w:rPr>
                <w:rFonts w:ascii="Arial" w:cs="Arial" w:eastAsia="Arial" w:hAnsi="Arial"/>
                <w:sz w:val="20"/>
                <w:szCs w:val="20"/>
                <w:color w:val="auto"/>
              </w:rPr>
              <w:t>$</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00" w:type="dxa"/>
            <w:vAlign w:val="bottom"/>
          </w:tcPr>
          <w:p>
            <w:pPr>
              <w:ind w:left="260"/>
              <w:spacing w:after="0"/>
              <w:rPr>
                <w:sz w:val="20"/>
                <w:szCs w:val="20"/>
                <w:color w:val="auto"/>
              </w:rPr>
            </w:pPr>
            <w:r>
              <w:rPr>
                <w:rFonts w:ascii="Arial" w:cs="Arial" w:eastAsia="Arial" w:hAnsi="Arial"/>
                <w:sz w:val="20"/>
                <w:szCs w:val="20"/>
                <w:color w:val="auto"/>
              </w:rPr>
              <w:t>Volume</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Pricing</w:t>
            </w:r>
          </w:p>
        </w:tc>
        <w:tc>
          <w:tcPr>
            <w:tcW w:w="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60"/>
              <w:spacing w:after="0"/>
              <w:rPr>
                <w:sz w:val="20"/>
                <w:szCs w:val="20"/>
                <w:color w:val="auto"/>
              </w:rPr>
            </w:pPr>
            <w:r>
              <w:rPr>
                <w:rFonts w:ascii="Arial" w:cs="Arial" w:eastAsia="Arial" w:hAnsi="Arial"/>
                <w:sz w:val="20"/>
                <w:szCs w:val="20"/>
                <w:color w:val="auto"/>
              </w:rPr>
              <w:t xml:space="preserve">Operational performance </w:t>
            </w:r>
            <w:r>
              <w:rPr>
                <w:rFonts w:ascii="Arial" w:cs="Arial" w:eastAsia="Arial" w:hAnsi="Arial"/>
                <w:sz w:val="16"/>
                <w:szCs w:val="16"/>
                <w:color w:val="auto"/>
              </w:rPr>
              <w:t>(1)</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(34.3)</w:t>
            </w:r>
          </w:p>
        </w:tc>
        <w:tc>
          <w:tcPr>
            <w:tcW w:w="0" w:type="dxa"/>
            <w:vAlign w:val="bottom"/>
          </w:tcPr>
          <w:p>
            <w:pPr>
              <w:spacing w:after="0"/>
              <w:rPr>
                <w:sz w:val="1"/>
                <w:szCs w:val="1"/>
                <w:color w:val="auto"/>
              </w:rPr>
            </w:pPr>
          </w:p>
        </w:tc>
      </w:tr>
      <w:tr>
        <w:trPr>
          <w:trHeight w:val="237"/>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Change in aggregates products gross profit</w:t>
            </w:r>
          </w:p>
        </w:tc>
        <w:tc>
          <w:tcPr>
            <w:tcW w:w="6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12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7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gridSpan w:val="3"/>
          </w:tcPr>
          <w:p>
            <w:pPr>
              <w:spacing w:after="0"/>
              <w:rPr>
                <w:sz w:val="20"/>
                <w:szCs w:val="20"/>
                <w:color w:val="auto"/>
              </w:rPr>
            </w:pPr>
            <w:r>
              <w:rPr>
                <w:rFonts w:ascii="Arial" w:cs="Arial" w:eastAsia="Arial" w:hAnsi="Arial"/>
                <w:sz w:val="20"/>
                <w:szCs w:val="20"/>
                <w:color w:val="auto"/>
                <w:w w:val="91"/>
              </w:rPr>
              <w:t>Aggregates products gross profit, quarter ended June 30, 2021</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400" w:type="dxa"/>
            <w:vAlign w:val="bottom"/>
          </w:tcPr>
          <w:p>
            <w:pPr>
              <w:jc w:val="right"/>
              <w:ind w:right="232"/>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5"/>
          <w:szCs w:val="15"/>
          <w:i w:val="1"/>
          <w:iCs w:val="1"/>
          <w:color w:val="auto"/>
        </w:rPr>
      </w:pPr>
      <w:r>
        <w:rPr>
          <w:rFonts w:ascii="Arial" w:cs="Arial" w:eastAsia="Arial" w:hAnsi="Arial"/>
          <w:sz w:val="18"/>
          <w:szCs w:val="18"/>
          <w:i w:val="1"/>
          <w:iCs w:val="1"/>
          <w:color w:val="auto"/>
        </w:rPr>
        <w:t>Inclusive of cost increases/decreases, product and geographic mix and other operating impacts</w:t>
      </w:r>
    </w:p>
    <w:p>
      <w:pPr>
        <w:spacing w:after="0" w:line="200" w:lineRule="exact"/>
        <w:rPr>
          <w:rFonts w:ascii="Arial" w:cs="Arial" w:eastAsia="Arial" w:hAnsi="Arial"/>
          <w:sz w:val="15"/>
          <w:szCs w:val="15"/>
          <w:i w:val="1"/>
          <w:iCs w:val="1"/>
          <w:color w:val="auto"/>
        </w:rPr>
      </w:pPr>
    </w:p>
    <w:p>
      <w:pPr>
        <w:spacing w:after="0" w:line="360" w:lineRule="exact"/>
        <w:rPr>
          <w:rFonts w:ascii="Arial" w:cs="Arial" w:eastAsia="Arial" w:hAnsi="Arial"/>
          <w:sz w:val="15"/>
          <w:szCs w:val="15"/>
          <w:i w:val="1"/>
          <w:iCs w:val="1"/>
          <w:color w:val="auto"/>
        </w:rPr>
      </w:pPr>
    </w:p>
    <w:p>
      <w:pPr>
        <w:ind w:left="5080"/>
        <w:spacing w:after="0"/>
        <w:rPr>
          <w:rFonts w:ascii="Arial" w:cs="Arial" w:eastAsia="Arial" w:hAnsi="Arial"/>
          <w:sz w:val="15"/>
          <w:szCs w:val="15"/>
          <w:i w:val="1"/>
          <w:iCs w:val="1"/>
          <w:color w:val="auto"/>
        </w:rPr>
      </w:pPr>
      <w:r>
        <w:rPr>
          <w:rFonts w:ascii="Arial" w:cs="Arial" w:eastAsia="Arial" w:hAnsi="Arial"/>
          <w:sz w:val="20"/>
          <w:szCs w:val="20"/>
          <w:color w:val="auto"/>
        </w:rPr>
        <w:t>Page 32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20"/>
                <w:szCs w:val="20"/>
                <w:color w:val="auto"/>
                <w:w w:val="91"/>
              </w:rPr>
              <w:t>Three Months Ended June 30,</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2021</w:t>
            </w:r>
          </w:p>
        </w:tc>
        <w:tc>
          <w:tcPr>
            <w:tcW w:w="1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2020</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0"/>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center"/>
              <w:ind w:right="61"/>
              <w:spacing w:after="0" w:line="220" w:lineRule="exact"/>
              <w:rPr>
                <w:sz w:val="20"/>
                <w:szCs w:val="20"/>
                <w:color w:val="auto"/>
              </w:rPr>
            </w:pPr>
            <w:r>
              <w:rPr>
                <w:rFonts w:ascii="Arial" w:cs="Arial" w:eastAsia="Arial" w:hAnsi="Arial"/>
                <w:sz w:val="20"/>
                <w:szCs w:val="20"/>
                <w:color w:val="auto"/>
                <w:w w:val="94"/>
              </w:rPr>
              <w:t>% of</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center"/>
              <w:ind w:right="101"/>
              <w:spacing w:after="0" w:line="220" w:lineRule="exact"/>
              <w:rPr>
                <w:sz w:val="20"/>
                <w:szCs w:val="20"/>
                <w:color w:val="auto"/>
              </w:rPr>
            </w:pPr>
            <w:r>
              <w:rPr>
                <w:rFonts w:ascii="Arial" w:cs="Arial" w:eastAsia="Arial" w:hAnsi="Arial"/>
                <w:sz w:val="20"/>
                <w:szCs w:val="20"/>
                <w:color w:val="auto"/>
                <w:w w:val="94"/>
              </w:rPr>
              <w:t>% of</w:t>
            </w:r>
          </w:p>
        </w:tc>
        <w:tc>
          <w:tcPr>
            <w:tcW w:w="120" w:type="dxa"/>
            <w:vAlign w:val="bottom"/>
          </w:tcPr>
          <w:p>
            <w:pPr>
              <w:spacing w:after="0"/>
              <w:rPr>
                <w:sz w:val="19"/>
                <w:szCs w:val="19"/>
                <w:color w:val="auto"/>
              </w:rPr>
            </w:pPr>
          </w:p>
        </w:tc>
      </w:tr>
      <w:tr>
        <w:trPr>
          <w:trHeight w:val="246"/>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20"/>
                <w:szCs w:val="20"/>
                <w:color w:val="auto"/>
              </w:rPr>
              <w:t>Amount</w:t>
            </w:r>
          </w:p>
        </w:tc>
        <w:tc>
          <w:tcPr>
            <w:tcW w:w="1460" w:type="dxa"/>
            <w:vAlign w:val="bottom"/>
            <w:gridSpan w:val="2"/>
          </w:tcPr>
          <w:p>
            <w:pPr>
              <w:jc w:val="center"/>
              <w:ind w:right="380"/>
              <w:spacing w:after="0"/>
              <w:rPr>
                <w:sz w:val="20"/>
                <w:szCs w:val="20"/>
                <w:color w:val="auto"/>
              </w:rPr>
            </w:pPr>
            <w:r>
              <w:rPr>
                <w:rFonts w:ascii="Arial" w:cs="Arial" w:eastAsia="Arial" w:hAnsi="Arial"/>
                <w:sz w:val="20"/>
                <w:szCs w:val="20"/>
                <w:color w:val="auto"/>
                <w:w w:val="84"/>
              </w:rPr>
              <w:t>Revenues</w:t>
            </w:r>
          </w:p>
        </w:tc>
        <w:tc>
          <w:tcPr>
            <w:tcW w:w="220" w:type="dxa"/>
            <w:vAlign w:val="bottom"/>
          </w:tcPr>
          <w:p>
            <w:pPr>
              <w:spacing w:after="0"/>
              <w:rPr>
                <w:sz w:val="21"/>
                <w:szCs w:val="21"/>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20"/>
                <w:szCs w:val="20"/>
                <w:color w:val="auto"/>
              </w:rPr>
              <w:t>Amount</w:t>
            </w:r>
          </w:p>
        </w:tc>
        <w:tc>
          <w:tcPr>
            <w:tcW w:w="1300" w:type="dxa"/>
            <w:vAlign w:val="bottom"/>
            <w:gridSpan w:val="2"/>
          </w:tcPr>
          <w:p>
            <w:pPr>
              <w:jc w:val="center"/>
              <w:ind w:right="300"/>
              <w:spacing w:after="0"/>
              <w:rPr>
                <w:sz w:val="20"/>
                <w:szCs w:val="20"/>
                <w:color w:val="auto"/>
              </w:rPr>
            </w:pPr>
            <w:r>
              <w:rPr>
                <w:rFonts w:ascii="Arial" w:cs="Arial" w:eastAsia="Arial" w:hAnsi="Arial"/>
                <w:sz w:val="20"/>
                <w:szCs w:val="20"/>
                <w:color w:val="auto"/>
                <w:w w:val="84"/>
              </w:rPr>
              <w:t>Revenues</w:t>
            </w:r>
          </w:p>
        </w:tc>
      </w:tr>
      <w:tr>
        <w:trPr>
          <w:trHeight w:val="237"/>
        </w:trPr>
        <w:tc>
          <w:tcPr>
            <w:tcW w:w="49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3240" w:type="dxa"/>
            <w:vAlign w:val="bottom"/>
            <w:tcBorders>
              <w:top w:val="single" w:sz="8" w:color="auto"/>
            </w:tcBorders>
            <w:gridSpan w:val="5"/>
            <w:shd w:val="clear" w:color="auto" w:fill="CFF0FC"/>
          </w:tcPr>
          <w:p>
            <w:pPr>
              <w:jc w:val="right"/>
              <w:ind w:right="1120"/>
              <w:spacing w:after="0"/>
              <w:rPr>
                <w:sz w:val="20"/>
                <w:szCs w:val="20"/>
                <w:color w:val="auto"/>
              </w:rPr>
            </w:pPr>
            <w:r>
              <w:rPr>
                <w:rFonts w:ascii="Arial" w:cs="Arial" w:eastAsia="Arial" w:hAnsi="Arial"/>
                <w:sz w:val="20"/>
                <w:szCs w:val="20"/>
                <w:i w:val="1"/>
                <w:iCs w:val="1"/>
                <w:color w:val="auto"/>
              </w:rPr>
              <w:t>(Dollars in Millions)</w:t>
            </w:r>
          </w:p>
        </w:tc>
        <w:tc>
          <w:tcPr>
            <w:tcW w:w="11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20"/>
                <w:szCs w:val="20"/>
                <w:color w:val="auto"/>
              </w:rPr>
              <w:t>East Group</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26.3</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24.4</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33.6</w:t>
            </w: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32.7</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59.9</w:t>
            </w: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57.1</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w:t>
            </w: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w:t>
            </w:r>
          </w:p>
        </w:tc>
        <w:tc>
          <w:tcPr>
            <w:tcW w:w="46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w:t>
            </w:r>
          </w:p>
        </w:tc>
        <w:tc>
          <w:tcPr>
            <w:tcW w:w="4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82.4</w:t>
            </w:r>
          </w:p>
        </w:tc>
        <w:tc>
          <w:tcPr>
            <w:tcW w:w="4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6.0</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71.2</w:t>
            </w:r>
          </w:p>
        </w:tc>
        <w:tc>
          <w:tcPr>
            <w:tcW w:w="4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Earnings (Loss) from operations: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East Group</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197.8</w:t>
            </w: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169.9</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101.8</w:t>
            </w:r>
          </w:p>
        </w:tc>
        <w:tc>
          <w:tcPr>
            <w:tcW w:w="46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133.2</w:t>
            </w:r>
          </w:p>
        </w:tc>
        <w:tc>
          <w:tcPr>
            <w:tcW w:w="4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299.6</w:t>
            </w: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303.1</w:t>
            </w:r>
          </w:p>
        </w:tc>
        <w:tc>
          <w:tcPr>
            <w:tcW w:w="4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color w:val="auto"/>
              </w:rPr>
              <w:t>Magnesia Specialties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23.1</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13.2</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2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80"/>
              <w:spacing w:after="0"/>
              <w:rPr>
                <w:sz w:val="20"/>
                <w:szCs w:val="20"/>
                <w:color w:val="auto"/>
              </w:rPr>
            </w:pPr>
            <w:r>
              <w:rPr>
                <w:rFonts w:ascii="Arial" w:cs="Arial" w:eastAsia="Arial" w:hAnsi="Arial"/>
                <w:sz w:val="20"/>
                <w:szCs w:val="20"/>
                <w:color w:val="auto"/>
              </w:rPr>
              <w:t>(15.2)</w:t>
            </w: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(9.9)</w:t>
            </w: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20"/>
                <w:szCs w:val="20"/>
                <w:color w:val="auto"/>
              </w:rPr>
              <w:t>Total</w:t>
            </w: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307.5</w:t>
            </w: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22.3</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306.4</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24.1</w:t>
            </w:r>
          </w:p>
        </w:tc>
        <w:tc>
          <w:tcPr>
            <w:tcW w:w="12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volume and pricing variance data and shipments data by segment: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20" w:type="dxa"/>
            <w:vAlign w:val="bottom"/>
          </w:tcPr>
          <w:p>
            <w:pPr>
              <w:spacing w:after="0"/>
              <w:rPr>
                <w:sz w:val="21"/>
                <w:szCs w:val="21"/>
                <w:color w:val="auto"/>
              </w:rPr>
            </w:pPr>
          </w:p>
        </w:tc>
        <w:tc>
          <w:tcPr>
            <w:tcW w:w="2840" w:type="dxa"/>
            <w:vAlign w:val="bottom"/>
            <w:gridSpan w:val="3"/>
          </w:tcPr>
          <w:p>
            <w:pPr>
              <w:jc w:val="center"/>
              <w:ind w:left="1081"/>
              <w:spacing w:after="0"/>
              <w:rPr>
                <w:sz w:val="20"/>
                <w:szCs w:val="20"/>
                <w:color w:val="auto"/>
              </w:rPr>
            </w:pPr>
            <w:r>
              <w:rPr>
                <w:rFonts w:ascii="Arial" w:cs="Arial" w:eastAsia="Arial" w:hAnsi="Arial"/>
                <w:sz w:val="20"/>
                <w:szCs w:val="20"/>
                <w:color w:val="auto"/>
                <w:w w:val="88"/>
              </w:rPr>
              <w:t>Three Months Ended</w:t>
            </w:r>
          </w:p>
        </w:tc>
        <w:tc>
          <w:tcPr>
            <w:tcW w:w="1380" w:type="dxa"/>
            <w:vAlign w:val="bottom"/>
          </w:tcPr>
          <w:p>
            <w:pPr>
              <w:spacing w:after="0"/>
              <w:rPr>
                <w:sz w:val="21"/>
                <w:szCs w:val="21"/>
                <w:color w:val="auto"/>
              </w:rPr>
            </w:pPr>
          </w:p>
        </w:tc>
      </w:tr>
      <w:tr>
        <w:trPr>
          <w:trHeight w:val="246"/>
        </w:trPr>
        <w:tc>
          <w:tcPr>
            <w:tcW w:w="7020" w:type="dxa"/>
            <w:vAlign w:val="bottom"/>
          </w:tcPr>
          <w:p>
            <w:pPr>
              <w:spacing w:after="0"/>
              <w:rPr>
                <w:sz w:val="21"/>
                <w:szCs w:val="21"/>
                <w:color w:val="auto"/>
              </w:rPr>
            </w:pPr>
          </w:p>
        </w:tc>
        <w:tc>
          <w:tcPr>
            <w:tcW w:w="2840" w:type="dxa"/>
            <w:vAlign w:val="bottom"/>
            <w:tcBorders>
              <w:bottom w:val="single" w:sz="8" w:color="auto"/>
            </w:tcBorders>
            <w:gridSpan w:val="3"/>
          </w:tcPr>
          <w:p>
            <w:pPr>
              <w:jc w:val="center"/>
              <w:ind w:left="1081"/>
              <w:spacing w:after="0"/>
              <w:rPr>
                <w:sz w:val="20"/>
                <w:szCs w:val="20"/>
                <w:color w:val="auto"/>
              </w:rPr>
            </w:pPr>
            <w:r>
              <w:rPr>
                <w:rFonts w:ascii="Arial" w:cs="Arial" w:eastAsia="Arial" w:hAnsi="Arial"/>
                <w:sz w:val="20"/>
                <w:szCs w:val="20"/>
                <w:color w:val="auto"/>
                <w:w w:val="86"/>
              </w:rPr>
              <w:t>June 30, 2021</w:t>
            </w:r>
          </w:p>
        </w:tc>
        <w:tc>
          <w:tcPr>
            <w:tcW w:w="1380" w:type="dxa"/>
            <w:vAlign w:val="bottom"/>
            <w:tcBorders>
              <w:bottom w:val="single" w:sz="8" w:color="auto"/>
            </w:tcBorders>
          </w:tcPr>
          <w:p>
            <w:pPr>
              <w:spacing w:after="0"/>
              <w:rPr>
                <w:sz w:val="21"/>
                <w:szCs w:val="21"/>
                <w:color w:val="auto"/>
              </w:rPr>
            </w:pPr>
          </w:p>
        </w:tc>
      </w:tr>
      <w:tr>
        <w:trPr>
          <w:trHeight w:val="237"/>
        </w:trPr>
        <w:tc>
          <w:tcPr>
            <w:tcW w:w="7020" w:type="dxa"/>
            <w:vAlign w:val="bottom"/>
          </w:tcPr>
          <w:p>
            <w:pPr>
              <w:spacing w:after="0"/>
              <w:rPr>
                <w:sz w:val="20"/>
                <w:szCs w:val="20"/>
                <w:color w:val="auto"/>
              </w:rPr>
            </w:pPr>
          </w:p>
        </w:tc>
        <w:tc>
          <w:tcPr>
            <w:tcW w:w="2840" w:type="dxa"/>
            <w:vAlign w:val="bottom"/>
            <w:gridSpan w:val="3"/>
          </w:tcPr>
          <w:p>
            <w:pPr>
              <w:ind w:left="580"/>
              <w:spacing w:after="0"/>
              <w:rPr>
                <w:sz w:val="20"/>
                <w:szCs w:val="20"/>
                <w:color w:val="auto"/>
              </w:rPr>
            </w:pPr>
            <w:r>
              <w:rPr>
                <w:rFonts w:ascii="Arial" w:cs="Arial" w:eastAsia="Arial" w:hAnsi="Arial"/>
                <w:sz w:val="20"/>
                <w:szCs w:val="20"/>
                <w:color w:val="auto"/>
              </w:rPr>
              <w:t>Volume</w:t>
            </w:r>
          </w:p>
        </w:tc>
        <w:tc>
          <w:tcPr>
            <w:tcW w:w="1380" w:type="dxa"/>
            <w:vAlign w:val="bottom"/>
          </w:tcPr>
          <w:p>
            <w:pPr>
              <w:jc w:val="right"/>
              <w:ind w:right="701"/>
              <w:spacing w:after="0"/>
              <w:rPr>
                <w:sz w:val="20"/>
                <w:szCs w:val="20"/>
                <w:color w:val="auto"/>
              </w:rPr>
            </w:pPr>
            <w:r>
              <w:rPr>
                <w:rFonts w:ascii="Arial" w:cs="Arial" w:eastAsia="Arial" w:hAnsi="Arial"/>
                <w:sz w:val="20"/>
                <w:szCs w:val="20"/>
                <w:color w:val="auto"/>
                <w:w w:val="91"/>
              </w:rPr>
              <w:t>Pricing</w:t>
            </w:r>
          </w:p>
        </w:tc>
      </w:tr>
      <w:tr>
        <w:trPr>
          <w:trHeight w:val="237"/>
        </w:trPr>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Volume/Pricing variance</w:t>
            </w:r>
            <w:r>
              <w:rPr>
                <w:rFonts w:ascii="Arial" w:cs="Arial" w:eastAsia="Arial" w:hAnsi="Arial"/>
                <w:sz w:val="16"/>
                <w:szCs w:val="16"/>
                <w:color w:val="auto"/>
              </w:rPr>
              <w:t>(1)</w:t>
            </w:r>
          </w:p>
        </w:tc>
        <w:tc>
          <w:tcPr>
            <w:tcW w:w="20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r>
      <w:tr>
        <w:trPr>
          <w:trHeight w:val="243"/>
        </w:trPr>
        <w:tc>
          <w:tcPr>
            <w:tcW w:w="7020" w:type="dxa"/>
            <w:vAlign w:val="bottom"/>
          </w:tcPr>
          <w:p>
            <w:pPr>
              <w:ind w:left="260"/>
              <w:spacing w:after="0"/>
              <w:rPr>
                <w:sz w:val="20"/>
                <w:szCs w:val="20"/>
                <w:color w:val="auto"/>
              </w:rPr>
            </w:pPr>
            <w:r>
              <w:rPr>
                <w:rFonts w:ascii="Arial" w:cs="Arial" w:eastAsia="Arial" w:hAnsi="Arial"/>
                <w:sz w:val="20"/>
                <w:szCs w:val="20"/>
                <w:color w:val="auto"/>
              </w:rPr>
              <w:t>East Group</w:t>
            </w:r>
          </w:p>
        </w:tc>
        <w:tc>
          <w:tcPr>
            <w:tcW w:w="2040" w:type="dxa"/>
            <w:vAlign w:val="bottom"/>
          </w:tcPr>
          <w:p>
            <w:pPr>
              <w:jc w:val="right"/>
              <w:spacing w:after="0"/>
              <w:rPr>
                <w:sz w:val="20"/>
                <w:szCs w:val="20"/>
                <w:color w:val="auto"/>
              </w:rPr>
            </w:pPr>
            <w:r>
              <w:rPr>
                <w:rFonts w:ascii="Arial" w:cs="Arial" w:eastAsia="Arial" w:hAnsi="Arial"/>
                <w:sz w:val="20"/>
                <w:szCs w:val="20"/>
                <w:color w:val="auto"/>
              </w:rPr>
              <w:t>7.0%</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43"/>
        </w:trPr>
        <w:tc>
          <w:tcPr>
            <w:tcW w:w="70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w:t>
            </w:r>
          </w:p>
        </w:tc>
        <w:tc>
          <w:tcPr>
            <w:tcW w:w="2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0.7%</w:t>
            </w: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2040" w:type="dxa"/>
            <w:vAlign w:val="bottom"/>
          </w:tcPr>
          <w:p>
            <w:pPr>
              <w:jc w:val="right"/>
              <w:spacing w:after="0"/>
              <w:rPr>
                <w:sz w:val="20"/>
                <w:szCs w:val="20"/>
                <w:color w:val="auto"/>
              </w:rPr>
            </w:pPr>
            <w:r>
              <w:rPr>
                <w:rFonts w:ascii="Arial" w:cs="Arial" w:eastAsia="Arial" w:hAnsi="Arial"/>
                <w:sz w:val="20"/>
                <w:szCs w:val="20"/>
                <w:color w:val="auto"/>
              </w:rPr>
              <w:t>3.3%</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2.9%</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62" w:lineRule="exact"/>
        <w:rPr>
          <w:sz w:val="20"/>
          <w:szCs w:val="20"/>
          <w:color w:val="auto"/>
        </w:rPr>
      </w:pPr>
    </w:p>
    <w:p>
      <w:pPr>
        <w:jc w:val="center"/>
        <w:ind w:left="696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6960"/>
        <w:spacing w:after="0"/>
        <w:rPr>
          <w:sz w:val="20"/>
          <w:szCs w:val="20"/>
          <w:color w:val="auto"/>
        </w:rPr>
      </w:pPr>
      <w:r>
        <w:rPr>
          <w:rFonts w:ascii="Arial" w:cs="Arial" w:eastAsia="Arial" w:hAnsi="Arial"/>
          <w:sz w:val="20"/>
          <w:szCs w:val="20"/>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2021</w:t>
            </w:r>
          </w:p>
        </w:tc>
        <w:tc>
          <w:tcPr>
            <w:tcW w:w="6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20"/>
                <w:szCs w:val="20"/>
                <w:color w:val="auto"/>
              </w:rPr>
              <w:t>2020</w:t>
            </w:r>
          </w:p>
        </w:tc>
        <w:tc>
          <w:tcPr>
            <w:tcW w:w="120" w:type="dxa"/>
            <w:vAlign w:val="bottom"/>
          </w:tcPr>
          <w:p>
            <w:pPr>
              <w:spacing w:after="0"/>
              <w:rPr>
                <w:sz w:val="20"/>
                <w:szCs w:val="20"/>
                <w:color w:val="auto"/>
              </w:rPr>
            </w:pPr>
          </w:p>
        </w:tc>
      </w:tr>
      <w:tr>
        <w:trPr>
          <w:trHeight w:val="237"/>
        </w:trPr>
        <w:tc>
          <w:tcPr>
            <w:tcW w:w="7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80" w:type="dxa"/>
            <w:vAlign w:val="bottom"/>
            <w:gridSpan w:val="3"/>
          </w:tcPr>
          <w:p>
            <w:pPr>
              <w:ind w:left="80"/>
              <w:spacing w:after="0"/>
              <w:rPr>
                <w:sz w:val="20"/>
                <w:szCs w:val="20"/>
                <w:color w:val="auto"/>
              </w:rPr>
            </w:pPr>
            <w:r>
              <w:rPr>
                <w:rFonts w:ascii="Arial" w:cs="Arial" w:eastAsia="Arial" w:hAnsi="Arial"/>
                <w:sz w:val="20"/>
                <w:szCs w:val="20"/>
                <w:i w:val="1"/>
                <w:iCs w:val="1"/>
                <w:color w:val="auto"/>
                <w:w w:val="97"/>
              </w:rPr>
              <w:t>(Tons in Millions)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320" w:type="dxa"/>
            <w:vAlign w:val="bottom"/>
            <w:gridSpan w:val="2"/>
            <w:shd w:val="clear" w:color="auto" w:fill="CDF0FC"/>
          </w:tcPr>
          <w:p>
            <w:pPr>
              <w:spacing w:after="0"/>
              <w:rPr>
                <w:sz w:val="20"/>
                <w:szCs w:val="20"/>
                <w:color w:val="auto"/>
              </w:rPr>
            </w:pPr>
            <w:r>
              <w:rPr>
                <w:rFonts w:ascii="Arial" w:cs="Arial" w:eastAsia="Arial" w:hAnsi="Arial"/>
                <w:sz w:val="20"/>
                <w:szCs w:val="20"/>
                <w:b w:val="1"/>
                <w:bCs w:val="1"/>
                <w:color w:val="auto"/>
              </w:rPr>
              <w:t>Shipments</w:t>
            </w:r>
          </w:p>
        </w:tc>
        <w:tc>
          <w:tcPr>
            <w:tcW w:w="640" w:type="dxa"/>
            <w:vAlign w:val="bottom"/>
            <w:shd w:val="clear" w:color="auto" w:fill="CDF0FC"/>
          </w:tcPr>
          <w:p>
            <w:pPr>
              <w:spacing w:after="0"/>
              <w:rPr>
                <w:sz w:val="21"/>
                <w:szCs w:val="21"/>
                <w:color w:val="auto"/>
              </w:rPr>
            </w:pPr>
          </w:p>
        </w:tc>
        <w:tc>
          <w:tcPr>
            <w:tcW w:w="300" w:type="dxa"/>
            <w:vAlign w:val="bottom"/>
            <w:shd w:val="clear" w:color="auto" w:fill="CDF0FC"/>
          </w:tcPr>
          <w:p>
            <w:pPr>
              <w:spacing w:after="0"/>
              <w:rPr>
                <w:sz w:val="21"/>
                <w:szCs w:val="21"/>
                <w:color w:val="auto"/>
              </w:rPr>
            </w:pPr>
          </w:p>
        </w:tc>
        <w:tc>
          <w:tcPr>
            <w:tcW w:w="640" w:type="dxa"/>
            <w:vAlign w:val="bottom"/>
            <w:shd w:val="clear" w:color="auto" w:fill="CDF0FC"/>
          </w:tcPr>
          <w:p>
            <w:pPr>
              <w:spacing w:after="0"/>
              <w:rPr>
                <w:sz w:val="21"/>
                <w:szCs w:val="21"/>
                <w:color w:val="auto"/>
              </w:rPr>
            </w:pPr>
          </w:p>
        </w:tc>
        <w:tc>
          <w:tcPr>
            <w:tcW w:w="1220" w:type="dxa"/>
            <w:vAlign w:val="bottom"/>
            <w:shd w:val="clear" w:color="auto" w:fill="CDF0FC"/>
          </w:tcPr>
          <w:p>
            <w:pPr>
              <w:spacing w:after="0"/>
              <w:rPr>
                <w:sz w:val="21"/>
                <w:szCs w:val="21"/>
                <w:color w:val="auto"/>
              </w:rPr>
            </w:pPr>
          </w:p>
        </w:tc>
        <w:tc>
          <w:tcPr>
            <w:tcW w:w="120" w:type="dxa"/>
            <w:vAlign w:val="bottom"/>
            <w:shd w:val="clear" w:color="auto" w:fill="CDF0FC"/>
          </w:tcPr>
          <w:p>
            <w:pPr>
              <w:spacing w:after="0"/>
              <w:rPr>
                <w:sz w:val="21"/>
                <w:szCs w:val="21"/>
                <w:color w:val="auto"/>
              </w:rPr>
            </w:pPr>
          </w:p>
        </w:tc>
      </w:tr>
      <w:tr>
        <w:trPr>
          <w:trHeight w:val="243"/>
        </w:trPr>
        <w:tc>
          <w:tcPr>
            <w:tcW w:w="8320" w:type="dxa"/>
            <w:vAlign w:val="bottom"/>
            <w:gridSpan w:val="2"/>
          </w:tcPr>
          <w:p>
            <w:pPr>
              <w:ind w:left="260"/>
              <w:spacing w:after="0"/>
              <w:rPr>
                <w:sz w:val="20"/>
                <w:szCs w:val="20"/>
                <w:color w:val="auto"/>
              </w:rPr>
            </w:pPr>
            <w:r>
              <w:rPr>
                <w:rFonts w:ascii="Arial" w:cs="Arial" w:eastAsia="Arial" w:hAnsi="Arial"/>
                <w:sz w:val="20"/>
                <w:szCs w:val="20"/>
                <w:color w:val="auto"/>
              </w:rPr>
              <w:t>East Group</w:t>
            </w:r>
          </w:p>
        </w:tc>
        <w:tc>
          <w:tcPr>
            <w:tcW w:w="640" w:type="dxa"/>
            <w:vAlign w:val="bottom"/>
          </w:tcPr>
          <w:p>
            <w:pPr>
              <w:jc w:val="right"/>
              <w:spacing w:after="0"/>
              <w:rPr>
                <w:sz w:val="20"/>
                <w:szCs w:val="20"/>
                <w:color w:val="auto"/>
              </w:rPr>
            </w:pPr>
            <w:r>
              <w:rPr>
                <w:rFonts w:ascii="Arial" w:cs="Arial" w:eastAsia="Arial" w:hAnsi="Arial"/>
                <w:sz w:val="20"/>
                <w:szCs w:val="20"/>
                <w:color w:val="auto"/>
              </w:rPr>
              <w:t>35.4</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33.0</w:t>
            </w:r>
          </w:p>
        </w:tc>
        <w:tc>
          <w:tcPr>
            <w:tcW w:w="120" w:type="dxa"/>
            <w:vAlign w:val="bottom"/>
          </w:tcPr>
          <w:p>
            <w:pPr>
              <w:spacing w:after="0"/>
              <w:rPr>
                <w:sz w:val="21"/>
                <w:szCs w:val="21"/>
                <w:color w:val="auto"/>
              </w:rPr>
            </w:pPr>
          </w:p>
        </w:tc>
      </w:tr>
      <w:tr>
        <w:trPr>
          <w:trHeight w:val="243"/>
        </w:trPr>
        <w:tc>
          <w:tcPr>
            <w:tcW w:w="83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17.5</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w:t>
            </w:r>
          </w:p>
        </w:tc>
        <w:tc>
          <w:tcPr>
            <w:tcW w:w="120" w:type="dxa"/>
            <w:vAlign w:val="bottom"/>
            <w:shd w:val="clear" w:color="auto" w:fill="CFF0FC"/>
          </w:tcPr>
          <w:p>
            <w:pPr>
              <w:spacing w:after="0"/>
              <w:rPr>
                <w:sz w:val="21"/>
                <w:szCs w:val="2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1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52.9</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51.2</w:t>
            </w:r>
          </w:p>
        </w:tc>
        <w:tc>
          <w:tcPr>
            <w:tcW w:w="120" w:type="dxa"/>
            <w:vAlign w:val="bottom"/>
          </w:tcPr>
          <w:p>
            <w:pPr>
              <w:spacing w:after="0"/>
              <w:rPr>
                <w:sz w:val="20"/>
                <w:szCs w:val="20"/>
                <w:color w:val="auto"/>
              </w:rPr>
            </w:pPr>
          </w:p>
        </w:tc>
      </w:tr>
      <w:tr>
        <w:trPr>
          <w:trHeight w:val="20"/>
        </w:trPr>
        <w:tc>
          <w:tcPr>
            <w:tcW w:w="7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hanging="226"/>
        <w:spacing w:after="0"/>
        <w:tabs>
          <w:tab w:leader="none" w:pos="240" w:val="left"/>
        </w:tabs>
        <w:numPr>
          <w:ilvl w:val="0"/>
          <w:numId w:val="14"/>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40" w:hanging="232"/>
        <w:spacing w:after="0"/>
        <w:tabs>
          <w:tab w:leader="none" w:pos="240" w:val="left"/>
        </w:tabs>
        <w:numPr>
          <w:ilvl w:val="0"/>
          <w:numId w:val="14"/>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40" w:type="dxa"/>
            <w:vAlign w:val="bottom"/>
            <w:gridSpan w:val="4"/>
          </w:tcPr>
          <w:p>
            <w:pPr>
              <w:jc w:val="center"/>
              <w:ind w:right="20"/>
              <w:spacing w:after="0"/>
              <w:rPr>
                <w:sz w:val="20"/>
                <w:szCs w:val="20"/>
                <w:color w:val="auto"/>
              </w:rPr>
            </w:pPr>
            <w:r>
              <w:rPr>
                <w:rFonts w:ascii="Arial" w:cs="Arial" w:eastAsia="Arial" w:hAnsi="Arial"/>
                <w:sz w:val="20"/>
                <w:szCs w:val="20"/>
                <w:color w:val="auto"/>
                <w:w w:val="89"/>
              </w:rPr>
              <w:t>Three Months Ended</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6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20"/>
                <w:szCs w:val="20"/>
                <w:color w:val="auto"/>
                <w:w w:val="85"/>
              </w:rPr>
              <w:t>June 30,</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6"/>
        </w:trPr>
        <w:tc>
          <w:tcPr>
            <w:tcW w:w="7720" w:type="dxa"/>
            <w:vAlign w:val="bottom"/>
            <w:gridSpan w:val="2"/>
          </w:tcPr>
          <w:p>
            <w:pPr>
              <w:ind w:left="7320"/>
              <w:spacing w:after="0"/>
              <w:rPr>
                <w:sz w:val="20"/>
                <w:szCs w:val="20"/>
                <w:color w:val="auto"/>
              </w:rPr>
            </w:pPr>
            <w:r>
              <w:rPr>
                <w:rFonts w:ascii="Arial" w:cs="Arial" w:eastAsia="Arial" w:hAnsi="Arial"/>
                <w:sz w:val="20"/>
                <w:szCs w:val="20"/>
                <w:color w:val="auto"/>
                <w:w w:val="85"/>
              </w:rPr>
              <w:t>2021</w:t>
            </w:r>
          </w:p>
        </w:tc>
        <w:tc>
          <w:tcPr>
            <w:tcW w:w="1400" w:type="dxa"/>
            <w:vAlign w:val="bottom"/>
            <w:gridSpan w:val="3"/>
          </w:tcPr>
          <w:p>
            <w:pPr>
              <w:jc w:val="right"/>
              <w:spacing w:after="0"/>
              <w:rPr>
                <w:sz w:val="20"/>
                <w:szCs w:val="20"/>
                <w:color w:val="auto"/>
              </w:rPr>
            </w:pPr>
            <w:r>
              <w:rPr>
                <w:rFonts w:ascii="Arial" w:cs="Arial" w:eastAsia="Arial" w:hAnsi="Arial"/>
                <w:sz w:val="20"/>
                <w:szCs w:val="20"/>
                <w:color w:val="auto"/>
              </w:rPr>
              <w:t>2020</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20"/>
                <w:szCs w:val="20"/>
                <w:color w:val="auto"/>
              </w:rPr>
              <w:t>% Change</w:t>
            </w:r>
          </w:p>
        </w:tc>
      </w:tr>
      <w:tr>
        <w:trPr>
          <w:trHeight w:val="237"/>
        </w:trPr>
        <w:tc>
          <w:tcPr>
            <w:tcW w:w="6940" w:type="dxa"/>
            <w:vAlign w:val="bottom"/>
          </w:tcPr>
          <w:p>
            <w:pPr>
              <w:spacing w:after="0"/>
              <w:rPr>
                <w:sz w:val="20"/>
                <w:szCs w:val="20"/>
                <w:color w:val="auto"/>
              </w:rPr>
            </w:pPr>
            <w:r>
              <w:rPr>
                <w:rFonts w:ascii="Arial" w:cs="Arial" w:eastAsia="Arial" w:hAnsi="Arial"/>
                <w:sz w:val="20"/>
                <w:szCs w:val="20"/>
                <w:b w:val="1"/>
                <w:bCs w:val="1"/>
                <w:color w:val="auto"/>
              </w:rPr>
              <w:t>Shipments</w:t>
            </w:r>
          </w:p>
        </w:tc>
        <w:tc>
          <w:tcPr>
            <w:tcW w:w="7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43"/>
        </w:trPr>
        <w:tc>
          <w:tcPr>
            <w:tcW w:w="77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Aggregates (in millions):</w:t>
            </w: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43"/>
        </w:trPr>
        <w:tc>
          <w:tcPr>
            <w:tcW w:w="7720" w:type="dxa"/>
            <w:vAlign w:val="bottom"/>
            <w:gridSpan w:val="2"/>
          </w:tcPr>
          <w:p>
            <w:pPr>
              <w:ind w:left="380"/>
              <w:spacing w:after="0"/>
              <w:rPr>
                <w:sz w:val="20"/>
                <w:szCs w:val="20"/>
                <w:color w:val="auto"/>
              </w:rPr>
            </w:pPr>
            <w:r>
              <w:rPr>
                <w:rFonts w:ascii="Arial" w:cs="Arial" w:eastAsia="Arial" w:hAnsi="Arial"/>
                <w:sz w:val="20"/>
                <w:szCs w:val="20"/>
                <w:color w:val="auto"/>
              </w:rPr>
              <w:t>Tons to external customers</w:t>
            </w:r>
          </w:p>
        </w:tc>
        <w:tc>
          <w:tcPr>
            <w:tcW w:w="380" w:type="dxa"/>
            <w:vAlign w:val="bottom"/>
          </w:tcPr>
          <w:p>
            <w:pPr>
              <w:jc w:val="right"/>
              <w:spacing w:after="0"/>
              <w:rPr>
                <w:sz w:val="20"/>
                <w:szCs w:val="20"/>
                <w:color w:val="auto"/>
              </w:rPr>
            </w:pPr>
            <w:r>
              <w:rPr>
                <w:rFonts w:ascii="Arial" w:cs="Arial" w:eastAsia="Arial" w:hAnsi="Arial"/>
                <w:sz w:val="20"/>
                <w:szCs w:val="20"/>
                <w:color w:val="auto"/>
                <w:w w:val="87"/>
              </w:rPr>
              <w:t>48.8</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w w:val="87"/>
              </w:rPr>
              <w:t>47.9</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20"/>
                <w:szCs w:val="20"/>
                <w:color w:val="auto"/>
              </w:rPr>
              <w:t>Internal tons used in other product lines</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77"/>
        </w:trPr>
        <w:tc>
          <w:tcPr>
            <w:tcW w:w="694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Total aggregates tons</w:t>
            </w:r>
          </w:p>
        </w:tc>
        <w:tc>
          <w:tcPr>
            <w:tcW w:w="7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7"/>
              </w:rPr>
              <w:t>52.9</w:t>
            </w:r>
          </w:p>
        </w:tc>
        <w:tc>
          <w:tcPr>
            <w:tcW w:w="260" w:type="dxa"/>
            <w:vAlign w:val="bottom"/>
            <w:tcBorders>
              <w:bottom w:val="single" w:sz="8" w:color="CFF0FC"/>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7"/>
              </w:rPr>
              <w:t>51.2</w:t>
            </w:r>
          </w:p>
        </w:tc>
        <w:tc>
          <w:tcPr>
            <w:tcW w:w="340" w:type="dxa"/>
            <w:vAlign w:val="bottom"/>
            <w:tcBorders>
              <w:bottom w:val="single" w:sz="8" w:color="CFF0FC"/>
            </w:tcBorders>
          </w:tcPr>
          <w:p>
            <w:pPr>
              <w:spacing w:after="0"/>
              <w:rPr>
                <w:sz w:val="24"/>
                <w:szCs w:val="24"/>
                <w:color w:val="auto"/>
              </w:rPr>
            </w:pPr>
          </w:p>
        </w:tc>
        <w:tc>
          <w:tcPr>
            <w:tcW w:w="14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20"/>
                <w:szCs w:val="20"/>
                <w:color w:val="auto"/>
              </w:rPr>
              <w:t>3.3%</w:t>
            </w:r>
          </w:p>
        </w:tc>
      </w:tr>
      <w:tr>
        <w:trPr>
          <w:trHeight w:val="170"/>
        </w:trPr>
        <w:tc>
          <w:tcPr>
            <w:tcW w:w="69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r>
      <w:tr>
        <w:trPr>
          <w:trHeight w:val="243"/>
        </w:trPr>
        <w:tc>
          <w:tcPr>
            <w:tcW w:w="7720" w:type="dxa"/>
            <w:vAlign w:val="bottom"/>
            <w:gridSpan w:val="2"/>
          </w:tcPr>
          <w:p>
            <w:pPr>
              <w:spacing w:after="0"/>
              <w:rPr>
                <w:sz w:val="20"/>
                <w:szCs w:val="20"/>
                <w:color w:val="auto"/>
              </w:rPr>
            </w:pPr>
            <w:r>
              <w:rPr>
                <w:rFonts w:ascii="Arial" w:cs="Arial" w:eastAsia="Arial" w:hAnsi="Arial"/>
                <w:sz w:val="20"/>
                <w:szCs w:val="20"/>
                <w:color w:val="auto"/>
              </w:rPr>
              <w:t>Cement (in millions):</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Tons to external customers</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0.5</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0.7</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43"/>
        </w:trPr>
        <w:tc>
          <w:tcPr>
            <w:tcW w:w="7720" w:type="dxa"/>
            <w:vAlign w:val="bottom"/>
            <w:gridSpan w:val="2"/>
          </w:tcPr>
          <w:p>
            <w:pPr>
              <w:ind w:left="140"/>
              <w:spacing w:after="0"/>
              <w:rPr>
                <w:sz w:val="20"/>
                <w:szCs w:val="20"/>
                <w:color w:val="auto"/>
              </w:rPr>
            </w:pPr>
            <w:r>
              <w:rPr>
                <w:rFonts w:ascii="Arial" w:cs="Arial" w:eastAsia="Arial" w:hAnsi="Arial"/>
                <w:sz w:val="20"/>
                <w:szCs w:val="20"/>
                <w:color w:val="auto"/>
              </w:rPr>
              <w:t>Internal tons used in ready mixed concrete</w:t>
            </w:r>
          </w:p>
        </w:tc>
        <w:tc>
          <w:tcPr>
            <w:tcW w:w="380" w:type="dxa"/>
            <w:vAlign w:val="bottom"/>
          </w:tcPr>
          <w:p>
            <w:pPr>
              <w:jc w:val="right"/>
              <w:spacing w:after="0"/>
              <w:rPr>
                <w:sz w:val="20"/>
                <w:szCs w:val="20"/>
                <w:color w:val="auto"/>
              </w:rPr>
            </w:pPr>
            <w:r>
              <w:rPr>
                <w:rFonts w:ascii="Arial" w:cs="Arial" w:eastAsia="Arial" w:hAnsi="Arial"/>
                <w:sz w:val="20"/>
                <w:szCs w:val="20"/>
                <w:color w:val="auto"/>
              </w:rPr>
              <w:t>0.4</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0.3</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7"/>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cement tons</w:t>
            </w:r>
          </w:p>
        </w:tc>
        <w:tc>
          <w:tcPr>
            <w:tcW w:w="78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0.9</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14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(1.9%)</w:t>
            </w:r>
          </w:p>
        </w:tc>
      </w:tr>
      <w:tr>
        <w:trPr>
          <w:trHeight w:val="20"/>
        </w:trPr>
        <w:tc>
          <w:tcPr>
            <w:tcW w:w="6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6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77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Ready Mixed Concrete (in millions of cubic yards)</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8.2%</w:t>
            </w:r>
          </w:p>
        </w:tc>
      </w:tr>
      <w:tr>
        <w:trPr>
          <w:trHeight w:val="20"/>
        </w:trPr>
        <w:tc>
          <w:tcPr>
            <w:tcW w:w="69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r>
      <w:tr>
        <w:trPr>
          <w:trHeight w:val="224"/>
        </w:trPr>
        <w:tc>
          <w:tcPr>
            <w:tcW w:w="6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77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Asphalt (in millions):</w:t>
            </w: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43"/>
        </w:trPr>
        <w:tc>
          <w:tcPr>
            <w:tcW w:w="7720" w:type="dxa"/>
            <w:vAlign w:val="bottom"/>
            <w:gridSpan w:val="2"/>
          </w:tcPr>
          <w:p>
            <w:pPr>
              <w:ind w:left="260"/>
              <w:spacing w:after="0"/>
              <w:rPr>
                <w:sz w:val="20"/>
                <w:szCs w:val="20"/>
                <w:color w:val="auto"/>
              </w:rPr>
            </w:pPr>
            <w:r>
              <w:rPr>
                <w:rFonts w:ascii="Arial" w:cs="Arial" w:eastAsia="Arial" w:hAnsi="Arial"/>
                <w:sz w:val="20"/>
                <w:szCs w:val="20"/>
                <w:color w:val="auto"/>
              </w:rPr>
              <w:t>Tons to external customers</w:t>
            </w:r>
          </w:p>
        </w:tc>
        <w:tc>
          <w:tcPr>
            <w:tcW w:w="380" w:type="dxa"/>
            <w:vAlign w:val="bottom"/>
          </w:tcPr>
          <w:p>
            <w:pPr>
              <w:jc w:val="right"/>
              <w:spacing w:after="0"/>
              <w:rPr>
                <w:sz w:val="20"/>
                <w:szCs w:val="20"/>
                <w:color w:val="auto"/>
              </w:rPr>
            </w:pPr>
            <w:r>
              <w:rPr>
                <w:rFonts w:ascii="Arial" w:cs="Arial" w:eastAsia="Arial" w:hAnsi="Arial"/>
                <w:sz w:val="20"/>
                <w:szCs w:val="20"/>
                <w:color w:val="auto"/>
              </w:rPr>
              <w:t>1.2</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0.2</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Internal tons used in paving business</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0.6</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0.9</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20"/>
                <w:szCs w:val="20"/>
                <w:color w:val="auto"/>
              </w:rPr>
              <w:t>Total asphalt tons</w:t>
            </w:r>
          </w:p>
        </w:tc>
        <w:tc>
          <w:tcPr>
            <w:tcW w:w="7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26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34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20"/>
                <w:szCs w:val="20"/>
                <w:color w:val="auto"/>
              </w:rPr>
              <w:t>67.6%</w:t>
            </w:r>
          </w:p>
        </w:tc>
      </w:tr>
      <w:tr>
        <w:trPr>
          <w:trHeight w:val="20"/>
        </w:trPr>
        <w:tc>
          <w:tcPr>
            <w:tcW w:w="6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60" w:type="dxa"/>
            <w:vAlign w:val="bottom"/>
            <w:gridSpan w:val="4"/>
          </w:tcPr>
          <w:p>
            <w:pPr>
              <w:spacing w:after="0"/>
              <w:rPr>
                <w:sz w:val="20"/>
                <w:szCs w:val="20"/>
                <w:color w:val="auto"/>
              </w:rPr>
            </w:pPr>
            <w:r>
              <w:rPr>
                <w:rFonts w:ascii="Arial" w:cs="Arial" w:eastAsia="Arial" w:hAnsi="Arial"/>
                <w:sz w:val="20"/>
                <w:szCs w:val="20"/>
                <w:color w:val="auto"/>
                <w:w w:val="93"/>
              </w:rPr>
              <w:t>The average selling price by product line for the Building Materials business is as follows: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30"/>
        </w:trPr>
        <w:tc>
          <w:tcPr>
            <w:tcW w:w="4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0" w:type="dxa"/>
            <w:vAlign w:val="bottom"/>
            <w:gridSpan w:val="4"/>
          </w:tcPr>
          <w:p>
            <w:pPr>
              <w:jc w:val="center"/>
              <w:ind w:right="440"/>
              <w:spacing w:after="0"/>
              <w:rPr>
                <w:sz w:val="20"/>
                <w:szCs w:val="20"/>
                <w:color w:val="auto"/>
              </w:rPr>
            </w:pPr>
            <w:r>
              <w:rPr>
                <w:rFonts w:ascii="Arial" w:cs="Arial" w:eastAsia="Arial" w:hAnsi="Arial"/>
                <w:sz w:val="20"/>
                <w:szCs w:val="20"/>
                <w:color w:val="auto"/>
                <w:w w:val="89"/>
              </w:rPr>
              <w:t>Three Months Ended</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6"/>
        </w:trPr>
        <w:tc>
          <w:tcPr>
            <w:tcW w:w="4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center"/>
              <w:ind w:right="980"/>
              <w:spacing w:after="0"/>
              <w:rPr>
                <w:sz w:val="20"/>
                <w:szCs w:val="20"/>
                <w:color w:val="auto"/>
              </w:rPr>
            </w:pPr>
            <w:r>
              <w:rPr>
                <w:rFonts w:ascii="Arial" w:cs="Arial" w:eastAsia="Arial" w:hAnsi="Arial"/>
                <w:sz w:val="20"/>
                <w:szCs w:val="20"/>
                <w:color w:val="auto"/>
                <w:w w:val="85"/>
              </w:rPr>
              <w:t>June 30,</w:t>
            </w:r>
          </w:p>
        </w:tc>
        <w:tc>
          <w:tcPr>
            <w:tcW w:w="13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440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2021</w:t>
            </w: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2020</w:t>
            </w:r>
          </w:p>
        </w:tc>
        <w:tc>
          <w:tcPr>
            <w:tcW w:w="36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 Change</w:t>
            </w:r>
          </w:p>
        </w:tc>
        <w:tc>
          <w:tcPr>
            <w:tcW w:w="180" w:type="dxa"/>
            <w:vAlign w:val="bottom"/>
            <w:tcBorders>
              <w:bottom w:val="single" w:sz="8" w:color="CFF0FC"/>
            </w:tcBorders>
          </w:tcPr>
          <w:p>
            <w:pPr>
              <w:spacing w:after="0"/>
              <w:rPr>
                <w:sz w:val="20"/>
                <w:szCs w:val="20"/>
                <w:color w:val="auto"/>
              </w:rPr>
            </w:pPr>
          </w:p>
        </w:tc>
      </w:tr>
      <w:tr>
        <w:trPr>
          <w:trHeight w:val="237"/>
        </w:trPr>
        <w:tc>
          <w:tcPr>
            <w:tcW w:w="440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1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15.07</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14.66</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2.9%</w:t>
            </w:r>
          </w:p>
        </w:tc>
      </w:tr>
      <w:tr>
        <w:trPr>
          <w:trHeight w:val="243"/>
        </w:trPr>
        <w:tc>
          <w:tcPr>
            <w:tcW w:w="4400" w:type="dxa"/>
            <w:vAlign w:val="bottom"/>
          </w:tcPr>
          <w:p>
            <w:pPr>
              <w:spacing w:after="0"/>
              <w:rPr>
                <w:sz w:val="20"/>
                <w:szCs w:val="20"/>
                <w:color w:val="auto"/>
              </w:rPr>
            </w:pPr>
            <w:r>
              <w:rPr>
                <w:rFonts w:ascii="Arial" w:cs="Arial" w:eastAsia="Arial" w:hAnsi="Arial"/>
                <w:sz w:val="20"/>
                <w:szCs w:val="20"/>
                <w:color w:val="auto"/>
              </w:rPr>
              <w:t>Cement (per ton)</w:t>
            </w:r>
          </w:p>
        </w:tc>
        <w:tc>
          <w:tcPr>
            <w:tcW w:w="162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122.11</w:t>
            </w:r>
          </w:p>
        </w:tc>
        <w:tc>
          <w:tcPr>
            <w:tcW w:w="5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114.34</w:t>
            </w:r>
          </w:p>
        </w:tc>
        <w:tc>
          <w:tcPr>
            <w:tcW w:w="36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6.8%</w:t>
            </w:r>
          </w:p>
        </w:tc>
      </w:tr>
      <w:tr>
        <w:trPr>
          <w:trHeight w:val="243"/>
        </w:trPr>
        <w:tc>
          <w:tcPr>
            <w:tcW w:w="440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1620" w:type="dxa"/>
            <w:vAlign w:val="bottom"/>
            <w:gridSpan w:val="2"/>
            <w:shd w:val="clear" w:color="auto" w:fill="CFF0FC"/>
          </w:tcPr>
          <w:p>
            <w:pPr>
              <w:jc w:val="right"/>
              <w:ind w:right="181"/>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114.27</w:t>
            </w:r>
          </w:p>
        </w:tc>
        <w:tc>
          <w:tcPr>
            <w:tcW w:w="52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112.89</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1.2%</w:t>
            </w:r>
          </w:p>
        </w:tc>
      </w:tr>
      <w:tr>
        <w:trPr>
          <w:trHeight w:val="250"/>
        </w:trPr>
        <w:tc>
          <w:tcPr>
            <w:tcW w:w="4400" w:type="dxa"/>
            <w:vAlign w:val="bottom"/>
          </w:tcPr>
          <w:p>
            <w:pPr>
              <w:spacing w:after="0"/>
              <w:rPr>
                <w:sz w:val="20"/>
                <w:szCs w:val="20"/>
                <w:color w:val="auto"/>
              </w:rPr>
            </w:pPr>
            <w:r>
              <w:rPr>
                <w:rFonts w:ascii="Arial" w:cs="Arial" w:eastAsia="Arial" w:hAnsi="Arial"/>
                <w:sz w:val="20"/>
                <w:szCs w:val="20"/>
                <w:color w:val="auto"/>
              </w:rPr>
              <w:t>Asphalt (per ton)</w:t>
            </w:r>
          </w:p>
        </w:tc>
        <w:tc>
          <w:tcPr>
            <w:tcW w:w="162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48.83</w:t>
            </w:r>
          </w:p>
        </w:tc>
        <w:tc>
          <w:tcPr>
            <w:tcW w:w="5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46.54</w:t>
            </w:r>
          </w:p>
        </w:tc>
        <w:tc>
          <w:tcPr>
            <w:tcW w:w="36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20"/>
                <w:szCs w:val="20"/>
                <w:color w:val="auto"/>
              </w:rPr>
              <w:t>4.9%</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End-Use Markets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Aggregates shipments to the infrastructure market declined, primarily driven by weather-related project delays in key geographies and the timing of projects. The infrastructure market accounted for 34% of second-quarter aggregates shipments.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Aggregates shipments to the nonresidential market increased 17%, driven by robust demand in heavy industrial projects of scale, across our geographic footprint. The nonresidential market represented 36% of second-quarter aggregates shipments.</w:t>
      </w:r>
    </w:p>
    <w:p>
      <w:pPr>
        <w:spacing w:after="0" w:line="6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Aggregates shipments to the residential market increased 8%. Low available resale inventory and underbuilt conditions continue to drive robust residential construction activity. The residential market accounted for 25% of second-quarter aggregates shipments.</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ChemRock/Rail market accounted for the remaining 5% of second-quarter aggregates shipments. Volumes to this end use decreased, driven by lower ballast shipments to the Class I western railroads.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 Product Lines</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Second-quarter aggregates shipments and pricing increased 3.3% and 2.9%, respectively, compared with prior-year quarter. Organic aggregates shipments and pricing increased 1.5% and 3.4%, respectively. East Group shipments increased 7.0% reflecting strong construction activity in the Carolinas, Georgia, Florida and Maryland across all three primary end-use markets, coupled with incremental volumes from the Tiller operations, which more than offset the weather-induced project delays in the Midwest. Pricing increased 3.6% in the East Group, reflecting favorable geographic mix. West Group shipments decreased 3.6%, despite robust underlying demand, due to significant rainfall in both Texas and Colorado. West Group’s pricing increased 0.7%, reflecting a lower percentage of higher-priced commercial rail-shipped volumes. Pricing in the West Group increased 2.4% on a mix-adjusted basis. Aggregates product gross margin decreased 150 basis points to 34.0%, driven by higher diesel costs of $12.2 million and a $6.1 million increase in cost of revenues from the impact of selling acquired inventory after its markup to fair value as part of acquisition accounting.</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Cement pricing improved 6.8%, or 4.2% on a mix-adjusted basis, following annual price increases that went into effect April 1, 2021. Cement shipments decreased 1.9% despite robust demand and construction activity throughout the Texas Triangle, due to extreme precipitation from late April through mid-June. Product gross margin declined 870 basis points to 31.0%, driven by the timing of planned outages at the Hunter plant as well as higher energy and raw materials costs.</w:t>
      </w:r>
    </w:p>
    <w:p>
      <w:pPr>
        <w:spacing w:after="0" w:line="8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Ready mixed concrete shipments increased 8.2%, or 2.3% organically, driven by incremental volume from large projects and operations acquired in August 2020. This growth more than offset weather-related shipment declines. Pricing increased 1.2% in second quarter 2021 compared with second quarter 2020, reflecting geographic mix from a lower percentage of higher-priced Colorado shipments. Product gross margin decreased 350 basis points to 7.1%, driven primarily by higher raw material and diesel costs. Asphalt shipments increased 67.6% as incremental volume from the acquired Tiller operations more than offset weather-related shipment declines in Colorado. Pricing increased 4.9% due to price increases in Colorado as well as mix impact from higher priced Tiller asphalt sales, both contributing to asphalt and paving products and services gross margin improvement of 80 basis points.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Magnesia Specialties second-quarter product revenues increased 43.2% to $70.0 million, reflecting improved demand for chemicals and lime products compared with a COVID-19-challenged prior year. Product gross profit was $27.9 million compared with $18.2 million. Product gross margin increased 260 basis points to 39.9% on strong volume increases. Second-quarter earnings from operations were $23.1 million in 2021 compared with $13.2 million in 2020.</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Consolidated SG&amp;A for second quarter 2021 was 6.0% of total revenues compared with 5.6% in the prior-year quarter. During second-quarter 2021, the Company incurred $0.7 million in COVID-19-related expenses versus $3.4 million in the prior-year quarter for enhanced personal protective equipment, as well as cleaning and sanitizing protocols across the Company’s operations, which are recorded in SG&amp;A. The Company incurred acquisition-related expenses of $9.3 million in the quarter ended June 30, 2021. Earnings from operations for the quarter were $307.5 million in 2021 compared with $306.4 million in 2020.</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second quarter, consolidated other operating (income) and expenses, net, was income of $14.1 million in 2021 and expense of $2.4 million in 2020. The 2021 income primarily reflects gain on the sale of the former corporate headquarters.</w:t>
      </w:r>
    </w:p>
    <w:p>
      <w:pPr>
        <w:spacing w:after="0" w:line="194"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Other nonoperating (income) and expenses, net, includes interest income; pension and postretirement benefit cost excluding service cost; foreign currency transaction gains and losses; equity earnings or losses from nonconsolidated affiliates and other miscellaneous income and expenses. For the second quarter, other nonoperating income, net, was $8.7 million and $3.8 million in 2021 and 2020, respectively. The 2021 amount reflected lower pension expense of $4.6 million.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Six Months Ended June 30,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Financial highlights for the six months ended June 30, 2021 (unless noted, all comparisons are versus the prior-year period):</w:t>
      </w:r>
    </w:p>
    <w:p>
      <w:pPr>
        <w:spacing w:after="0" w:line="108"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Consolidated total revenues of $2.36 billion compared with $2.23 billion</w:t>
      </w:r>
    </w:p>
    <w:p>
      <w:pPr>
        <w:spacing w:after="0" w:line="15" w:lineRule="exact"/>
        <w:rPr>
          <w:rFonts w:ascii="Arial" w:cs="Arial" w:eastAsia="Arial" w:hAnsi="Arial"/>
          <w:sz w:val="20"/>
          <w:szCs w:val="20"/>
          <w:color w:val="007DC6"/>
        </w:rPr>
      </w:pPr>
    </w:p>
    <w:p>
      <w:pPr>
        <w:ind w:left="740" w:hanging="368"/>
        <w:spacing w:after="0"/>
        <w:tabs>
          <w:tab w:leader="none" w:pos="74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$2.08 billion compared with $1.97 billion</w:t>
      </w:r>
    </w:p>
    <w:p>
      <w:pPr>
        <w:ind w:left="740" w:hanging="368"/>
        <w:spacing w:after="0"/>
        <w:tabs>
          <w:tab w:leader="none" w:pos="74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Consolidated gross profit of $559.8 million compared with $522.9 million</w:t>
      </w:r>
    </w:p>
    <w:p>
      <w:pPr>
        <w:ind w:left="740" w:hanging="368"/>
        <w:spacing w:after="0"/>
        <w:tabs>
          <w:tab w:leader="none" w:pos="74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Consolidated earnings from operations of $406.8 million compared with $364.2 million</w:t>
      </w:r>
    </w:p>
    <w:p>
      <w:pPr>
        <w:ind w:left="740" w:hanging="368"/>
        <w:spacing w:after="0"/>
        <w:tabs>
          <w:tab w:leader="none" w:pos="74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$291.1 million compared with $243.5 million</w:t>
      </w:r>
    </w:p>
    <w:p>
      <w:pPr>
        <w:ind w:left="740" w:hanging="368"/>
        <w:spacing w:after="0"/>
        <w:tabs>
          <w:tab w:leader="none" w:pos="74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Adjusted EBITDA of $644.8 million compared with $556.0 million</w:t>
      </w:r>
    </w:p>
    <w:p>
      <w:pPr>
        <w:ind w:left="740" w:hanging="368"/>
        <w:spacing w:after="0"/>
        <w:tabs>
          <w:tab w:leader="none" w:pos="740" w:val="left"/>
        </w:tabs>
        <w:numPr>
          <w:ilvl w:val="0"/>
          <w:numId w:val="15"/>
        </w:numPr>
        <w:rPr>
          <w:rFonts w:ascii="Arial" w:cs="Arial" w:eastAsia="Arial" w:hAnsi="Arial"/>
          <w:sz w:val="20"/>
          <w:szCs w:val="20"/>
          <w:color w:val="007DC6"/>
        </w:rPr>
      </w:pPr>
      <w:r>
        <w:rPr>
          <w:rFonts w:ascii="Arial" w:cs="Arial" w:eastAsia="Arial" w:hAnsi="Arial"/>
          <w:sz w:val="20"/>
          <w:szCs w:val="20"/>
          <w:color w:val="auto"/>
        </w:rPr>
        <w:t>Earnings per diluted share of $4.65 compared with $3.90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64"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auto"/>
        </w:rPr>
        <w:t>The following tables present total revenues, gross profit (loss), SG&amp;A expenses and earnings (loss) from operations data for the Company and its reportable segments by product line for the six months ended June 30, 2021 and 2020. In each case, the data is stated as a percentage of revenues of the Company or the relevant segment or product line, as the case may be. Prior-year segment information has been reclassified to conform to the operations and management reporting structure change effective July 1, 2020 (see Note 1 to financial statements).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20"/>
                <w:szCs w:val="20"/>
                <w:color w:val="auto"/>
              </w:rPr>
              <w:t>Six Months Ended June 30,</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2021</w:t>
            </w:r>
          </w:p>
        </w:tc>
        <w:tc>
          <w:tcPr>
            <w:tcW w:w="1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2020</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94"/>
              </w:rPr>
              <w:t>% of Revenues</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94"/>
              </w:rPr>
              <w:t>% of Revenues</w:t>
            </w:r>
          </w:p>
        </w:tc>
        <w:tc>
          <w:tcPr>
            <w:tcW w:w="100" w:type="dxa"/>
            <w:vAlign w:val="bottom"/>
          </w:tcPr>
          <w:p>
            <w:pPr>
              <w:spacing w:after="0"/>
              <w:rPr>
                <w:sz w:val="20"/>
                <w:szCs w:val="20"/>
                <w:color w:val="auto"/>
              </w:rPr>
            </w:pPr>
          </w:p>
        </w:tc>
      </w:tr>
      <w:tr>
        <w:trPr>
          <w:trHeight w:val="236"/>
        </w:trPr>
        <w:tc>
          <w:tcPr>
            <w:tcW w:w="3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gridSpan w:val="5"/>
          </w:tcPr>
          <w:p>
            <w:pPr>
              <w:jc w:val="right"/>
              <w:ind w:right="1080"/>
              <w:spacing w:after="0"/>
              <w:rPr>
                <w:sz w:val="20"/>
                <w:szCs w:val="20"/>
                <w:color w:val="auto"/>
              </w:rPr>
            </w:pPr>
            <w:r>
              <w:rPr>
                <w:rFonts w:ascii="Arial" w:cs="Arial" w:eastAsia="Arial" w:hAnsi="Arial"/>
                <w:sz w:val="20"/>
                <w:szCs w:val="20"/>
                <w:i w:val="1"/>
                <w:iCs w:val="1"/>
                <w:color w:val="auto"/>
              </w:rPr>
              <w:t>(Dollars in Millions)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7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7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20"/>
                <w:szCs w:val="20"/>
                <w:color w:val="auto"/>
              </w:rPr>
              <w:t>East Group</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7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18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926.8</w:t>
            </w:r>
          </w:p>
        </w:tc>
        <w:tc>
          <w:tcPr>
            <w:tcW w:w="340" w:type="dxa"/>
            <w:vAlign w:val="bottom"/>
            <w:shd w:val="clear" w:color="auto" w:fill="CFF0FC"/>
          </w:tcPr>
          <w:p>
            <w:pPr>
              <w:spacing w:after="0"/>
              <w:rPr>
                <w:sz w:val="21"/>
                <w:szCs w:val="21"/>
                <w:color w:val="auto"/>
              </w:rPr>
            </w:pPr>
          </w:p>
        </w:tc>
        <w:tc>
          <w:tcPr>
            <w:tcW w:w="1820" w:type="dxa"/>
            <w:vAlign w:val="bottom"/>
            <w:gridSpan w:val="3"/>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857.6</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780" w:type="dxa"/>
            <w:vAlign w:val="bottom"/>
          </w:tcPr>
          <w:p>
            <w:pPr>
              <w:ind w:left="620"/>
              <w:spacing w:after="0"/>
              <w:rPr>
                <w:sz w:val="20"/>
                <w:szCs w:val="20"/>
                <w:color w:val="auto"/>
              </w:rPr>
            </w:pPr>
            <w:r>
              <w:rPr>
                <w:rFonts w:ascii="Arial" w:cs="Arial" w:eastAsia="Arial" w:hAnsi="Arial"/>
                <w:sz w:val="20"/>
                <w:szCs w:val="20"/>
                <w:color w:val="auto"/>
              </w:rPr>
              <w:t>Asphalt</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47.1</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7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Less: Interproduct revenues</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(4.8)</w:t>
            </w: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78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East Group Total</w:t>
            </w:r>
          </w:p>
        </w:tc>
        <w:tc>
          <w:tcPr>
            <w:tcW w:w="9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969.1</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857.6</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7"/>
        </w:trPr>
        <w:tc>
          <w:tcPr>
            <w:tcW w:w="3780" w:type="dxa"/>
            <w:vAlign w:val="bottom"/>
            <w:shd w:val="clear" w:color="auto" w:fill="CFF0FC"/>
          </w:tcPr>
          <w:p>
            <w:pPr>
              <w:ind w:left="380"/>
              <w:spacing w:after="0"/>
              <w:rPr>
                <w:sz w:val="20"/>
                <w:szCs w:val="20"/>
                <w:color w:val="auto"/>
              </w:rPr>
            </w:pPr>
            <w:r>
              <w:rPr>
                <w:rFonts w:ascii="Arial" w:cs="Arial" w:eastAsia="Arial" w:hAnsi="Arial"/>
                <w:sz w:val="20"/>
                <w:szCs w:val="20"/>
                <w:color w:val="auto"/>
              </w:rPr>
              <w:t>West Group</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78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447.6</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467.6</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7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Cement</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226.1</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216.1</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780" w:type="dxa"/>
            <w:vAlign w:val="bottom"/>
          </w:tcPr>
          <w:p>
            <w:pPr>
              <w:ind w:left="620"/>
              <w:spacing w:after="0"/>
              <w:rPr>
                <w:sz w:val="20"/>
                <w:szCs w:val="20"/>
                <w:color w:val="auto"/>
              </w:rPr>
            </w:pPr>
            <w:r>
              <w:rPr>
                <w:rFonts w:ascii="Arial" w:cs="Arial" w:eastAsia="Arial" w:hAnsi="Arial"/>
                <w:sz w:val="20"/>
                <w:szCs w:val="20"/>
                <w:color w:val="auto"/>
              </w:rPr>
              <w:t>Ready mixed concrete</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503.7</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434.8</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7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Asphalt and paving</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100.5</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125.1</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20"/>
                <w:szCs w:val="20"/>
                <w:color w:val="auto"/>
              </w:rPr>
              <w:t>Less: Interproduct revenues</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20"/>
                <w:szCs w:val="20"/>
                <w:color w:val="auto"/>
              </w:rPr>
              <w:t>(165.0)</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20"/>
                <w:szCs w:val="20"/>
                <w:color w:val="auto"/>
              </w:rPr>
              <w:t>(129.5)</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7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West Group Total</w:t>
            </w:r>
          </w:p>
        </w:tc>
        <w:tc>
          <w:tcPr>
            <w:tcW w:w="9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1,112.9</w:t>
            </w:r>
          </w:p>
        </w:tc>
        <w:tc>
          <w:tcPr>
            <w:tcW w:w="34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1,114.1</w:t>
            </w:r>
          </w:p>
        </w:tc>
        <w:tc>
          <w:tcPr>
            <w:tcW w:w="34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7"/>
        </w:trPr>
        <w:tc>
          <w:tcPr>
            <w:tcW w:w="378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2,082.0</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1,971.7</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7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9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131.6</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137.9</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7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Building Materials business</w:t>
            </w:r>
          </w:p>
        </w:tc>
        <w:tc>
          <w:tcPr>
            <w:tcW w:w="9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2,213.6</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2,109.6</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6"/>
        </w:trPr>
        <w:tc>
          <w:tcPr>
            <w:tcW w:w="37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780" w:type="dxa"/>
            <w:vAlign w:val="bottom"/>
          </w:tcPr>
          <w:p>
            <w:pPr>
              <w:ind w:left="140"/>
              <w:spacing w:after="0"/>
              <w:rPr>
                <w:sz w:val="20"/>
                <w:szCs w:val="20"/>
                <w:color w:val="auto"/>
              </w:rPr>
            </w:pPr>
            <w:r>
              <w:rPr>
                <w:rFonts w:ascii="Arial" w:cs="Arial" w:eastAsia="Arial" w:hAnsi="Arial"/>
                <w:sz w:val="20"/>
                <w:szCs w:val="20"/>
                <w:color w:val="auto"/>
              </w:rPr>
              <w:t>Products</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135.2</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108.8</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7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9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11.5</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10.5</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7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w:t>
            </w:r>
          </w:p>
        </w:tc>
        <w:tc>
          <w:tcPr>
            <w:tcW w:w="9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146.7</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119.3</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7"/>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9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2,360.3</w:t>
            </w:r>
          </w:p>
        </w:tc>
        <w:tc>
          <w:tcPr>
            <w:tcW w:w="3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2,228.9</w:t>
            </w:r>
          </w:p>
        </w:tc>
        <w:tc>
          <w:tcPr>
            <w:tcW w:w="3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20"/>
                <w:szCs w:val="20"/>
                <w:color w:val="auto"/>
              </w:rPr>
              <w:t>Six Months Ended June 30,</w:t>
            </w:r>
          </w:p>
        </w:tc>
        <w:tc>
          <w:tcPr>
            <w:tcW w:w="1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2021</w:t>
            </w:r>
          </w:p>
        </w:tc>
        <w:tc>
          <w:tcPr>
            <w:tcW w:w="1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2020</w:t>
            </w: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w w:val="94"/>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gridSpan w:val="6"/>
          </w:tcPr>
          <w:p>
            <w:pPr>
              <w:jc w:val="right"/>
              <w:ind w:right="1080"/>
              <w:spacing w:after="0"/>
              <w:rPr>
                <w:sz w:val="20"/>
                <w:szCs w:val="20"/>
                <w:color w:val="auto"/>
              </w:rPr>
            </w:pPr>
            <w:r>
              <w:rPr>
                <w:rFonts w:ascii="Arial" w:cs="Arial" w:eastAsia="Arial" w:hAnsi="Arial"/>
                <w:sz w:val="20"/>
                <w:szCs w:val="20"/>
                <w:i w:val="1"/>
                <w:iCs w:val="1"/>
                <w:color w:val="auto"/>
              </w:rPr>
              <w:t>(Dollars in Millions)</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Gross profit (loss):</w:t>
            </w:r>
          </w:p>
        </w:tc>
        <w:tc>
          <w:tcPr>
            <w:tcW w:w="5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5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20"/>
                <w:szCs w:val="20"/>
                <w:color w:val="auto"/>
              </w:rPr>
              <w:t>East Group</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260" w:type="dxa"/>
            <w:vAlign w:val="bottom"/>
            <w:gridSpan w:val="2"/>
            <w:shd w:val="clear" w:color="auto" w:fill="CFF0FC"/>
          </w:tcPr>
          <w:p>
            <w:pPr>
              <w:jc w:val="right"/>
              <w:ind w:right="541"/>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298.6</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253.9</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620"/>
              <w:spacing w:after="0"/>
              <w:rPr>
                <w:sz w:val="20"/>
                <w:szCs w:val="20"/>
                <w:color w:val="auto"/>
              </w:rPr>
            </w:pPr>
            <w:r>
              <w:rPr>
                <w:rFonts w:ascii="Arial" w:cs="Arial" w:eastAsia="Arial" w:hAnsi="Arial"/>
                <w:sz w:val="20"/>
                <w:szCs w:val="20"/>
                <w:color w:val="auto"/>
              </w:rPr>
              <w:t>Asphalt</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11.8</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25.0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42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420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East Group Total</w:t>
            </w:r>
          </w:p>
        </w:tc>
        <w:tc>
          <w:tcPr>
            <w:tcW w:w="520" w:type="dxa"/>
            <w:vAlign w:val="bottom"/>
            <w:tcBorders>
              <w:top w:val="single" w:sz="8" w:color="CFF0FC"/>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310.4</w:t>
            </w:r>
          </w:p>
        </w:tc>
        <w:tc>
          <w:tcPr>
            <w:tcW w:w="34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32.0</w:t>
            </w:r>
          </w:p>
        </w:tc>
        <w:tc>
          <w:tcPr>
            <w:tcW w:w="2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253.9</w:t>
            </w:r>
          </w:p>
        </w:tc>
        <w:tc>
          <w:tcPr>
            <w:tcW w:w="34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29.6</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5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96.1</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107.4</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620"/>
              <w:spacing w:after="0"/>
              <w:rPr>
                <w:sz w:val="20"/>
                <w:szCs w:val="20"/>
                <w:color w:val="auto"/>
              </w:rPr>
            </w:pPr>
            <w:r>
              <w:rPr>
                <w:rFonts w:ascii="Arial" w:cs="Arial" w:eastAsia="Arial" w:hAnsi="Arial"/>
                <w:sz w:val="20"/>
                <w:szCs w:val="20"/>
                <w:color w:val="auto"/>
              </w:rPr>
              <w:t>Cement</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51.4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22.7</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70.7</w:t>
            </w:r>
          </w:p>
        </w:tc>
        <w:tc>
          <w:tcPr>
            <w:tcW w:w="3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32.7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5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38.6</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32.0</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FF0FC"/>
            </w:tcBorders>
          </w:tcPr>
          <w:p>
            <w:pPr>
              <w:ind w:left="620"/>
              <w:spacing w:after="0"/>
              <w:rPr>
                <w:sz w:val="20"/>
                <w:szCs w:val="20"/>
                <w:color w:val="auto"/>
              </w:rPr>
            </w:pPr>
            <w:r>
              <w:rPr>
                <w:rFonts w:ascii="Arial" w:cs="Arial" w:eastAsia="Arial" w:hAnsi="Arial"/>
                <w:sz w:val="20"/>
                <w:szCs w:val="20"/>
                <w:color w:val="auto"/>
              </w:rPr>
              <w:t>Asphalt and paving</w:t>
            </w:r>
          </w:p>
        </w:tc>
        <w:tc>
          <w:tcPr>
            <w:tcW w:w="52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w:t>
            </w:r>
          </w:p>
        </w:tc>
        <w:tc>
          <w:tcPr>
            <w:tcW w:w="34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8.6</w:t>
            </w: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13.8</w:t>
            </w:r>
          </w:p>
        </w:tc>
        <w:tc>
          <w:tcPr>
            <w:tcW w:w="34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20"/>
                <w:szCs w:val="20"/>
                <w:color w:val="auto"/>
              </w:rPr>
              <w:t>11.1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West Group Total</w:t>
            </w:r>
          </w:p>
        </w:tc>
        <w:tc>
          <w:tcPr>
            <w:tcW w:w="52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194.7</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17.5</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223.9</w:t>
            </w:r>
          </w:p>
        </w:tc>
        <w:tc>
          <w:tcPr>
            <w:tcW w:w="3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505.1</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24.3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477.8</w:t>
            </w:r>
          </w:p>
        </w:tc>
        <w:tc>
          <w:tcPr>
            <w:tcW w:w="3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5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0.5</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3"/>
            <w:shd w:val="clear" w:color="auto" w:fill="CFF0FC"/>
          </w:tcPr>
          <w:p>
            <w:pPr>
              <w:jc w:val="right"/>
              <w:ind w:right="260"/>
              <w:spacing w:after="0"/>
              <w:rPr>
                <w:sz w:val="20"/>
                <w:szCs w:val="20"/>
                <w:color w:val="auto"/>
              </w:rPr>
            </w:pPr>
            <w:r>
              <w:rPr>
                <w:rFonts w:ascii="Arial" w:cs="Arial" w:eastAsia="Arial" w:hAnsi="Arial"/>
                <w:sz w:val="20"/>
                <w:szCs w:val="20"/>
                <w:color w:val="auto"/>
              </w:rPr>
              <w:t>(0.6)</w:t>
            </w:r>
          </w:p>
        </w:tc>
        <w:tc>
          <w:tcPr>
            <w:tcW w:w="1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Building Materials business</w:t>
            </w:r>
          </w:p>
        </w:tc>
        <w:tc>
          <w:tcPr>
            <w:tcW w:w="520" w:type="dxa"/>
            <w:vAlign w:val="bottom"/>
            <w:tcBorders>
              <w:bottom w:val="single" w:sz="8" w:color="CFF0FC"/>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505.6</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22.8</w:t>
            </w:r>
          </w:p>
        </w:tc>
        <w:tc>
          <w:tcPr>
            <w:tcW w:w="26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477.2</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20"/>
                <w:szCs w:val="20"/>
                <w:color w:val="auto"/>
              </w:rPr>
              <w:t>22.6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0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5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20"/>
                <w:szCs w:val="20"/>
                <w:color w:val="auto"/>
              </w:rPr>
              <w:t>Products</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56.3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41.7</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44.3</w:t>
            </w:r>
          </w:p>
        </w:tc>
        <w:tc>
          <w:tcPr>
            <w:tcW w:w="3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40.7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5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(1.9)</w:t>
            </w: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3"/>
            <w:shd w:val="clear" w:color="auto" w:fill="CFF0FC"/>
          </w:tcPr>
          <w:p>
            <w:pPr>
              <w:jc w:val="right"/>
              <w:ind w:right="260"/>
              <w:spacing w:after="0"/>
              <w:rPr>
                <w:sz w:val="20"/>
                <w:szCs w:val="20"/>
                <w:color w:val="auto"/>
              </w:rPr>
            </w:pPr>
            <w:r>
              <w:rPr>
                <w:rFonts w:ascii="Arial" w:cs="Arial" w:eastAsia="Arial" w:hAnsi="Arial"/>
                <w:sz w:val="20"/>
                <w:szCs w:val="20"/>
                <w:color w:val="auto"/>
              </w:rPr>
              <w:t>(2.2)</w:t>
            </w:r>
          </w:p>
        </w:tc>
        <w:tc>
          <w:tcPr>
            <w:tcW w:w="1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w:t>
            </w:r>
          </w:p>
        </w:tc>
        <w:tc>
          <w:tcPr>
            <w:tcW w:w="520" w:type="dxa"/>
            <w:vAlign w:val="bottom"/>
            <w:tcBorders>
              <w:bottom w:val="single" w:sz="8" w:color="CFF0FC"/>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54.4</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37.1</w:t>
            </w:r>
          </w:p>
        </w:tc>
        <w:tc>
          <w:tcPr>
            <w:tcW w:w="26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42.1</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20"/>
                <w:szCs w:val="20"/>
                <w:color w:val="auto"/>
              </w:rPr>
              <w:t>35.3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52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(0.2)</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3.6</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20"/>
                <w:szCs w:val="20"/>
                <w:color w:val="auto"/>
              </w:rPr>
              <w:t>Total</w:t>
            </w:r>
          </w:p>
        </w:tc>
        <w:tc>
          <w:tcPr>
            <w:tcW w:w="520" w:type="dxa"/>
            <w:vAlign w:val="bottom"/>
          </w:tcPr>
          <w:p>
            <w:pPr>
              <w:spacing w:after="0"/>
              <w:rPr>
                <w:sz w:val="20"/>
                <w:szCs w:val="20"/>
                <w:color w:val="auto"/>
              </w:rPr>
            </w:pPr>
          </w:p>
        </w:tc>
        <w:tc>
          <w:tcPr>
            <w:tcW w:w="7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559.8</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23.7</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522.9</w:t>
            </w:r>
          </w:p>
        </w:tc>
        <w:tc>
          <w:tcPr>
            <w:tcW w:w="3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20"/>
                <w:szCs w:val="20"/>
                <w:i w:val="1"/>
                <w:iCs w:val="1"/>
                <w:color w:val="auto"/>
              </w:rPr>
              <w:t>Aggregates Products Gross Profit Rollforward</w:t>
            </w: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2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080" w:type="dxa"/>
            <w:vAlign w:val="bottom"/>
            <w:gridSpan w:val="7"/>
          </w:tcPr>
          <w:p>
            <w:pPr>
              <w:spacing w:after="0"/>
              <w:rPr>
                <w:sz w:val="20"/>
                <w:szCs w:val="20"/>
                <w:color w:val="auto"/>
              </w:rPr>
            </w:pPr>
            <w:r>
              <w:rPr>
                <w:rFonts w:ascii="Arial" w:cs="Arial" w:eastAsia="Arial" w:hAnsi="Arial"/>
                <w:sz w:val="20"/>
                <w:szCs w:val="20"/>
                <w:color w:val="auto"/>
                <w:w w:val="99"/>
              </w:rPr>
              <w:t>The following presents a rollforward of aggregates products gross profit (dollars in millions):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5460" w:type="dxa"/>
            <w:vAlign w:val="bottom"/>
            <w:gridSpan w:val="3"/>
          </w:tcPr>
          <w:p>
            <w:pPr>
              <w:spacing w:after="0"/>
              <w:rPr>
                <w:sz w:val="20"/>
                <w:szCs w:val="20"/>
                <w:color w:val="auto"/>
              </w:rPr>
            </w:pPr>
            <w:r>
              <w:rPr>
                <w:rFonts w:ascii="Arial" w:cs="Arial" w:eastAsia="Arial" w:hAnsi="Arial"/>
                <w:sz w:val="20"/>
                <w:szCs w:val="20"/>
                <w:color w:val="auto"/>
                <w:w w:val="92"/>
              </w:rPr>
              <w:t>Aggregates products gross profit, six months ended June 30, 2020</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361.3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0" w:type="dxa"/>
            <w:vAlign w:val="bottom"/>
            <w:tcBorders>
              <w:top w:val="single" w:sz="8" w:color="CFF0FC"/>
            </w:tcBorders>
            <w:shd w:val="clear" w:color="auto" w:fill="CFF0FC"/>
          </w:tcPr>
          <w:p>
            <w:pPr>
              <w:spacing w:after="0"/>
              <w:rPr>
                <w:sz w:val="20"/>
                <w:szCs w:val="20"/>
                <w:color w:val="auto"/>
              </w:rPr>
            </w:pPr>
          </w:p>
        </w:tc>
        <w:tc>
          <w:tcPr>
            <w:tcW w:w="520" w:type="dxa"/>
            <w:vAlign w:val="bottom"/>
            <w:tcBorders>
              <w:top w:val="single" w:sz="8" w:color="CFF0FC"/>
            </w:tcBorders>
            <w:shd w:val="clear" w:color="auto" w:fill="CFF0FC"/>
          </w:tcPr>
          <w:p>
            <w:pPr>
              <w:spacing w:after="0"/>
              <w:rPr>
                <w:sz w:val="20"/>
                <w:szCs w:val="20"/>
                <w:color w:val="auto"/>
              </w:rPr>
            </w:pPr>
          </w:p>
        </w:tc>
        <w:tc>
          <w:tcPr>
            <w:tcW w:w="740" w:type="dxa"/>
            <w:vAlign w:val="bottom"/>
            <w:tcBorders>
              <w:top w:val="single" w:sz="8" w:color="CFF0FC"/>
            </w:tcBorders>
            <w:shd w:val="clear" w:color="auto" w:fill="CFF0FC"/>
          </w:tcPr>
          <w:p>
            <w:pPr>
              <w:spacing w:after="0"/>
              <w:rPr>
                <w:sz w:val="20"/>
                <w:szCs w:val="20"/>
                <w:color w:val="auto"/>
              </w:rPr>
            </w:pPr>
          </w:p>
        </w:tc>
        <w:tc>
          <w:tcPr>
            <w:tcW w:w="70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20"/>
                <w:szCs w:val="20"/>
                <w:color w:val="auto"/>
              </w:rPr>
              <w:t>Aggregates products:</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Volume</w:t>
            </w:r>
          </w:p>
        </w:tc>
        <w:tc>
          <w:tcPr>
            <w:tcW w:w="5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Arial" w:cs="Arial" w:eastAsia="Arial" w:hAnsi="Arial"/>
                <w:sz w:val="20"/>
                <w:szCs w:val="20"/>
                <w:color w:val="auto"/>
              </w:rPr>
              <w:t>Pricing</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 xml:space="preserve">Operational performance </w:t>
            </w:r>
            <w:r>
              <w:rPr>
                <w:rFonts w:ascii="Arial" w:cs="Arial" w:eastAsia="Arial" w:hAnsi="Arial"/>
                <w:sz w:val="16"/>
                <w:szCs w:val="16"/>
                <w:color w:val="auto"/>
              </w:rPr>
              <w:t>(1)</w:t>
            </w:r>
          </w:p>
        </w:tc>
        <w:tc>
          <w:tcPr>
            <w:tcW w:w="5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20"/>
                <w:szCs w:val="20"/>
                <w:color w:val="auto"/>
              </w:rPr>
              <w:t>(17.8)</w:t>
            </w:r>
          </w:p>
        </w:tc>
        <w:tc>
          <w:tcPr>
            <w:tcW w:w="0" w:type="dxa"/>
            <w:vAlign w:val="bottom"/>
          </w:tcPr>
          <w:p>
            <w:pPr>
              <w:spacing w:after="0"/>
              <w:rPr>
                <w:sz w:val="1"/>
                <w:szCs w:val="1"/>
                <w:color w:val="auto"/>
              </w:rPr>
            </w:pPr>
          </w:p>
        </w:tc>
      </w:tr>
      <w:tr>
        <w:trPr>
          <w:trHeight w:val="237"/>
        </w:trPr>
        <w:tc>
          <w:tcPr>
            <w:tcW w:w="42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Change in aggregates products gross profit</w:t>
            </w:r>
          </w:p>
        </w:tc>
        <w:tc>
          <w:tcPr>
            <w:tcW w:w="52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70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800" w:type="dxa"/>
            <w:vAlign w:val="bottom"/>
            <w:tcBorders>
              <w:bottom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33.4</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w w:val="92"/>
              </w:rPr>
              <w:t>Aggregates products gross profit, six months ended June 30, 2021</w:t>
            </w:r>
          </w:p>
        </w:tc>
        <w:tc>
          <w:tcPr>
            <w:tcW w:w="7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3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394.7</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5"/>
          <w:szCs w:val="15"/>
          <w:i w:val="1"/>
          <w:iCs w:val="1"/>
          <w:color w:val="auto"/>
        </w:rPr>
      </w:pPr>
      <w:r>
        <w:rPr>
          <w:rFonts w:ascii="Arial" w:cs="Arial" w:eastAsia="Arial" w:hAnsi="Arial"/>
          <w:sz w:val="18"/>
          <w:szCs w:val="18"/>
          <w:i w:val="1"/>
          <w:iCs w:val="1"/>
          <w:color w:val="auto"/>
        </w:rPr>
        <w:t>Inclusive of cost increases/decreases, product and geographic mix and other operating impacts</w:t>
      </w:r>
    </w:p>
    <w:p>
      <w:pPr>
        <w:spacing w:after="0" w:line="222" w:lineRule="exact"/>
        <w:rPr>
          <w:rFonts w:ascii="Arial" w:cs="Arial" w:eastAsia="Arial" w:hAnsi="Arial"/>
          <w:sz w:val="15"/>
          <w:szCs w:val="15"/>
          <w:i w:val="1"/>
          <w:iCs w:val="1"/>
          <w:color w:val="auto"/>
        </w:rPr>
      </w:pPr>
    </w:p>
    <w:p>
      <w:pPr>
        <w:ind w:left="5080"/>
        <w:spacing w:after="0"/>
        <w:rPr>
          <w:rFonts w:ascii="Arial" w:cs="Arial" w:eastAsia="Arial" w:hAnsi="Arial"/>
          <w:sz w:val="15"/>
          <w:szCs w:val="15"/>
          <w:i w:val="1"/>
          <w:iCs w:val="1"/>
          <w:color w:val="auto"/>
        </w:rPr>
      </w:pPr>
      <w:r>
        <w:rPr>
          <w:rFonts w:ascii="Arial" w:cs="Arial" w:eastAsia="Arial" w:hAnsi="Arial"/>
          <w:sz w:val="20"/>
          <w:szCs w:val="20"/>
          <w:color w:val="auto"/>
        </w:rPr>
        <w:t>Page 38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20"/>
                <w:szCs w:val="20"/>
                <w:color w:val="auto"/>
                <w:w w:val="98"/>
              </w:rPr>
              <w:t>Six Months Ended June 30,</w:t>
            </w: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2021</w:t>
            </w:r>
          </w:p>
        </w:tc>
        <w:tc>
          <w:tcPr>
            <w:tcW w:w="12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2020</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ind w:right="181"/>
              <w:spacing w:after="0" w:line="220" w:lineRule="exact"/>
              <w:rPr>
                <w:sz w:val="20"/>
                <w:szCs w:val="20"/>
                <w:color w:val="auto"/>
              </w:rPr>
            </w:pPr>
            <w:r>
              <w:rPr>
                <w:rFonts w:ascii="Arial" w:cs="Arial" w:eastAsia="Arial" w:hAnsi="Arial"/>
                <w:sz w:val="20"/>
                <w:szCs w:val="20"/>
                <w:color w:val="auto"/>
              </w:rPr>
              <w:t>% of Total</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center"/>
              <w:ind w:right="81"/>
              <w:spacing w:after="0" w:line="220" w:lineRule="exact"/>
              <w:rPr>
                <w:sz w:val="20"/>
                <w:szCs w:val="20"/>
                <w:color w:val="auto"/>
              </w:rPr>
            </w:pPr>
            <w:r>
              <w:rPr>
                <w:rFonts w:ascii="Arial" w:cs="Arial" w:eastAsia="Arial" w:hAnsi="Arial"/>
                <w:sz w:val="20"/>
                <w:szCs w:val="20"/>
                <w:color w:val="auto"/>
                <w:w w:val="91"/>
              </w:rPr>
              <w:t>% of Total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20"/>
                <w:szCs w:val="20"/>
                <w:color w:val="auto"/>
              </w:rPr>
              <w:t>Amount</w:t>
            </w:r>
          </w:p>
        </w:tc>
        <w:tc>
          <w:tcPr>
            <w:tcW w:w="1220" w:type="dxa"/>
            <w:vAlign w:val="bottom"/>
          </w:tcPr>
          <w:p>
            <w:pPr>
              <w:jc w:val="right"/>
              <w:ind w:right="221"/>
              <w:spacing w:after="0"/>
              <w:rPr>
                <w:sz w:val="20"/>
                <w:szCs w:val="20"/>
                <w:color w:val="auto"/>
              </w:rPr>
            </w:pPr>
            <w:r>
              <w:rPr>
                <w:rFonts w:ascii="Arial" w:cs="Arial" w:eastAsia="Arial" w:hAnsi="Arial"/>
                <w:sz w:val="20"/>
                <w:szCs w:val="20"/>
                <w:color w:val="auto"/>
                <w:w w:val="97"/>
              </w:rPr>
              <w:t>Revenues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20"/>
                <w:szCs w:val="20"/>
                <w:color w:val="auto"/>
              </w:rPr>
              <w:t>Amount</w:t>
            </w:r>
          </w:p>
        </w:tc>
        <w:tc>
          <w:tcPr>
            <w:tcW w:w="136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Revenues</w:t>
            </w: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320" w:type="dxa"/>
            <w:vAlign w:val="bottom"/>
            <w:tcBorders>
              <w:top w:val="single" w:sz="8" w:color="auto"/>
            </w:tcBorders>
            <w:gridSpan w:val="5"/>
          </w:tcPr>
          <w:p>
            <w:pPr>
              <w:jc w:val="right"/>
              <w:ind w:right="1140"/>
              <w:spacing w:after="0"/>
              <w:rPr>
                <w:sz w:val="20"/>
                <w:szCs w:val="20"/>
                <w:color w:val="auto"/>
              </w:rPr>
            </w:pPr>
            <w:r>
              <w:rPr>
                <w:rFonts w:ascii="Arial" w:cs="Arial" w:eastAsia="Arial" w:hAnsi="Arial"/>
                <w:sz w:val="20"/>
                <w:szCs w:val="20"/>
                <w:i w:val="1"/>
                <w:iCs w:val="1"/>
                <w:color w:val="auto"/>
              </w:rPr>
              <w:t>(Dollars in Millions)</w:t>
            </w: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East Group</w:t>
            </w:r>
          </w:p>
        </w:tc>
        <w:tc>
          <w:tcPr>
            <w:tcW w:w="78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50.5</w:t>
            </w: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49.2</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5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66.9</w:t>
            </w:r>
          </w:p>
        </w:tc>
        <w:tc>
          <w:tcPr>
            <w:tcW w:w="44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66.0</w:t>
            </w:r>
          </w:p>
        </w:tc>
        <w:tc>
          <w:tcPr>
            <w:tcW w:w="420" w:type="dxa"/>
            <w:vAlign w:val="bottom"/>
            <w:tcBorders>
              <w:bottom w:val="single" w:sz="8" w:color="CFF0FC"/>
            </w:tcBorders>
          </w:tcPr>
          <w:p>
            <w:pPr>
              <w:spacing w:after="0"/>
              <w:rPr>
                <w:sz w:val="21"/>
                <w:szCs w:val="21"/>
                <w:color w:val="auto"/>
              </w:rPr>
            </w:pPr>
          </w:p>
        </w:tc>
        <w:tc>
          <w:tcPr>
            <w:tcW w:w="12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117.4</w:t>
            </w:r>
          </w:p>
        </w:tc>
        <w:tc>
          <w:tcPr>
            <w:tcW w:w="4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115.2</w:t>
            </w:r>
          </w:p>
        </w:tc>
        <w:tc>
          <w:tcPr>
            <w:tcW w:w="4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20"/>
                <w:szCs w:val="20"/>
                <w:color w:val="auto"/>
              </w:rPr>
              <w:t>Magnesia Specialties</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7.4</w:t>
            </w: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6.9</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5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37.4</w:t>
            </w: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27.8</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20"/>
                <w:szCs w:val="20"/>
                <w:color w:val="auto"/>
              </w:rPr>
              <w:t>Total</w:t>
            </w:r>
          </w:p>
        </w:tc>
        <w:tc>
          <w:tcPr>
            <w:tcW w:w="54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162.2</w:t>
            </w: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6.9</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149.9</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20"/>
                <w:szCs w:val="20"/>
                <w:b w:val="1"/>
                <w:bCs w:val="1"/>
                <w:color w:val="auto"/>
              </w:rPr>
              <w:t>Earnings (Loss) from operations:</w:t>
            </w: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1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60"/>
              <w:spacing w:after="0"/>
              <w:rPr>
                <w:sz w:val="20"/>
                <w:szCs w:val="20"/>
                <w:color w:val="auto"/>
              </w:rPr>
            </w:pPr>
            <w:r>
              <w:rPr>
                <w:rFonts w:ascii="Arial" w:cs="Arial" w:eastAsia="Arial" w:hAnsi="Arial"/>
                <w:sz w:val="20"/>
                <w:szCs w:val="20"/>
                <w:color w:val="auto"/>
              </w:rPr>
              <w:t>East Group</w:t>
            </w:r>
          </w:p>
        </w:tc>
        <w:tc>
          <w:tcPr>
            <w:tcW w:w="7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259.5</w:t>
            </w: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0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204.7</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5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133.6</w:t>
            </w: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155.9</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393.1</w:t>
            </w: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360.6</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46.7</w:t>
            </w: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34.9</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20"/>
                <w:szCs w:val="20"/>
                <w:color w:val="auto"/>
              </w:rPr>
              <w:t>Corporate</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20"/>
                <w:szCs w:val="20"/>
                <w:color w:val="auto"/>
              </w:rPr>
              <w:t>(33.0)</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20"/>
                <w:szCs w:val="20"/>
                <w:color w:val="auto"/>
              </w:rPr>
              <w:t>(31.3)</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5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406.8</w:t>
            </w:r>
          </w:p>
        </w:tc>
        <w:tc>
          <w:tcPr>
            <w:tcW w:w="440" w:type="dxa"/>
            <w:vAlign w:val="bottom"/>
            <w:tcBorders>
              <w:top w:val="single" w:sz="8" w:color="CFF0FC"/>
              <w:bottom w:val="single" w:sz="8" w:color="CFF0FC"/>
            </w:tcBorders>
            <w:shd w:val="clear" w:color="auto" w:fill="CFF0FC"/>
          </w:tcPr>
          <w:p>
            <w:pPr>
              <w:spacing w:after="0"/>
              <w:rPr>
                <w:sz w:val="20"/>
                <w:szCs w:val="20"/>
                <w:color w:val="auto"/>
              </w:rPr>
            </w:pP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17.2</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364.2</w:t>
            </w:r>
          </w:p>
        </w:tc>
        <w:tc>
          <w:tcPr>
            <w:tcW w:w="420" w:type="dxa"/>
            <w:vAlign w:val="bottom"/>
            <w:tcBorders>
              <w:top w:val="single" w:sz="8" w:color="CFF0FC"/>
              <w:bottom w:val="single" w:sz="8" w:color="CFF0FC"/>
            </w:tcBorders>
            <w:shd w:val="clear" w:color="auto" w:fill="CFF0FC"/>
          </w:tcPr>
          <w:p>
            <w:pPr>
              <w:spacing w:after="0"/>
              <w:rPr>
                <w:sz w:val="20"/>
                <w:szCs w:val="20"/>
                <w:color w:val="auto"/>
              </w:rPr>
            </w:pP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16.3</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volume and pricing variance data and shipments data by segment:</w:t>
      </w:r>
    </w:p>
    <w:p>
      <w:pPr>
        <w:spacing w:after="0" w:line="108" w:lineRule="exact"/>
        <w:rPr>
          <w:sz w:val="20"/>
          <w:szCs w:val="20"/>
          <w:color w:val="auto"/>
        </w:rPr>
      </w:pPr>
    </w:p>
    <w:p>
      <w:pPr>
        <w:jc w:val="center"/>
        <w:ind w:left="6720"/>
        <w:spacing w:after="0"/>
        <w:rPr>
          <w:sz w:val="20"/>
          <w:szCs w:val="20"/>
          <w:color w:val="auto"/>
        </w:rPr>
      </w:pPr>
      <w:r>
        <w:rPr>
          <w:rFonts w:ascii="Arial" w:cs="Arial" w:eastAsia="Arial" w:hAnsi="Arial"/>
          <w:sz w:val="20"/>
          <w:szCs w:val="20"/>
          <w:color w:val="auto"/>
        </w:rPr>
        <w:t>Six Months Ended</w:t>
      </w:r>
    </w:p>
    <w:p>
      <w:pPr>
        <w:spacing w:after="0" w:line="20" w:lineRule="exact"/>
        <w:rPr>
          <w:sz w:val="20"/>
          <w:szCs w:val="20"/>
          <w:color w:val="auto"/>
        </w:rPr>
      </w:pPr>
    </w:p>
    <w:p>
      <w:pPr>
        <w:jc w:val="center"/>
        <w:ind w:left="6720"/>
        <w:spacing w:after="0"/>
        <w:rPr>
          <w:sz w:val="20"/>
          <w:szCs w:val="20"/>
          <w:color w:val="auto"/>
        </w:rPr>
      </w:pPr>
      <w:r>
        <w:rPr>
          <w:rFonts w:ascii="Arial" w:cs="Arial" w:eastAsia="Arial" w:hAnsi="Arial"/>
          <w:sz w:val="20"/>
          <w:szCs w:val="20"/>
          <w:color w:val="auto"/>
        </w:rPr>
        <w:t>June 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40" w:type="dxa"/>
            <w:vAlign w:val="bottom"/>
          </w:tcPr>
          <w:p>
            <w:pPr>
              <w:spacing w:after="0"/>
              <w:rPr>
                <w:sz w:val="20"/>
                <w:szCs w:val="20"/>
                <w:color w:val="auto"/>
              </w:rPr>
            </w:pPr>
          </w:p>
        </w:tc>
        <w:tc>
          <w:tcPr>
            <w:tcW w:w="13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20"/>
                <w:szCs w:val="20"/>
                <w:color w:val="auto"/>
              </w:rPr>
              <w:t>Volume</w:t>
            </w:r>
          </w:p>
        </w:tc>
        <w:tc>
          <w:tcPr>
            <w:tcW w:w="4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8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20"/>
                <w:szCs w:val="20"/>
                <w:color w:val="auto"/>
              </w:rPr>
              <w:t>Pricing</w:t>
            </w:r>
          </w:p>
        </w:tc>
        <w:tc>
          <w:tcPr>
            <w:tcW w:w="180" w:type="dxa"/>
            <w:vAlign w:val="bottom"/>
          </w:tcPr>
          <w:p>
            <w:pPr>
              <w:spacing w:after="0"/>
              <w:rPr>
                <w:sz w:val="20"/>
                <w:szCs w:val="20"/>
                <w:color w:val="auto"/>
              </w:rPr>
            </w:pPr>
          </w:p>
        </w:tc>
      </w:tr>
      <w:tr>
        <w:trPr>
          <w:trHeight w:val="236"/>
        </w:trPr>
        <w:tc>
          <w:tcPr>
            <w:tcW w:w="6940" w:type="dxa"/>
            <w:vAlign w:val="bottom"/>
          </w:tcPr>
          <w:p>
            <w:pPr>
              <w:spacing w:after="0"/>
              <w:rPr>
                <w:sz w:val="20"/>
                <w:szCs w:val="20"/>
                <w:color w:val="auto"/>
              </w:rPr>
            </w:pPr>
            <w:r>
              <w:rPr>
                <w:rFonts w:ascii="Arial" w:cs="Arial" w:eastAsia="Arial" w:hAnsi="Arial"/>
                <w:sz w:val="20"/>
                <w:szCs w:val="20"/>
                <w:b w:val="1"/>
                <w:bCs w:val="1"/>
                <w:color w:val="auto"/>
              </w:rPr>
              <w:t>Volume/Pricing variance</w:t>
            </w:r>
            <w:r>
              <w:rPr>
                <w:rFonts w:ascii="Arial" w:cs="Arial" w:eastAsia="Arial" w:hAnsi="Arial"/>
                <w:sz w:val="16"/>
                <w:szCs w:val="16"/>
                <w:color w:val="auto"/>
              </w:rPr>
              <w:t>(1)</w:t>
            </w: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830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East Group</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4.2%</w:t>
            </w:r>
          </w:p>
        </w:tc>
        <w:tc>
          <w:tcPr>
            <w:tcW w:w="20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3.6%</w:t>
            </w:r>
          </w:p>
        </w:tc>
      </w:tr>
      <w:tr>
        <w:trPr>
          <w:trHeight w:val="243"/>
        </w:trPr>
        <w:tc>
          <w:tcPr>
            <w:tcW w:w="8300" w:type="dxa"/>
            <w:vAlign w:val="bottom"/>
            <w:gridSpan w:val="2"/>
          </w:tcPr>
          <w:p>
            <w:pPr>
              <w:ind w:left="260"/>
              <w:spacing w:after="0"/>
              <w:rPr>
                <w:sz w:val="20"/>
                <w:szCs w:val="20"/>
                <w:color w:val="auto"/>
              </w:rPr>
            </w:pPr>
            <w:r>
              <w:rPr>
                <w:rFonts w:ascii="Arial" w:cs="Arial" w:eastAsia="Arial" w:hAnsi="Arial"/>
                <w:sz w:val="20"/>
                <w:szCs w:val="20"/>
                <w:color w:val="auto"/>
              </w:rPr>
              <w:t>West Group</w:t>
            </w:r>
          </w:p>
        </w:tc>
        <w:tc>
          <w:tcPr>
            <w:tcW w:w="920" w:type="dxa"/>
            <w:vAlign w:val="bottom"/>
            <w:gridSpan w:val="2"/>
          </w:tcPr>
          <w:p>
            <w:pPr>
              <w:jc w:val="right"/>
              <w:ind w:right="220"/>
              <w:spacing w:after="0"/>
              <w:rPr>
                <w:sz w:val="20"/>
                <w:szCs w:val="20"/>
                <w:color w:val="auto"/>
              </w:rPr>
            </w:pPr>
            <w:r>
              <w:rPr>
                <w:rFonts w:ascii="Arial" w:cs="Arial" w:eastAsia="Arial" w:hAnsi="Arial"/>
                <w:sz w:val="20"/>
                <w:szCs w:val="20"/>
                <w:color w:val="auto"/>
              </w:rPr>
              <w:t>(5.5%)</w:t>
            </w:r>
          </w:p>
        </w:tc>
        <w:tc>
          <w:tcPr>
            <w:tcW w:w="2020" w:type="dxa"/>
            <w:vAlign w:val="bottom"/>
            <w:gridSpan w:val="2"/>
          </w:tcPr>
          <w:p>
            <w:pPr>
              <w:jc w:val="right"/>
              <w:ind w:right="20"/>
              <w:spacing w:after="0"/>
              <w:rPr>
                <w:sz w:val="20"/>
                <w:szCs w:val="20"/>
                <w:color w:val="auto"/>
              </w:rPr>
            </w:pPr>
            <w:r>
              <w:rPr>
                <w:rFonts w:ascii="Arial" w:cs="Arial" w:eastAsia="Arial" w:hAnsi="Arial"/>
                <w:sz w:val="20"/>
                <w:szCs w:val="20"/>
                <w:color w:val="auto"/>
              </w:rPr>
              <w:t>1.3%</w:t>
            </w:r>
          </w:p>
        </w:tc>
      </w:tr>
      <w:tr>
        <w:trPr>
          <w:trHeight w:val="243"/>
        </w:trPr>
        <w:tc>
          <w:tcPr>
            <w:tcW w:w="83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0.6%</w:t>
            </w:r>
          </w:p>
        </w:tc>
        <w:tc>
          <w:tcPr>
            <w:tcW w:w="20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3.1%</w:t>
            </w:r>
          </w:p>
        </w:tc>
      </w:tr>
      <w:tr>
        <w:trPr>
          <w:trHeight w:val="250"/>
        </w:trPr>
        <w:tc>
          <w:tcPr>
            <w:tcW w:w="8300" w:type="dxa"/>
            <w:vAlign w:val="bottom"/>
            <w:gridSpan w:val="2"/>
          </w:tcPr>
          <w:p>
            <w:pPr>
              <w:spacing w:after="0"/>
              <w:rPr>
                <w:sz w:val="20"/>
                <w:szCs w:val="20"/>
                <w:color w:val="auto"/>
              </w:rPr>
            </w:pPr>
            <w:r>
              <w:rPr>
                <w:rFonts w:ascii="Arial" w:cs="Arial" w:eastAsia="Arial" w:hAnsi="Arial"/>
                <w:sz w:val="20"/>
                <w:szCs w:val="20"/>
                <w:color w:val="auto"/>
              </w:rPr>
              <w:t>Organic aggregates operations</w:t>
            </w:r>
          </w:p>
        </w:tc>
        <w:tc>
          <w:tcPr>
            <w:tcW w:w="920" w:type="dxa"/>
            <w:vAlign w:val="bottom"/>
            <w:gridSpan w:val="2"/>
          </w:tcPr>
          <w:p>
            <w:pPr>
              <w:jc w:val="right"/>
              <w:ind w:right="220"/>
              <w:spacing w:after="0"/>
              <w:rPr>
                <w:sz w:val="20"/>
                <w:szCs w:val="20"/>
                <w:color w:val="auto"/>
              </w:rPr>
            </w:pPr>
            <w:r>
              <w:rPr>
                <w:rFonts w:ascii="Arial" w:cs="Arial" w:eastAsia="Arial" w:hAnsi="Arial"/>
                <w:sz w:val="20"/>
                <w:szCs w:val="20"/>
                <w:color w:val="auto"/>
              </w:rPr>
              <w:t>(0.4%)</w:t>
            </w:r>
          </w:p>
        </w:tc>
        <w:tc>
          <w:tcPr>
            <w:tcW w:w="2020" w:type="dxa"/>
            <w:vAlign w:val="bottom"/>
            <w:gridSpan w:val="2"/>
          </w:tcPr>
          <w:p>
            <w:pPr>
              <w:jc w:val="right"/>
              <w:ind w:right="20"/>
              <w:spacing w:after="0"/>
              <w:rPr>
                <w:sz w:val="20"/>
                <w:szCs w:val="20"/>
                <w:color w:val="auto"/>
              </w:rPr>
            </w:pPr>
            <w:r>
              <w:rPr>
                <w:rFonts w:ascii="Arial" w:cs="Arial" w:eastAsia="Arial" w:hAnsi="Arial"/>
                <w:sz w:val="20"/>
                <w:szCs w:val="20"/>
                <w:color w:val="auto"/>
              </w:rPr>
              <w:t>3.4%</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91" w:lineRule="exact"/>
        <w:rPr>
          <w:sz w:val="20"/>
          <w:szCs w:val="20"/>
          <w:color w:val="auto"/>
        </w:rPr>
      </w:pPr>
    </w:p>
    <w:p>
      <w:pPr>
        <w:jc w:val="center"/>
        <w:ind w:left="6980"/>
        <w:spacing w:after="0"/>
        <w:rPr>
          <w:sz w:val="20"/>
          <w:szCs w:val="20"/>
          <w:color w:val="auto"/>
        </w:rPr>
      </w:pPr>
      <w:r>
        <w:rPr>
          <w:rFonts w:ascii="Arial" w:cs="Arial" w:eastAsia="Arial" w:hAnsi="Arial"/>
          <w:sz w:val="20"/>
          <w:szCs w:val="20"/>
          <w:color w:val="auto"/>
        </w:rPr>
        <w:t>Six Months Ended</w:t>
      </w:r>
    </w:p>
    <w:p>
      <w:pPr>
        <w:spacing w:after="0" w:line="20" w:lineRule="exact"/>
        <w:rPr>
          <w:sz w:val="20"/>
          <w:szCs w:val="20"/>
          <w:color w:val="auto"/>
        </w:rPr>
      </w:pPr>
    </w:p>
    <w:p>
      <w:pPr>
        <w:jc w:val="center"/>
        <w:ind w:left="6980"/>
        <w:spacing w:after="0"/>
        <w:rPr>
          <w:sz w:val="20"/>
          <w:szCs w:val="20"/>
          <w:color w:val="auto"/>
        </w:rPr>
      </w:pPr>
      <w:r>
        <w:rPr>
          <w:rFonts w:ascii="Arial" w:cs="Arial" w:eastAsia="Arial" w:hAnsi="Arial"/>
          <w:sz w:val="20"/>
          <w:szCs w:val="20"/>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6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20"/>
                <w:szCs w:val="20"/>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3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Shipments</w:t>
            </w:r>
          </w:p>
        </w:tc>
        <w:tc>
          <w:tcPr>
            <w:tcW w:w="1600" w:type="dxa"/>
            <w:vAlign w:val="bottom"/>
            <w:gridSpan w:val="3"/>
          </w:tcPr>
          <w:p>
            <w:pPr>
              <w:ind w:left="100"/>
              <w:spacing w:after="0"/>
              <w:rPr>
                <w:sz w:val="20"/>
                <w:szCs w:val="20"/>
                <w:color w:val="auto"/>
              </w:rPr>
            </w:pPr>
            <w:r>
              <w:rPr>
                <w:rFonts w:ascii="Arial" w:cs="Arial" w:eastAsia="Arial" w:hAnsi="Arial"/>
                <w:sz w:val="20"/>
                <w:szCs w:val="20"/>
                <w:i w:val="1"/>
                <w:iCs w:val="1"/>
                <w:color w:val="auto"/>
                <w:w w:val="97"/>
              </w:rPr>
              <w:t>(Tons in Millions)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32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320" w:type="dxa"/>
            <w:vAlign w:val="bottom"/>
            <w:gridSpan w:val="2"/>
          </w:tcPr>
          <w:p>
            <w:pPr>
              <w:ind w:left="260"/>
              <w:spacing w:after="0"/>
              <w:rPr>
                <w:sz w:val="20"/>
                <w:szCs w:val="20"/>
                <w:color w:val="auto"/>
              </w:rPr>
            </w:pPr>
            <w:r>
              <w:rPr>
                <w:rFonts w:ascii="Arial" w:cs="Arial" w:eastAsia="Arial" w:hAnsi="Arial"/>
                <w:sz w:val="20"/>
                <w:szCs w:val="20"/>
                <w:color w:val="auto"/>
              </w:rPr>
              <w:t>East Group</w:t>
            </w:r>
          </w:p>
        </w:tc>
        <w:tc>
          <w:tcPr>
            <w:tcW w:w="660" w:type="dxa"/>
            <w:vAlign w:val="bottom"/>
          </w:tcPr>
          <w:p>
            <w:pPr>
              <w:jc w:val="right"/>
              <w:spacing w:after="0"/>
              <w:rPr>
                <w:sz w:val="20"/>
                <w:szCs w:val="20"/>
                <w:color w:val="auto"/>
              </w:rPr>
            </w:pPr>
            <w:r>
              <w:rPr>
                <w:rFonts w:ascii="Arial" w:cs="Arial" w:eastAsia="Arial" w:hAnsi="Arial"/>
                <w:sz w:val="20"/>
                <w:szCs w:val="20"/>
                <w:color w:val="auto"/>
              </w:rPr>
              <w:t>58.1</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31.9</w:t>
            </w: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20" w:type="dxa"/>
            <w:vAlign w:val="bottom"/>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1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90.0</w:t>
            </w: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hanging="226"/>
        <w:spacing w:after="0"/>
        <w:tabs>
          <w:tab w:leader="none" w:pos="240" w:val="left"/>
        </w:tabs>
        <w:numPr>
          <w:ilvl w:val="0"/>
          <w:numId w:val="17"/>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40" w:hanging="232"/>
        <w:spacing w:after="0"/>
        <w:tabs>
          <w:tab w:leader="none" w:pos="240" w:val="left"/>
        </w:tabs>
        <w:numPr>
          <w:ilvl w:val="0"/>
          <w:numId w:val="17"/>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00" w:type="dxa"/>
            <w:vAlign w:val="bottom"/>
            <w:gridSpan w:val="2"/>
          </w:tcPr>
          <w:p>
            <w:pPr>
              <w:spacing w:after="0"/>
              <w:rPr>
                <w:sz w:val="20"/>
                <w:szCs w:val="20"/>
                <w:color w:val="auto"/>
              </w:rPr>
            </w:pPr>
            <w:r>
              <w:rPr>
                <w:rFonts w:ascii="Arial" w:cs="Arial" w:eastAsia="Arial" w:hAnsi="Arial"/>
                <w:sz w:val="20"/>
                <w:szCs w:val="20"/>
                <w:color w:val="auto"/>
                <w:w w:val="92"/>
              </w:rPr>
              <w:t>The following table presents shipments data for the Building Materials business by product line:</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0"/>
        </w:trPr>
        <w:tc>
          <w:tcPr>
            <w:tcW w:w="6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gridSpan w:val="4"/>
          </w:tcPr>
          <w:p>
            <w:pPr>
              <w:jc w:val="center"/>
              <w:ind w:left="61"/>
              <w:spacing w:after="0"/>
              <w:rPr>
                <w:sz w:val="20"/>
                <w:szCs w:val="20"/>
                <w:color w:val="auto"/>
              </w:rPr>
            </w:pPr>
            <w:r>
              <w:rPr>
                <w:rFonts w:ascii="Arial" w:cs="Arial" w:eastAsia="Arial" w:hAnsi="Arial"/>
                <w:sz w:val="20"/>
                <w:szCs w:val="20"/>
                <w:color w:val="auto"/>
                <w:w w:val="89"/>
              </w:rPr>
              <w:t>Six Months Ended</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center"/>
              <w:ind w:right="1"/>
              <w:spacing w:after="0"/>
              <w:rPr>
                <w:sz w:val="20"/>
                <w:szCs w:val="20"/>
                <w:color w:val="auto"/>
              </w:rPr>
            </w:pPr>
            <w:r>
              <w:rPr>
                <w:rFonts w:ascii="Arial" w:cs="Arial" w:eastAsia="Arial" w:hAnsi="Arial"/>
                <w:sz w:val="20"/>
                <w:szCs w:val="20"/>
                <w:color w:val="auto"/>
                <w:w w:val="85"/>
              </w:rPr>
              <w:t>June 30,</w:t>
            </w:r>
          </w:p>
        </w:tc>
        <w:tc>
          <w:tcPr>
            <w:tcW w:w="420" w:type="dxa"/>
            <w:vAlign w:val="bottom"/>
          </w:tcPr>
          <w:p>
            <w:pPr>
              <w:spacing w:after="0"/>
              <w:rPr>
                <w:sz w:val="21"/>
                <w:szCs w:val="21"/>
                <w:color w:val="auto"/>
              </w:rPr>
            </w:pPr>
          </w:p>
        </w:tc>
        <w:tc>
          <w:tcPr>
            <w:tcW w:w="1120" w:type="dxa"/>
            <w:vAlign w:val="bottom"/>
            <w:gridSpan w:val="2"/>
            <w:vMerge w:val="restart"/>
          </w:tcPr>
          <w:p>
            <w:pPr>
              <w:jc w:val="right"/>
              <w:ind w:right="22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800" w:type="dxa"/>
            <w:vAlign w:val="bottom"/>
            <w:gridSpan w:val="2"/>
          </w:tcPr>
          <w:p>
            <w:pPr>
              <w:ind w:left="7340"/>
              <w:spacing w:after="0"/>
              <w:rPr>
                <w:sz w:val="20"/>
                <w:szCs w:val="20"/>
                <w:color w:val="auto"/>
              </w:rPr>
            </w:pPr>
            <w:r>
              <w:rPr>
                <w:rFonts w:ascii="Arial" w:cs="Arial" w:eastAsia="Arial" w:hAnsi="Arial"/>
                <w:sz w:val="20"/>
                <w:szCs w:val="20"/>
                <w:color w:val="auto"/>
                <w:w w:val="98"/>
              </w:rPr>
              <w:t>2021</w:t>
            </w:r>
          </w:p>
        </w:tc>
        <w:tc>
          <w:tcPr>
            <w:tcW w:w="1640" w:type="dxa"/>
            <w:vAlign w:val="bottom"/>
            <w:gridSpan w:val="3"/>
          </w:tcPr>
          <w:p>
            <w:pPr>
              <w:jc w:val="right"/>
              <w:spacing w:after="0"/>
              <w:rPr>
                <w:sz w:val="20"/>
                <w:szCs w:val="20"/>
                <w:color w:val="auto"/>
              </w:rPr>
            </w:pPr>
            <w:r>
              <w:rPr>
                <w:rFonts w:ascii="Arial" w:cs="Arial" w:eastAsia="Arial" w:hAnsi="Arial"/>
                <w:sz w:val="20"/>
                <w:szCs w:val="20"/>
                <w:color w:val="auto"/>
              </w:rPr>
              <w:t>2020</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20"/>
                <w:szCs w:val="20"/>
                <w:color w:val="auto"/>
                <w:w w:val="85"/>
              </w:rPr>
              <w:t>Change</w:t>
            </w:r>
          </w:p>
        </w:tc>
        <w:tc>
          <w:tcPr>
            <w:tcW w:w="0" w:type="dxa"/>
            <w:vAlign w:val="bottom"/>
          </w:tcPr>
          <w:p>
            <w:pPr>
              <w:spacing w:after="0"/>
              <w:rPr>
                <w:sz w:val="1"/>
                <w:szCs w:val="1"/>
                <w:color w:val="auto"/>
              </w:rPr>
            </w:pPr>
          </w:p>
        </w:tc>
      </w:tr>
      <w:tr>
        <w:trPr>
          <w:trHeight w:val="236"/>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94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0" w:type="dxa"/>
            <w:vAlign w:val="bottom"/>
            <w:gridSpan w:val="2"/>
          </w:tcPr>
          <w:p>
            <w:pPr>
              <w:spacing w:after="0"/>
              <w:rPr>
                <w:sz w:val="20"/>
                <w:szCs w:val="20"/>
                <w:color w:val="auto"/>
              </w:rPr>
            </w:pPr>
            <w:r>
              <w:rPr>
                <w:rFonts w:ascii="Arial" w:cs="Arial" w:eastAsia="Arial" w:hAnsi="Arial"/>
                <w:sz w:val="20"/>
                <w:szCs w:val="20"/>
                <w:color w:val="auto"/>
              </w:rPr>
              <w:t>Aggregates (in millions):</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Tons to external customers</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83.3</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7"/>
              </w:rPr>
              <w:t>83.9</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2"/>
          </w:tcPr>
          <w:p>
            <w:pPr>
              <w:ind w:left="260"/>
              <w:spacing w:after="0"/>
              <w:rPr>
                <w:sz w:val="20"/>
                <w:szCs w:val="20"/>
                <w:color w:val="auto"/>
              </w:rPr>
            </w:pPr>
            <w:r>
              <w:rPr>
                <w:rFonts w:ascii="Arial" w:cs="Arial" w:eastAsia="Arial" w:hAnsi="Arial"/>
                <w:sz w:val="20"/>
                <w:szCs w:val="20"/>
                <w:color w:val="auto"/>
              </w:rPr>
              <w:t>Internal tons used in other product lines</w:t>
            </w:r>
          </w:p>
        </w:tc>
        <w:tc>
          <w:tcPr>
            <w:tcW w:w="420" w:type="dxa"/>
            <w:vAlign w:val="bottom"/>
          </w:tcPr>
          <w:p>
            <w:pPr>
              <w:jc w:val="right"/>
              <w:spacing w:after="0"/>
              <w:rPr>
                <w:sz w:val="20"/>
                <w:szCs w:val="20"/>
                <w:color w:val="auto"/>
              </w:rPr>
            </w:pPr>
            <w:r>
              <w:rPr>
                <w:rFonts w:ascii="Arial" w:cs="Arial" w:eastAsia="Arial" w:hAnsi="Arial"/>
                <w:sz w:val="20"/>
                <w:szCs w:val="20"/>
                <w:color w:val="auto"/>
              </w:rPr>
              <w:t>6.7</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5.6</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aggregates tons</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90.0</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89.5</w:t>
            </w:r>
          </w:p>
        </w:tc>
        <w:tc>
          <w:tcPr>
            <w:tcW w:w="1380" w:type="dxa"/>
            <w:vAlign w:val="bottom"/>
            <w:tcBorders>
              <w:top w:val="single" w:sz="8" w:color="CFF0FC"/>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Cement (in millions):</w:t>
            </w: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2"/>
          </w:tcPr>
          <w:p>
            <w:pPr>
              <w:ind w:left="140"/>
              <w:spacing w:after="0"/>
              <w:rPr>
                <w:sz w:val="20"/>
                <w:szCs w:val="20"/>
                <w:color w:val="auto"/>
              </w:rPr>
            </w:pPr>
            <w:r>
              <w:rPr>
                <w:rFonts w:ascii="Arial" w:cs="Arial" w:eastAsia="Arial" w:hAnsi="Arial"/>
                <w:sz w:val="20"/>
                <w:szCs w:val="20"/>
                <w:color w:val="auto"/>
              </w:rPr>
              <w:t>Tons to external customers</w:t>
            </w:r>
          </w:p>
        </w:tc>
        <w:tc>
          <w:tcPr>
            <w:tcW w:w="420" w:type="dxa"/>
            <w:vAlign w:val="bottom"/>
          </w:tcPr>
          <w:p>
            <w:pPr>
              <w:jc w:val="right"/>
              <w:spacing w:after="0"/>
              <w:rPr>
                <w:sz w:val="20"/>
                <w:szCs w:val="20"/>
                <w:color w:val="auto"/>
              </w:rPr>
            </w:pPr>
            <w:r>
              <w:rPr>
                <w:rFonts w:ascii="Arial" w:cs="Arial" w:eastAsia="Arial" w:hAnsi="Arial"/>
                <w:sz w:val="20"/>
                <w:szCs w:val="20"/>
                <w:color w:val="auto"/>
              </w:rPr>
              <w:t>1.2</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1.3</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Internal tons used in ready mixed concrete</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0.7</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0.6</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8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cement tons</w:t>
            </w:r>
          </w:p>
        </w:tc>
        <w:tc>
          <w:tcPr>
            <w:tcW w:w="9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260" w:type="dxa"/>
            <w:vAlign w:val="bottom"/>
            <w:tcBorders>
              <w:bottom w:val="single" w:sz="8" w:color="CFF0FC"/>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138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20"/>
                <w:szCs w:val="20"/>
                <w:color w:val="auto"/>
              </w:rPr>
              <w:t>(0.8%)</w:t>
            </w:r>
          </w:p>
        </w:tc>
        <w:tc>
          <w:tcPr>
            <w:tcW w:w="0" w:type="dxa"/>
            <w:vAlign w:val="bottom"/>
          </w:tcPr>
          <w:p>
            <w:pPr>
              <w:spacing w:after="0"/>
              <w:rPr>
                <w:sz w:val="1"/>
                <w:szCs w:val="1"/>
                <w:color w:val="auto"/>
              </w:rPr>
            </w:pPr>
          </w:p>
        </w:tc>
      </w:tr>
      <w:tr>
        <w:trPr>
          <w:trHeight w:val="224"/>
        </w:trPr>
        <w:tc>
          <w:tcPr>
            <w:tcW w:w="68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800" w:type="dxa"/>
            <w:vAlign w:val="bottom"/>
            <w:gridSpan w:val="2"/>
          </w:tcPr>
          <w:p>
            <w:pPr>
              <w:spacing w:after="0"/>
              <w:rPr>
                <w:sz w:val="20"/>
                <w:szCs w:val="20"/>
                <w:color w:val="auto"/>
              </w:rPr>
            </w:pPr>
            <w:r>
              <w:rPr>
                <w:rFonts w:ascii="Arial" w:cs="Arial" w:eastAsia="Arial" w:hAnsi="Arial"/>
                <w:sz w:val="20"/>
                <w:szCs w:val="20"/>
                <w:color w:val="auto"/>
              </w:rPr>
              <w:t>Ready Mixed Concrete (in millions of cubic yards)</w:t>
            </w:r>
          </w:p>
        </w:tc>
        <w:tc>
          <w:tcPr>
            <w:tcW w:w="420" w:type="dxa"/>
            <w:vAlign w:val="bottom"/>
          </w:tcPr>
          <w:p>
            <w:pPr>
              <w:jc w:val="right"/>
              <w:spacing w:after="0"/>
              <w:rPr>
                <w:sz w:val="20"/>
                <w:szCs w:val="20"/>
                <w:color w:val="auto"/>
              </w:rPr>
            </w:pPr>
            <w:r>
              <w:rPr>
                <w:rFonts w:ascii="Arial" w:cs="Arial" w:eastAsia="Arial" w:hAnsi="Arial"/>
                <w:sz w:val="20"/>
                <w:szCs w:val="20"/>
                <w:color w:val="auto"/>
              </w:rPr>
              <w:t>4.4</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3.8</w:t>
            </w:r>
          </w:p>
        </w:tc>
        <w:tc>
          <w:tcPr>
            <w:tcW w:w="1380" w:type="dxa"/>
            <w:vAlign w:val="bottom"/>
            <w:gridSpan w:val="3"/>
          </w:tcPr>
          <w:p>
            <w:pPr>
              <w:jc w:val="right"/>
              <w:ind w:right="100"/>
              <w:spacing w:after="0"/>
              <w:rPr>
                <w:sz w:val="20"/>
                <w:szCs w:val="20"/>
                <w:color w:val="auto"/>
              </w:rPr>
            </w:pPr>
            <w:r>
              <w:rPr>
                <w:rFonts w:ascii="Arial" w:cs="Arial" w:eastAsia="Arial" w:hAnsi="Arial"/>
                <w:sz w:val="20"/>
                <w:szCs w:val="20"/>
                <w:color w:val="auto"/>
              </w:rPr>
              <w:t>16.1%</w:t>
            </w:r>
          </w:p>
        </w:tc>
        <w:tc>
          <w:tcPr>
            <w:tcW w:w="0" w:type="dxa"/>
            <w:vAlign w:val="bottom"/>
          </w:tcPr>
          <w:p>
            <w:pPr>
              <w:spacing w:after="0"/>
              <w:rPr>
                <w:sz w:val="1"/>
                <w:szCs w:val="1"/>
                <w:color w:val="auto"/>
              </w:rPr>
            </w:pPr>
          </w:p>
        </w:tc>
      </w:tr>
      <w:tr>
        <w:trPr>
          <w:trHeight w:val="223"/>
        </w:trPr>
        <w:tc>
          <w:tcPr>
            <w:tcW w:w="68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00" w:type="dxa"/>
            <w:vAlign w:val="bottom"/>
            <w:gridSpan w:val="2"/>
          </w:tcPr>
          <w:p>
            <w:pPr>
              <w:spacing w:after="0"/>
              <w:rPr>
                <w:sz w:val="20"/>
                <w:szCs w:val="20"/>
                <w:color w:val="auto"/>
              </w:rPr>
            </w:pPr>
            <w:r>
              <w:rPr>
                <w:rFonts w:ascii="Arial" w:cs="Arial" w:eastAsia="Arial" w:hAnsi="Arial"/>
                <w:sz w:val="20"/>
                <w:szCs w:val="20"/>
                <w:color w:val="auto"/>
              </w:rPr>
              <w:t>Asphalt (in millions):</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Tons to external customers</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0.3</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2"/>
          </w:tcPr>
          <w:p>
            <w:pPr>
              <w:ind w:left="260"/>
              <w:spacing w:after="0"/>
              <w:rPr>
                <w:sz w:val="20"/>
                <w:szCs w:val="20"/>
                <w:color w:val="auto"/>
              </w:rPr>
            </w:pPr>
            <w:r>
              <w:rPr>
                <w:rFonts w:ascii="Arial" w:cs="Arial" w:eastAsia="Arial" w:hAnsi="Arial"/>
                <w:sz w:val="20"/>
                <w:szCs w:val="20"/>
                <w:color w:val="auto"/>
              </w:rPr>
              <w:t>Internal tons used in paving business</w:t>
            </w:r>
          </w:p>
        </w:tc>
        <w:tc>
          <w:tcPr>
            <w:tcW w:w="420" w:type="dxa"/>
            <w:vAlign w:val="bottom"/>
          </w:tcPr>
          <w:p>
            <w:pPr>
              <w:jc w:val="right"/>
              <w:spacing w:after="0"/>
              <w:rPr>
                <w:sz w:val="20"/>
                <w:szCs w:val="20"/>
                <w:color w:val="auto"/>
              </w:rPr>
            </w:pPr>
            <w:r>
              <w:rPr>
                <w:rFonts w:ascii="Arial" w:cs="Arial" w:eastAsia="Arial" w:hAnsi="Arial"/>
                <w:sz w:val="20"/>
                <w:szCs w:val="20"/>
                <w:color w:val="auto"/>
              </w:rPr>
              <w:t>0.6</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1.0</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asphalt tons</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1380" w:type="dxa"/>
            <w:vAlign w:val="bottom"/>
            <w:tcBorders>
              <w:top w:val="single" w:sz="8" w:color="CFF0FC"/>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20"/>
                <w:szCs w:val="20"/>
                <w:color w:val="auto"/>
              </w:rPr>
              <w:t>53.1%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360" w:type="dxa"/>
            <w:vAlign w:val="bottom"/>
            <w:gridSpan w:val="4"/>
          </w:tcPr>
          <w:p>
            <w:pPr>
              <w:ind w:left="260"/>
              <w:spacing w:after="0"/>
              <w:rPr>
                <w:sz w:val="20"/>
                <w:szCs w:val="20"/>
                <w:color w:val="auto"/>
              </w:rPr>
            </w:pPr>
            <w:r>
              <w:rPr>
                <w:rFonts w:ascii="Arial" w:cs="Arial" w:eastAsia="Arial" w:hAnsi="Arial"/>
                <w:sz w:val="20"/>
                <w:szCs w:val="20"/>
                <w:color w:val="auto"/>
              </w:rPr>
              <w:t>Six Months Ended</w:t>
            </w: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6"/>
        </w:trPr>
        <w:tc>
          <w:tcPr>
            <w:tcW w:w="556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2"/>
          </w:tcPr>
          <w:p>
            <w:pPr>
              <w:jc w:val="right"/>
              <w:ind w:right="1040"/>
              <w:spacing w:after="0"/>
              <w:rPr>
                <w:sz w:val="20"/>
                <w:szCs w:val="20"/>
                <w:color w:val="auto"/>
              </w:rPr>
            </w:pPr>
            <w:r>
              <w:rPr>
                <w:rFonts w:ascii="Arial" w:cs="Arial" w:eastAsia="Arial" w:hAnsi="Arial"/>
                <w:sz w:val="20"/>
                <w:szCs w:val="20"/>
                <w:color w:val="auto"/>
              </w:rPr>
              <w:t>June 30,</w:t>
            </w:r>
          </w:p>
        </w:tc>
        <w:tc>
          <w:tcPr>
            <w:tcW w:w="13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36"/>
        </w:trPr>
        <w:tc>
          <w:tcPr>
            <w:tcW w:w="556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2020</w:t>
            </w:r>
          </w:p>
        </w:tc>
        <w:tc>
          <w:tcPr>
            <w:tcW w:w="38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 Change</w:t>
            </w:r>
          </w:p>
        </w:tc>
        <w:tc>
          <w:tcPr>
            <w:tcW w:w="260" w:type="dxa"/>
            <w:vAlign w:val="bottom"/>
            <w:tcBorders>
              <w:bottom w:val="single" w:sz="8" w:color="CFF0FC"/>
            </w:tcBorders>
          </w:tcPr>
          <w:p>
            <w:pPr>
              <w:spacing w:after="0"/>
              <w:rPr>
                <w:sz w:val="20"/>
                <w:szCs w:val="20"/>
                <w:color w:val="auto"/>
              </w:rPr>
            </w:pPr>
          </w:p>
        </w:tc>
      </w:tr>
      <w:tr>
        <w:trPr>
          <w:trHeight w:val="237"/>
        </w:trPr>
        <w:tc>
          <w:tcPr>
            <w:tcW w:w="556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1100" w:type="dxa"/>
            <w:vAlign w:val="bottom"/>
            <w:shd w:val="clear" w:color="auto" w:fill="CFF0FC"/>
          </w:tcPr>
          <w:p>
            <w:pPr>
              <w:jc w:val="right"/>
              <w:ind w:right="90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15.17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14.72</w:t>
            </w:r>
          </w:p>
        </w:tc>
        <w:tc>
          <w:tcPr>
            <w:tcW w:w="3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3.1%</w:t>
            </w:r>
          </w:p>
        </w:tc>
      </w:tr>
      <w:tr>
        <w:trPr>
          <w:trHeight w:val="243"/>
        </w:trPr>
        <w:tc>
          <w:tcPr>
            <w:tcW w:w="5560" w:type="dxa"/>
            <w:vAlign w:val="bottom"/>
          </w:tcPr>
          <w:p>
            <w:pPr>
              <w:spacing w:after="0"/>
              <w:rPr>
                <w:sz w:val="20"/>
                <w:szCs w:val="20"/>
                <w:color w:val="auto"/>
              </w:rPr>
            </w:pPr>
            <w:r>
              <w:rPr>
                <w:rFonts w:ascii="Arial" w:cs="Arial" w:eastAsia="Arial" w:hAnsi="Arial"/>
                <w:sz w:val="20"/>
                <w:szCs w:val="20"/>
                <w:color w:val="auto"/>
              </w:rPr>
              <w:t>Cement (per ton)</w:t>
            </w:r>
          </w:p>
        </w:tc>
        <w:tc>
          <w:tcPr>
            <w:tcW w:w="1100" w:type="dxa"/>
            <w:vAlign w:val="bottom"/>
          </w:tcPr>
          <w:p>
            <w:pPr>
              <w:jc w:val="right"/>
              <w:ind w:right="90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118.80</w:t>
            </w:r>
          </w:p>
        </w:tc>
        <w:tc>
          <w:tcPr>
            <w:tcW w:w="5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114.06</w:t>
            </w:r>
          </w:p>
        </w:tc>
        <w:tc>
          <w:tcPr>
            <w:tcW w:w="38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20"/>
                <w:szCs w:val="20"/>
                <w:color w:val="auto"/>
              </w:rPr>
              <w:t>4.2%</w:t>
            </w:r>
          </w:p>
        </w:tc>
      </w:tr>
      <w:tr>
        <w:trPr>
          <w:trHeight w:val="243"/>
        </w:trPr>
        <w:tc>
          <w:tcPr>
            <w:tcW w:w="556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1100" w:type="dxa"/>
            <w:vAlign w:val="bottom"/>
            <w:shd w:val="clear" w:color="auto" w:fill="CFF0FC"/>
          </w:tcPr>
          <w:p>
            <w:pPr>
              <w:jc w:val="right"/>
              <w:ind w:right="90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113.25</w:t>
            </w:r>
          </w:p>
        </w:tc>
        <w:tc>
          <w:tcPr>
            <w:tcW w:w="52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113.53</w:t>
            </w:r>
          </w:p>
        </w:tc>
        <w:tc>
          <w:tcPr>
            <w:tcW w:w="3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(0.2%)</w:t>
            </w:r>
          </w:p>
        </w:tc>
      </w:tr>
      <w:tr>
        <w:trPr>
          <w:trHeight w:val="250"/>
        </w:trPr>
        <w:tc>
          <w:tcPr>
            <w:tcW w:w="5560" w:type="dxa"/>
            <w:vAlign w:val="bottom"/>
          </w:tcPr>
          <w:p>
            <w:pPr>
              <w:spacing w:after="0"/>
              <w:rPr>
                <w:sz w:val="20"/>
                <w:szCs w:val="20"/>
                <w:color w:val="auto"/>
              </w:rPr>
            </w:pPr>
            <w:r>
              <w:rPr>
                <w:rFonts w:ascii="Arial" w:cs="Arial" w:eastAsia="Arial" w:hAnsi="Arial"/>
                <w:sz w:val="20"/>
                <w:szCs w:val="20"/>
                <w:color w:val="auto"/>
              </w:rPr>
              <w:t>Asphalt (per ton)</w:t>
            </w:r>
          </w:p>
        </w:tc>
        <w:tc>
          <w:tcPr>
            <w:tcW w:w="1100" w:type="dxa"/>
            <w:vAlign w:val="bottom"/>
          </w:tcPr>
          <w:p>
            <w:pPr>
              <w:jc w:val="right"/>
              <w:ind w:right="90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48.85</w:t>
            </w:r>
          </w:p>
        </w:tc>
        <w:tc>
          <w:tcPr>
            <w:tcW w:w="5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46.38</w:t>
            </w:r>
          </w:p>
        </w:tc>
        <w:tc>
          <w:tcPr>
            <w:tcW w:w="38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20"/>
                <w:szCs w:val="20"/>
                <w:color w:val="auto"/>
              </w:rPr>
              <w:t>5.3%</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Product Line End-Use Markets</w:t>
      </w:r>
    </w:p>
    <w:p>
      <w:pPr>
        <w:spacing w:after="0" w:line="108"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For the six months ended June 30, 2021, aggregates shipments to the infrastructure market accounted for 33% of aggregates volumes and declined 8% compared to the prior-year period, primarily attributable to weather-impacted project delays and timing of projects.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Aggregates shipments to the nonresidential market increased 9%, driven by robust warehouse and data center activity. The nonresidential market represented 36% of year-to-date aggregates shipments.</w:t>
      </w:r>
    </w:p>
    <w:p>
      <w:pPr>
        <w:spacing w:after="0" w:line="6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Aggregates shipments to the residential market increased 8%, reflecting sustained robust housing demand. The residential market accounted for 26% of year-to-date aggregates shipments.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ChemRock/Rail market accounted for the remaining 5% of year-to-date aggregates shipments. Volumes to this end use decreased 20%, driven by lower ballast shipments to Class I railroads.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 Product Lines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six months ended June 30, 2021, aggregates shipments increased 0.6%, reflecting strong construction activity in the Carolinas, Georgia, Florida and Maryland, offset by weather-induced delays in the Midwest, Texas and Colorado. Pricing increased 3.1% compared with the prior-year period which led to a 140-basis-point improvement in aggregates product gross margin to 28.7%. Aggregates shipments declined 0.4% and pricing increased 3.4% on an organic basis.</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six months ended June 30, 2021, cement pricing increased 4.2% and shipments decreased 0.8% compared with the prior-year period. On a mix-adjusted basis, pricing increased 3.0%. Higher kiln maintenance costs, storm-related incremental costs and inefficiencies caused by weather-related shut downs coupled with an increase in energy and raw material costs contributed to a decline in cement product gross margin to 22.7%.</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Ready mixed concrete shipments increased 16.1%, or 9.6% organically, driven by incremental volume from large projects and operations acquired in August 2020, partially offset by weather-related delays. Ready mixed concrete pricing for the six months ended June 30, 2021 decreased 0.2%, reflecting a lower percentage of shipments from Colorado, which carry higher average selling prices. Asphalt shipments improved 53.1% compared with the prior-year period, attributable to incremental volumes from the acquired Tiller operations. Asphalt pricing increased 5.3% reflecting increased pricing and favorable mix impact from Tiller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six months ended June 30, 2021, Magnesia Specialties reported product revenues of $135.2 million compared with $108.8 million for the prior-year period. Lower lime and periclase shipments to the steel industry due to COVID-19-induced shutdowns of domestic auto manufacturers in the prior year resulted in lower revenues for 2020. Product gross profit was $56.3 million compared with $44.3 million, primarily driven by higher volumes and revenues. Product line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gross margin for the six months ended June 30, 2021, was 41.7%, a 100-basis-point increase versus the prior-year period. Earnings from operations were $46.7 million compared with $34.9 million.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For the six months ended June 30, 2021, consolidated SG&amp;A was 6.9% of total revenues compared with 6.7% in 2020. During the first six months of 2021, the Company incurred $1.7 million in COVID-19-related expenses compared with $3.5 million in the prior-year period for enhanced cleaning and sanitizing protocols across the Company’s operations, which are recorded in SG&amp;A. The Company incurred $10.6 million of acquisition-related expenses for the six months ended June 30, 2021. Earnings from operations for the six months ended June 30 were $406.8 million in 2021 compared with $364.2 million in 2020.</w:t>
      </w:r>
    </w:p>
    <w:p>
      <w:pPr>
        <w:spacing w:after="0" w:line="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Among other items, other operating income, net, includes gains and losses on the sale of assets; recoveries and write-offs related to customer accounts receivable; rental, royalty and services income; accretion expense, depreciation expense and gains and losses related to asset retirement obligations. For the six months ended June 30, consolidated other operating income, net, was income of $19.8 million and expense of $8.0 million in 2021 and 2020, respectively. The 2021 amount is primarily attributable to the gains on the sales of several properties of $16.5 million. The 2020 amount reflected higher credit loss expenses and increased asset reclamation costs.</w:t>
      </w:r>
    </w:p>
    <w:p>
      <w:pPr>
        <w:spacing w:after="0" w:line="5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Other nonoperating income, net, includes interest income; pension and postretirement benefit cost, excluding service cost; foreign currency transaction gains and losses; equity in earnings or losses of nonconsolidated affiliates and other miscellaneous income. For the six months ended June 30, other nonoperating income, net, was $18.2 million in 2021 and $1.9 million in 2020. The 2021 amount reflected lower pension expense of $7.8 million compared with the prior year. The 2020 amount included an expense of $5.6 million to finance third-party railroad track maintenance.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six months ended June 30, 2021, the effective income tax rate was 21.2%. For the six months ended June 30, 2020, the effective income tax rate of 20.2% reflected a $6.9 million discrete benefit from financing third-party railroad track maintenance. In exchange, the Company received a federal income tax credit and deduction.</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Cash provided by operating activities for the six months ended June 30, 2021 and 2020 was $441.2 million and $373.2 million, respectively. Operating cash flow is primarily derived from consolidated net earnings before deducting depreciation, depletion and amortization, and the impact of changes in working capital. Depreciation, depletion and amortization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00" w:type="dxa"/>
            <w:vAlign w:val="bottom"/>
          </w:tcPr>
          <w:p>
            <w:pPr>
              <w:spacing w:after="0"/>
              <w:rPr>
                <w:sz w:val="21"/>
                <w:szCs w:val="21"/>
                <w:color w:val="auto"/>
              </w:rPr>
            </w:pPr>
          </w:p>
        </w:tc>
        <w:tc>
          <w:tcPr>
            <w:tcW w:w="2900" w:type="dxa"/>
            <w:vAlign w:val="bottom"/>
            <w:gridSpan w:val="5"/>
          </w:tcPr>
          <w:p>
            <w:pPr>
              <w:jc w:val="center"/>
              <w:ind w:left="401"/>
              <w:spacing w:after="0"/>
              <w:rPr>
                <w:sz w:val="20"/>
                <w:szCs w:val="20"/>
                <w:color w:val="auto"/>
              </w:rPr>
            </w:pPr>
            <w:r>
              <w:rPr>
                <w:rFonts w:ascii="Arial" w:cs="Arial" w:eastAsia="Arial" w:hAnsi="Arial"/>
                <w:sz w:val="20"/>
                <w:szCs w:val="20"/>
                <w:color w:val="auto"/>
                <w:w w:val="91"/>
              </w:rPr>
              <w:t>Six Months Ended</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77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center"/>
              <w:ind w:right="443"/>
              <w:spacing w:after="0"/>
              <w:rPr>
                <w:sz w:val="20"/>
                <w:szCs w:val="20"/>
                <w:color w:val="auto"/>
              </w:rPr>
            </w:pPr>
            <w:r>
              <w:rPr>
                <w:rFonts w:ascii="Arial" w:cs="Arial" w:eastAsia="Arial" w:hAnsi="Arial"/>
                <w:sz w:val="20"/>
                <w:szCs w:val="20"/>
                <w:color w:val="auto"/>
                <w:w w:val="85"/>
              </w:rPr>
              <w:t>June 30,</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77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20"/>
                <w:szCs w:val="20"/>
                <w:color w:val="auto"/>
              </w:rPr>
              <w:t>2020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6"/>
        </w:trPr>
        <w:tc>
          <w:tcPr>
            <w:tcW w:w="7700" w:type="dxa"/>
            <w:vAlign w:val="bottom"/>
          </w:tcPr>
          <w:p>
            <w:pPr>
              <w:spacing w:after="0"/>
              <w:rPr>
                <w:sz w:val="20"/>
                <w:szCs w:val="20"/>
                <w:color w:val="auto"/>
              </w:rPr>
            </w:pPr>
          </w:p>
        </w:tc>
        <w:tc>
          <w:tcPr>
            <w:tcW w:w="2900" w:type="dxa"/>
            <w:vAlign w:val="bottom"/>
            <w:gridSpan w:val="5"/>
          </w:tcPr>
          <w:p>
            <w:pPr>
              <w:jc w:val="center"/>
              <w:ind w:left="401"/>
              <w:spacing w:after="0"/>
              <w:rPr>
                <w:sz w:val="20"/>
                <w:szCs w:val="20"/>
                <w:color w:val="auto"/>
              </w:rPr>
            </w:pPr>
            <w:r>
              <w:rPr>
                <w:rFonts w:ascii="Arial" w:cs="Arial" w:eastAsia="Arial" w:hAnsi="Arial"/>
                <w:sz w:val="20"/>
                <w:szCs w:val="20"/>
                <w:i w:val="1"/>
                <w:iCs w:val="1"/>
                <w:color w:val="auto"/>
                <w:w w:val="97"/>
              </w:rPr>
              <w:t>(Dollars in Millions)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Depreciation</w:t>
            </w:r>
          </w:p>
        </w:tc>
        <w:tc>
          <w:tcPr>
            <w:tcW w:w="1040" w:type="dxa"/>
            <w:vAlign w:val="bottom"/>
            <w:shd w:val="clear" w:color="auto" w:fill="CFF0FC"/>
          </w:tcPr>
          <w:p>
            <w:pPr>
              <w:jc w:val="right"/>
              <w:ind w:right="841"/>
              <w:spacing w:after="0"/>
              <w:rPr>
                <w:sz w:val="20"/>
                <w:szCs w:val="20"/>
                <w:color w:val="auto"/>
              </w:rPr>
            </w:pPr>
            <w:r>
              <w:rPr>
                <w:rFonts w:ascii="Arial" w:cs="Arial" w:eastAsia="Arial" w:hAnsi="Arial"/>
                <w:sz w:val="20"/>
                <w:szCs w:val="2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172.4</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63"/>
              <w:spacing w:after="0"/>
              <w:rPr>
                <w:sz w:val="20"/>
                <w:szCs w:val="20"/>
                <w:color w:val="auto"/>
              </w:rPr>
            </w:pPr>
            <w:r>
              <w:rPr>
                <w:rFonts w:ascii="Arial" w:cs="Arial" w:eastAsia="Arial" w:hAnsi="Arial"/>
                <w:sz w:val="20"/>
                <w:szCs w:val="2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167.0</w:t>
            </w:r>
          </w:p>
        </w:tc>
        <w:tc>
          <w:tcPr>
            <w:tcW w:w="120" w:type="dxa"/>
            <w:vAlign w:val="bottom"/>
            <w:shd w:val="clear" w:color="auto" w:fill="CFF0FC"/>
          </w:tcPr>
          <w:p>
            <w:pPr>
              <w:spacing w:after="0"/>
              <w:rPr>
                <w:sz w:val="21"/>
                <w:szCs w:val="21"/>
                <w:color w:val="auto"/>
              </w:rPr>
            </w:pPr>
          </w:p>
        </w:tc>
      </w:tr>
      <w:tr>
        <w:trPr>
          <w:trHeight w:val="243"/>
        </w:trPr>
        <w:tc>
          <w:tcPr>
            <w:tcW w:w="7700" w:type="dxa"/>
            <w:vAlign w:val="bottom"/>
          </w:tcPr>
          <w:p>
            <w:pPr>
              <w:spacing w:after="0"/>
              <w:rPr>
                <w:sz w:val="20"/>
                <w:szCs w:val="20"/>
                <w:color w:val="auto"/>
              </w:rPr>
            </w:pPr>
            <w:r>
              <w:rPr>
                <w:rFonts w:ascii="Arial" w:cs="Arial" w:eastAsia="Arial" w:hAnsi="Arial"/>
                <w:sz w:val="20"/>
                <w:szCs w:val="20"/>
                <w:color w:val="auto"/>
              </w:rPr>
              <w:t>Depletion</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17.5</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16.4</w:t>
            </w:r>
          </w:p>
        </w:tc>
        <w:tc>
          <w:tcPr>
            <w:tcW w:w="120" w:type="dxa"/>
            <w:vAlign w:val="bottom"/>
          </w:tcPr>
          <w:p>
            <w:pPr>
              <w:spacing w:after="0"/>
              <w:rPr>
                <w:sz w:val="21"/>
                <w:szCs w:val="21"/>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Amortization</w:t>
            </w: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16.6</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w:t>
            </w:r>
          </w:p>
        </w:tc>
        <w:tc>
          <w:tcPr>
            <w:tcW w:w="120" w:type="dxa"/>
            <w:vAlign w:val="bottom"/>
            <w:shd w:val="clear" w:color="auto" w:fill="CFF0FC"/>
          </w:tcPr>
          <w:p>
            <w:pPr>
              <w:spacing w:after="0"/>
              <w:rPr>
                <w:sz w:val="21"/>
                <w:szCs w:val="21"/>
                <w:color w:val="auto"/>
              </w:rPr>
            </w:pPr>
          </w:p>
        </w:tc>
      </w:tr>
      <w:tr>
        <w:trPr>
          <w:trHeight w:val="236"/>
        </w:trPr>
        <w:tc>
          <w:tcPr>
            <w:tcW w:w="7700" w:type="dxa"/>
            <w:vAlign w:val="bottom"/>
          </w:tcPr>
          <w:p>
            <w:pPr>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206.5</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193.4</w:t>
            </w:r>
          </w:p>
        </w:tc>
        <w:tc>
          <w:tcPr>
            <w:tcW w:w="12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seasonal nature of construction activity impacts the Company’s interim operating cash flow when compared with the full year. Full-year 2020 net cash provided by operating activities was $1.05 billion.</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six months ended June 30, 2021 and 2020, the Company paid $213.0 million and $175.7 million, respectively, for capital investments.</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did not repurchase any shares of common stock during the first six months of 2021. At June 30, 2021, 13,520,952 shares of common stock were remaining under the Company’s repurchase authorization.</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April 30, 2021, the Company completed the acquisition of Tiller Corporation (Tiller), a leading aggregates and hot mix asphalt supplier in the Minneapolis/St. Paul region, one of the largest and fastest growing midwestern metropolitan areas. The acquired operations complement the Company’s existing Central Division’s product offerings in the surrounding areas. The Company financed the acquisition using available cash and borrowings under its credit facilities.</w:t>
      </w:r>
    </w:p>
    <w:p>
      <w:pPr>
        <w:spacing w:after="0" w:line="8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On July 2, 2021, the Company issued $700 million aggregate principal amount of 0.650% Senior Notes due 2023 (the 0.650% Senior Notes), $900 million aggregate principal amount of 2.400% Senior Notes due 2031 (the 2.400% Senior Notes) and $900 million aggregate principal amount of 3.200% Senior Notes due 2051 (the 3.200% Senior Notes) and, together with the 0.650% Senior Notes and the 2.400% Senior Notes (the Senior Notes). The Company intends to use the net proceeds of the 2.400% Senior Notes and the 3.200% Senior Notes to pay the consideration for the acquisition of Lehigh Hanson, Inc.’s West Region business (Lehigh West Region). The net proceeds of the 0.650% Senior Notes will be used for general corporate purposes, which may include funding acquisitions (including Lehigh West Region) or repaying indebtedness. If (i) the Lehigh West Region acquisition is not consummated prior to March 31, 2022, (ii) the securities purchase agreement in respect of the acquisition is terminated at any time prior to March 31, 2022 (other than as a result of consummating the acquisition) or (iii) the Company publicly announces at any time prior to March 31, 2022 that it will no longer pursue the consummation of the acquisition, then the Company will be required to redeem all of the outstanding 2.400% Senior Notes and 3.200% Senior Notes pursuant to a special mandatory redemption at a redemption price equal to 101% of the aggregate principal amount of the 2.400% Senior Notes and the 3.200% Senior Notes, respectively, plus accrued and unpaid interest to, but excluding, the date of such special mandatory redemption. The 0.650% Senior Notes will not be subject to the special mandatory redemption. See Note 6 for further information regarding the Senior Notes.</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Company, through a wholly-owned special-purpose subsidiary, has a $400 million trade receivable securitization facility (the Trade Receivable Facility), which expires on September 22, 2021. The Trade Receivable Facility contains a cross-default provision to the Company’s other debt agreements. Management intends to renew the Trade Receivable Facility beyond September 22, 2021.</w:t>
      </w:r>
    </w:p>
    <w:p>
      <w:pPr>
        <w:spacing w:after="0" w:line="62"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The Company has a $700 million five-year senior unsecured revolving facility (the Revolving Facility), which expires on December 5, 2024. The Revolving Facility requires the Company’s ratio of consolidated debt-to-consolidated EBITDA, as defined, for the trailing-twelve-month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43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and amortization expense. Additionally, stock-based compensation expense is added back and interest income is deducted in the calculation of consolidated EBITDA. During periods that include an acquisition, pre-acquisition adjusted EBITDA of the acquired company is added to consolidated EBITDA as if the acquisition occurred on the first day of the calculation period. Certain other nonrecurring items, if they occur, can affect the calculation of consolidated EBITDA.</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June 30, 2021, the Company’s ratio of consolidated net debt-to-consolidated EBITDA, as defined by the Company’s Revolving Facility, for the trailing-twelve months was 1.95 times and was calculated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20"/>
                <w:szCs w:val="20"/>
                <w:color w:val="auto"/>
                <w:w w:val="89"/>
              </w:rPr>
              <w:t>July 1, 2020 to</w:t>
            </w:r>
          </w:p>
        </w:tc>
        <w:tc>
          <w:tcPr>
            <w:tcW w:w="0" w:type="dxa"/>
            <w:vAlign w:val="bottom"/>
          </w:tcPr>
          <w:p>
            <w:pPr>
              <w:spacing w:after="0"/>
              <w:rPr>
                <w:sz w:val="1"/>
                <w:szCs w:val="1"/>
                <w:color w:val="auto"/>
              </w:rPr>
            </w:pPr>
          </w:p>
        </w:tc>
      </w:tr>
      <w:tr>
        <w:trPr>
          <w:trHeight w:val="246"/>
        </w:trPr>
        <w:tc>
          <w:tcPr>
            <w:tcW w:w="8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20"/>
                <w:szCs w:val="20"/>
                <w:color w:val="auto"/>
                <w:w w:val="88"/>
              </w:rPr>
              <w:t>June 30, 2021</w:t>
            </w:r>
          </w:p>
        </w:tc>
        <w:tc>
          <w:tcPr>
            <w:tcW w:w="0" w:type="dxa"/>
            <w:vAlign w:val="bottom"/>
          </w:tcPr>
          <w:p>
            <w:pPr>
              <w:spacing w:after="0"/>
              <w:rPr>
                <w:sz w:val="1"/>
                <w:szCs w:val="1"/>
                <w:color w:val="auto"/>
              </w:rPr>
            </w:pPr>
          </w:p>
        </w:tc>
      </w:tr>
      <w:tr>
        <w:trPr>
          <w:trHeight w:val="237"/>
        </w:trPr>
        <w:tc>
          <w:tcPr>
            <w:tcW w:w="8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center"/>
              <w:ind w:right="101"/>
              <w:spacing w:after="0"/>
              <w:rPr>
                <w:sz w:val="20"/>
                <w:szCs w:val="20"/>
                <w:color w:val="auto"/>
              </w:rPr>
            </w:pPr>
            <w:r>
              <w:rPr>
                <w:rFonts w:ascii="Arial" w:cs="Arial" w:eastAsia="Arial" w:hAnsi="Arial"/>
                <w:sz w:val="20"/>
                <w:szCs w:val="20"/>
                <w:i w:val="1"/>
                <w:iCs w:val="1"/>
                <w:color w:val="auto"/>
                <w:w w:val="97"/>
              </w:rPr>
              <w:t>(Dollars in Millions)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900" w:type="dxa"/>
            <w:vAlign w:val="bottom"/>
            <w:shd w:val="clear" w:color="auto" w:fill="CFF0FC"/>
          </w:tcPr>
          <w:p>
            <w:pPr>
              <w:spacing w:after="0"/>
              <w:rPr>
                <w:sz w:val="20"/>
                <w:szCs w:val="20"/>
                <w:color w:val="auto"/>
              </w:rPr>
            </w:pPr>
            <w:r>
              <w:rPr>
                <w:rFonts w:ascii="Arial" w:cs="Arial" w:eastAsia="Arial" w:hAnsi="Arial"/>
                <w:sz w:val="20"/>
                <w:szCs w:val="20"/>
                <w:color w:val="auto"/>
              </w:rPr>
              <w:t>Earnings from continuing operations attributable to Martin Marietta</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768.5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tcPr>
          <w:p>
            <w:pPr>
              <w:spacing w:after="0"/>
              <w:rPr>
                <w:sz w:val="20"/>
                <w:szCs w:val="20"/>
                <w:color w:val="auto"/>
              </w:rPr>
            </w:pPr>
            <w:r>
              <w:rPr>
                <w:rFonts w:ascii="Arial" w:cs="Arial" w:eastAsia="Arial" w:hAnsi="Arial"/>
                <w:sz w:val="20"/>
                <w:szCs w:val="20"/>
                <w:color w:val="auto"/>
              </w:rPr>
              <w:t>Add back:</w:t>
            </w: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w:t>
            </w:r>
          </w:p>
        </w:tc>
        <w:tc>
          <w:tcPr>
            <w:tcW w:w="18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260"/>
              <w:spacing w:after="0"/>
              <w:rPr>
                <w:sz w:val="20"/>
                <w:szCs w:val="20"/>
                <w:color w:val="auto"/>
              </w:rPr>
            </w:pPr>
            <w:r>
              <w:rPr>
                <w:rFonts w:ascii="Arial" w:cs="Arial" w:eastAsia="Arial" w:hAnsi="Arial"/>
                <w:sz w:val="20"/>
                <w:szCs w:val="20"/>
                <w:color w:val="auto"/>
              </w:rPr>
              <w:t>Income tax expense</w:t>
            </w:r>
          </w:p>
        </w:tc>
        <w:tc>
          <w:tcPr>
            <w:tcW w:w="1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184.7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18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402.8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260"/>
              <w:spacing w:after="0"/>
              <w:rPr>
                <w:sz w:val="20"/>
                <w:szCs w:val="20"/>
                <w:color w:val="auto"/>
              </w:rPr>
            </w:pPr>
            <w:r>
              <w:rPr>
                <w:rFonts w:ascii="Arial" w:cs="Arial" w:eastAsia="Arial" w:hAnsi="Arial"/>
                <w:sz w:val="20"/>
                <w:szCs w:val="20"/>
                <w:color w:val="auto"/>
              </w:rPr>
              <w:t>Stock-based compensation expense</w:t>
            </w:r>
          </w:p>
        </w:tc>
        <w:tc>
          <w:tcPr>
            <w:tcW w:w="1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31.1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Acquisition-related expenses</w:t>
            </w:r>
          </w:p>
        </w:tc>
        <w:tc>
          <w:tcPr>
            <w:tcW w:w="18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900" w:type="dxa"/>
            <w:vAlign w:val="bottom"/>
          </w:tcPr>
          <w:p>
            <w:pPr>
              <w:ind w:left="260"/>
              <w:spacing w:after="0" w:line="227" w:lineRule="exact"/>
              <w:rPr>
                <w:sz w:val="20"/>
                <w:szCs w:val="20"/>
                <w:color w:val="auto"/>
              </w:rPr>
            </w:pPr>
            <w:r>
              <w:rPr>
                <w:rFonts w:ascii="Arial" w:cs="Arial" w:eastAsia="Arial" w:hAnsi="Arial"/>
                <w:sz w:val="20"/>
                <w:szCs w:val="20"/>
                <w:color w:val="auto"/>
              </w:rPr>
              <w:t>EBITDA related to acquired operations (Pre-acquisition</w:t>
            </w:r>
          </w:p>
        </w:tc>
        <w:tc>
          <w:tcPr>
            <w:tcW w:w="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900" w:type="dxa"/>
            <w:vAlign w:val="bottom"/>
          </w:tcPr>
          <w:p>
            <w:pPr>
              <w:ind w:left="400"/>
              <w:spacing w:after="0"/>
              <w:rPr>
                <w:sz w:val="20"/>
                <w:szCs w:val="20"/>
                <w:color w:val="auto"/>
              </w:rPr>
            </w:pPr>
            <w:r>
              <w:rPr>
                <w:rFonts w:ascii="Arial" w:cs="Arial" w:eastAsia="Arial" w:hAnsi="Arial"/>
                <w:sz w:val="20"/>
                <w:szCs w:val="20"/>
                <w:color w:val="auto"/>
              </w:rPr>
              <w:t>July 1, 2020 to April 30, 2021)</w:t>
            </w:r>
            <w:r>
              <w:rPr>
                <w:rFonts w:ascii="Arial" w:cs="Arial" w:eastAsia="Arial" w:hAnsi="Arial"/>
                <w:sz w:val="16"/>
                <w:szCs w:val="16"/>
                <w:color w:val="auto"/>
              </w:rPr>
              <w:t>(1)</w:t>
            </w:r>
          </w:p>
        </w:tc>
        <w:tc>
          <w:tcPr>
            <w:tcW w:w="1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34.6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shd w:val="clear" w:color="auto" w:fill="CFF0FC"/>
          </w:tcPr>
          <w:p>
            <w:pPr>
              <w:spacing w:after="0"/>
              <w:rPr>
                <w:sz w:val="20"/>
                <w:szCs w:val="20"/>
                <w:color w:val="auto"/>
              </w:rPr>
            </w:pPr>
            <w:r>
              <w:rPr>
                <w:rFonts w:ascii="Arial" w:cs="Arial" w:eastAsia="Arial" w:hAnsi="Arial"/>
                <w:sz w:val="20"/>
                <w:szCs w:val="20"/>
                <w:color w:val="auto"/>
              </w:rPr>
              <w:t>Deduct:</w:t>
            </w:r>
          </w:p>
        </w:tc>
        <w:tc>
          <w:tcPr>
            <w:tcW w:w="180" w:type="dxa"/>
            <w:vAlign w:val="bottom"/>
            <w:shd w:val="clear" w:color="auto" w:fill="CFF0FC"/>
          </w:tcPr>
          <w:p>
            <w:pPr>
              <w:spacing w:after="0"/>
              <w:rPr>
                <w:sz w:val="21"/>
                <w:szCs w:val="21"/>
                <w:color w:val="auto"/>
              </w:rPr>
            </w:pPr>
          </w:p>
        </w:tc>
        <w:tc>
          <w:tcPr>
            <w:tcW w:w="2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260"/>
              <w:spacing w:after="0"/>
              <w:rPr>
                <w:sz w:val="20"/>
                <w:szCs w:val="20"/>
                <w:color w:val="auto"/>
              </w:rPr>
            </w:pPr>
            <w:r>
              <w:rPr>
                <w:rFonts w:ascii="Arial" w:cs="Arial" w:eastAsia="Arial" w:hAnsi="Arial"/>
                <w:sz w:val="20"/>
                <w:szCs w:val="20"/>
                <w:color w:val="auto"/>
              </w:rPr>
              <w:t>Interest income</w:t>
            </w:r>
          </w:p>
        </w:tc>
        <w:tc>
          <w:tcPr>
            <w:tcW w:w="180" w:type="dxa"/>
            <w:vAlign w:val="bottom"/>
          </w:tcPr>
          <w:p>
            <w:pPr>
              <w:spacing w:after="0"/>
              <w:rPr>
                <w:sz w:val="21"/>
                <w:szCs w:val="21"/>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37"/>
        </w:trPr>
        <w:tc>
          <w:tcPr>
            <w:tcW w:w="8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Consolidated EBITDA, as defined by the Company’s Revolving Facility</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1,552.4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20"/>
                <w:szCs w:val="20"/>
                <w:color w:val="auto"/>
              </w:rPr>
              <w:t>Consolidated net debt, as defined and including debt for which the Company</w:t>
            </w:r>
          </w:p>
        </w:tc>
        <w:tc>
          <w:tcPr>
            <w:tcW w:w="1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89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is a co-borrower, at June 30,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3,027.6</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90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Consolidated net debt-to-consolidated EBITDA, as defined by the Company’s</w:t>
            </w:r>
          </w:p>
        </w:tc>
        <w:tc>
          <w:tcPr>
            <w:tcW w:w="18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9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Revolving Facility, at June 30, 2021 for the trailing-twelve months EBITDA</w:t>
            </w:r>
          </w:p>
        </w:tc>
        <w:tc>
          <w:tcPr>
            <w:tcW w:w="180" w:type="dxa"/>
            <w:vAlign w:val="bottom"/>
            <w:shd w:val="clear" w:color="auto" w:fill="CFF0FC"/>
          </w:tcPr>
          <w:p>
            <w:pPr>
              <w:spacing w:after="0"/>
              <w:rPr>
                <w:sz w:val="21"/>
                <w:szCs w:val="21"/>
                <w:color w:val="auto"/>
              </w:rPr>
            </w:pPr>
          </w:p>
        </w:tc>
        <w:tc>
          <w:tcPr>
            <w:tcW w:w="21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1.95 times</w:t>
            </w:r>
          </w:p>
        </w:tc>
        <w:tc>
          <w:tcPr>
            <w:tcW w:w="0" w:type="dxa"/>
            <w:vAlign w:val="bottom"/>
          </w:tcPr>
          <w:p>
            <w:pPr>
              <w:spacing w:after="0"/>
              <w:rPr>
                <w:sz w:val="1"/>
                <w:szCs w:val="1"/>
                <w:color w:val="auto"/>
              </w:rPr>
            </w:pPr>
          </w:p>
        </w:tc>
      </w:tr>
      <w:tr>
        <w:trPr>
          <w:trHeight w:val="20"/>
        </w:trPr>
        <w:tc>
          <w:tcPr>
            <w:tcW w:w="89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9"/>
          <w:szCs w:val="19"/>
          <w:color w:val="auto"/>
        </w:rPr>
        <w:t>Inclusive of one-time, non-recurring and transaction-related expenses.</w:t>
      </w:r>
    </w:p>
    <w:p>
      <w:pPr>
        <w:spacing w:after="0" w:line="2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the event of a default on the Ratio, the lenders can terminate the Revolving Facility and Trade Receivable Facility and declare any outstanding balances as immediately due. There was $240 million outstanding under the Trade Receivable Facility and no borrowings under the Revolving Facility as of June 30, 2021.</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the repurchase of shares of the Company’s common stock and allow for payment of dividends for the foreseeable future. At June 30, 2021, the Company had $857.4 million of unused borrowing capacity under its Revolving Facility and Trade Receivable Facility, subject to complying with the related leverage covenant. Historically, the Company has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44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successfully extended the maturity dates of these credit facilities. Further, as of June 30, 2021, the Company does not have any publicly-traded debt that matures prior to 2023.</w:t>
      </w:r>
    </w:p>
    <w:p>
      <w:pPr>
        <w:spacing w:after="0" w:line="6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As of June 30, 2021, the Company had restricted cash of $17.2 million for the purchase of like-kind exchange replacement assets under Section 1031 of the Internal Revenue Code and related IRS procedures (Section 1031) available to use until November 22, 2021.</w:t>
      </w:r>
    </w:p>
    <w:p>
      <w:pPr>
        <w:spacing w:after="0" w:line="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Coronavirus Aid, Relief and Economic Security Act (CARES Act) was signed into law in March 2020 and provided liquidity support for businesses. Through the CARES Act, the Company deferred payment of $27.6 million, representing the 6.2% employer share of Social Security taxes for the period from March 27, 2020 through December 31, 2020. Half of the deferred obligation will be due December 31, 2021 and the remaining half will be due December 31, 2022. There will be no interest assessed on amounts deferred.</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outlined the risks associated with its business in its Annual Report on Form 10-K for the year ended December 31, 2020. Management continues to evaluate its exposure to all operating risks on an ongoing basis.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5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provide the investor with the Company’s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Company’s outlook is subject to various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Form 10-Q (including the outlook) include, but are not limited to: the ability of the Company to face challenges, including those posed by the COVID-19 pandemic and implementation of any such related response plans; fluctuations in COVID-19 cases in the United States and the extent that geography of outbreak primarily matches the regions in which the Company’s Building Materials business principally operates; the resiliency and potential declines of the Company’s various construction end-use markets; the potential negative impact of the COVID-19 pandemic on the Company’s ability to continue supplying heavy-side building materials and related services at normal levels or at all in the Company’s key regions; the duration, impact and severity of the impact of the COVID-19 pandemic on the Company, including the markets in which the Company does business, its suppliers, customers or other business partners as well as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45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31" w:lineRule="exact"/>
        <w:rPr>
          <w:sz w:val="20"/>
          <w:szCs w:val="20"/>
          <w:color w:val="auto"/>
        </w:rPr>
      </w:pPr>
      <w:r>
        <w:rPr>
          <w:rFonts w:ascii="Arial" w:cs="Arial" w:eastAsia="Arial" w:hAnsi="Arial"/>
          <w:sz w:val="18"/>
          <w:szCs w:val="18"/>
          <w:color w:val="auto"/>
        </w:rPr>
        <w:t>the Company’s employees; the economic impact of government responses to the pandemic; the performance of the United States economy, including the impact on the economy of the COVID-19 pandemic and governmental orders restricting activities imposed to prevent further outbreak of COVID-19; shipment declines resulting from economic events beyond the Company’s control; a widespread decline in aggregates pricing, including a decline in aggregates shipment volume negatively affecting aggregates price; the history of both cement and ready mixed concrete being subject to significant changes in supply, demand and price fluctuations; the termination, capping and/or reduction or suspension of the federal and/or state gasoline tax(es) or other revenue related to public construction; the level and timing of federal, state or local transportation or infrastructure or public projects funding, most particularly in Texas, Colorado, North Carolina, Georgia, Iowa, Florida, Minnesota and Maryland; the impact of governmental orders restricting activities imposed to prevent further outbreak of COVID-19 on travel, potentially reducing state fuel tax revenues used to fund highway projects; the United States Congress’ inability to reach agreement among themselves or with the Administration on policy issues that impact the federal budget;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including a decline resulting from economic distress related to the COVID-19 pandemic; a decline in energy-related construction activity resulting from a sustained period of low global oil prices or changes in oil production patterns or capital spending, particularly in Texas; increasing residential mortgage interest rates and other factors that could result in a slowdown in residential construction; unfavorable weather conditions, particularly Atlantic Ocean and Gulf of Mexico hurricane activity, the late start to spring or the early onset of winter and the impact of a drought or excessive rainfall in the markets served by the Company, any of which can significantly affect production schedules, volumes, product and/or geographic mix and profitability; whether the Company’s operations will continue to be treated as “essential” operations under applicable government orders restricting business activities imposed to prevent further outbreak of COVID-19 or, even if so treated, whether site-specific health and safety concerns might otherwise require certain of the Company’s operations to be halted for some period of time;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w:t>
      </w:r>
      <w:r>
        <w:rPr>
          <w:rFonts w:ascii="MS PGothic" w:cs="MS PGothic" w:eastAsia="MS PGothic" w:hAnsi="MS PGothic"/>
          <w:sz w:val="18"/>
          <w:szCs w:val="18"/>
          <w:color w:val="auto"/>
        </w:rPr>
        <w:t>‐</w:t>
      </w:r>
      <w:r>
        <w:rPr>
          <w:rFonts w:ascii="Arial" w:cs="Arial" w:eastAsia="Arial" w:hAnsi="Arial"/>
          <w:sz w:val="18"/>
          <w:szCs w:val="18"/>
          <w:color w:val="auto"/>
        </w:rPr>
        <w:t>chain challenges; unexpected equipment failures, unscheduled maintenance, industrial accident or other prolonged and/or significant disruption to production facilities; increasing governmental regulation, including environmental laws; the failure of relevant government agencies to implement expected regulatory reductions; transportation availability or a sustained reduction in capital investment by the railroads, notably the availability of railcars, locomotive power and the condition of rail infrastructure to move trains to supply the Company’s Texas, Colorado, Florida, Carolinas and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(leading to reduced profit margins when compared with aggregates moved by truck); availability of trucks and licensed drivers for transport of the Company’s materials; availability and cost of construction equipment in the United States; weakening in the steel industry markets served by the Company’s dolomitic lime products; trade disputes with one or more nations impacting the U.S. economy, including the impact of tariffs on the steel industry; unplanned changes in costs or realignment of customers that introduce volatility to earnings, including the Magnesia Specialties business;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46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June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costs on the operating leverage and therefore profitability of the Company; the possibility that the expected synergies from acquisitions will not be realized or will not be realized within the expected time period, including achieving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downward pressure on the Company’s common stock price and its impact on goodwill impairment evaluations; the possibility of a reduction of the Company’s credit rating to non-investment grade; and other risk factors listed from time to time found in the Company’s filings with the SEC.</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You should consider these forward-looking statements in light of risk factors discussed in the Company’s Annual Report on Form 10-K for the year ended December 31, 2020 and other periodic filings made with the SEC. All of the Company’s forward-looking statements should be considered in light of these factors. In addition, other risks and uncertainties not presently known to the Company or that the Company considers immaterial could affect the accuracy of its forward-looking statements, or adversely affect or be material to the Company. The Company assumes no obligation to update any such forward-looking statements.</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Shareholders may obtain, without charge, a copy of Martin Marietta’s Annual Report on Form 10-K, as filed with the Securities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Exchange Commission for the fiscal year ended December 31, 2020, by writing to:</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rPr>
          <w:sz w:val="20"/>
          <w:szCs w:val="20"/>
          <w:color w:val="auto"/>
        </w:rPr>
      </w:pPr>
      <w:r>
        <w:rPr>
          <w:rFonts w:ascii="Arial" w:cs="Arial" w:eastAsia="Arial" w:hAnsi="Arial"/>
          <w:sz w:val="20"/>
          <w:szCs w:val="20"/>
          <w:color w:val="auto"/>
        </w:rPr>
        <w:t>4123 Parklake Avenue</w:t>
      </w:r>
    </w:p>
    <w:p>
      <w:pPr>
        <w:ind w:left="260"/>
        <w:spacing w:after="0"/>
        <w:rPr>
          <w:sz w:val="20"/>
          <w:szCs w:val="20"/>
          <w:color w:val="auto"/>
        </w:rPr>
      </w:pPr>
      <w:r>
        <w:rPr>
          <w:rFonts w:ascii="Arial" w:cs="Arial" w:eastAsia="Arial" w:hAnsi="Arial"/>
          <w:sz w:val="20"/>
          <w:szCs w:val="20"/>
          <w:color w:val="auto"/>
        </w:rPr>
        <w:t>Raleigh, North Carolina 27612</w:t>
      </w:r>
    </w:p>
    <w:p>
      <w:pPr>
        <w:spacing w:after="0" w:line="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783-4691</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Company’s website is not incorporated into, or otherwise creates a part of, this report.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47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COVID-19 pandemic continues to impact the global and domestic economy. The Company’s operations have to date been considered “essential” operations under applicable governmental orders that restrict activities in an effort to prevent further outbreak of COVID-19. As such, the Company is conducting business with certain modifications, including engaging medical experts to screen those who may have had COVID-19 exposure before allowing access to sites; enhancing the cleaning and disinfection of equipment and common areas, including engaging third-party specialists to disinfect work spaces; and issuing a quarantine policy requiring employees with COVID-19 symptoms to stay home for at least 10 days, among other things. The Company continues to actively monitor the situation and may take further actions that alter its business operations including any that may be required by federal, state or local authorities or that the Company determines are in the best interests of its employees, customers, suppliers, vendors, communities and other stakeholders.</w:t>
      </w:r>
    </w:p>
    <w:p>
      <w:pPr>
        <w:spacing w:after="0" w:line="6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Demand for aggregates products, particularly in the infrastructure construction market, is affected by federal, state and local budget and deficit issues. Remote working trends are reducing miles driven, which is having a negative impact on various revenue streams that fund roadway projects. Further, delays or cancellations of projects in the nonresidential and residential construction markets, which combined accounted for 62% of aggregates shipments for the six months ended June 30, 2021, could occur if companies and consumers are unable to obtain financing for construction projects or if consumer confidence continues to be eroded by economic uncertainty.</w:t>
      </w:r>
    </w:p>
    <w:p>
      <w:pPr>
        <w:spacing w:after="0" w:line="57"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Company’s operations are highly dependent upon the interest rate-sensitive construction and steelmaking industries. Consequently, these marketplaces could experience lower levels of economic activity in an environment of rising interest rates or higher borrowing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Aside from these inherent risks from within its operations, the Company’s earnings are also affected by changes in short-term interest rates.</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Variable-Rate Borrowing Facilities. </w:t>
      </w:r>
      <w:r>
        <w:rPr>
          <w:rFonts w:ascii="Arial" w:cs="Arial" w:eastAsia="Arial" w:hAnsi="Arial"/>
          <w:sz w:val="20"/>
          <w:szCs w:val="20"/>
          <w:color w:val="auto"/>
        </w:rPr>
        <w:t>At June 30, 2021, the Company had a $700 million Revolving Facility and a $400 million Trade</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Facility. Borrowings under these facilities bear interest at a variable interest rate. A hypothetical 100-basis-point increase in interest rates on borrowings of $240 million, which was the collective outstanding balance at June 30, 2021, would increase interest expense by $2.4 million on an annual basis.</w:t>
      </w:r>
    </w:p>
    <w:p>
      <w:pPr>
        <w:spacing w:after="0" w:line="8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Company’s results of operations are affected by its pension expense. Assumptions that affect pension expense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2020. As of June 30, 2021, discount rates were approximately 30 basis points higher than the rate selected as of December 31, 2020, the most recent measurement date. Unless an event requires an interim remeasurement, the Company will next remeasure its pension obligation and funded status as of December 31, 2021. Changes in the discount rate and pension asset values will impact 2022 pension expense.</w:t>
      </w:r>
    </w:p>
    <w:p>
      <w:pPr>
        <w:spacing w:after="0" w:line="6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electricity, coal and liquid asphalt, represent significant production costs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The cement operations and Magnesia Specialties business have fixed price agreements covering a majority of their 2021 coal requirements. Energy expense for the six months ended June 30, 2021 increased approximately 19% compared with the prior-year period, due to increased natural gas, diesel, electricity and gasoline costs in 2021; however, any future energy prices cannot be reliably predicted. A hypothetical price change of 19% would change full year 2021 energy expense by $44 million as compared with 2020, assuming constant volumes.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48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 xml:space="preserve">Commodity Risk. </w:t>
      </w:r>
      <w:r>
        <w:rPr>
          <w:rFonts w:ascii="Arial" w:cs="Arial" w:eastAsia="Arial" w:hAnsi="Arial"/>
          <w:sz w:val="20"/>
          <w:szCs w:val="20"/>
          <w:color w:val="auto"/>
        </w:rPr>
        <w:t>Cement is a commodity, and competition is based principally on price, which is highly sensitive to changes in supply and</w:t>
      </w:r>
      <w:r>
        <w:rPr>
          <w:rFonts w:ascii="Arial" w:cs="Arial" w:eastAsia="Arial" w:hAnsi="Arial"/>
          <w:sz w:val="20"/>
          <w:szCs w:val="20"/>
          <w:i w:val="1"/>
          <w:iCs w:val="1"/>
          <w:color w:val="auto"/>
        </w:rPr>
        <w:t xml:space="preserve"> </w:t>
      </w:r>
      <w:r>
        <w:rPr>
          <w:rFonts w:ascii="Arial" w:cs="Arial" w:eastAsia="Arial" w:hAnsi="Arial"/>
          <w:sz w:val="20"/>
          <w:szCs w:val="20"/>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full- year 2020 cement product revenues of $453 million, a hypothetical 10% change in sales price would impact cement product revenues by $45.3 million.</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Cement is a key raw material in the production of ready mixed concrete. The Company may be unable to pass along increases in the costs of cement and raw materials to customers in the form of price increases for the Company’s products. A hypothetical 10% change in cement costs in 2021 compared with 2020, assuming constant volumes, would change the ready mixed concrete product line cost of revenues by $25.5 million. While increases in cement pricing may negatively impact the profitability of the ready mixed concrete operations, the cement business would benefit, although the positive impact may not reflect a direct correlation to the impact on the ready mix business.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Evaluation of Disclosure Controls and Procedures. </w:t>
      </w:r>
      <w:r>
        <w:rPr>
          <w:rFonts w:ascii="Arial" w:cs="Arial" w:eastAsia="Arial" w:hAnsi="Arial"/>
          <w:sz w:val="20"/>
          <w:szCs w:val="20"/>
          <w:color w:val="auto"/>
        </w:rPr>
        <w:t>As of June 30, 2021, an evaluation was performed under the supervision and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June 30, 2021.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49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June 30, 2021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8"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See </w:t>
      </w:r>
      <w:hyperlink w:anchor="page21">
        <w:r>
          <w:rPr>
            <w:rFonts w:ascii="Arial" w:cs="Arial" w:eastAsia="Arial" w:hAnsi="Arial"/>
            <w:sz w:val="20"/>
            <w:szCs w:val="20"/>
            <w:i w:val="1"/>
            <w:iCs w:val="1"/>
            <w:u w:val="single" w:color="auto"/>
            <w:color w:val="0000EE"/>
          </w:rPr>
          <w:t>Note 10 Commitments and Contingencies, Legal and Administrative Proceedings</w:t>
        </w:r>
      </w:hyperlink>
      <w:r>
        <w:rPr>
          <w:rFonts w:ascii="Arial" w:cs="Arial" w:eastAsia="Arial" w:hAnsi="Arial"/>
          <w:sz w:val="20"/>
          <w:szCs w:val="20"/>
          <w:i w:val="1"/>
          <w:iCs w:val="1"/>
          <w:color w:val="auto"/>
        </w:rPr>
        <w:t>,</w:t>
      </w:r>
      <w:r>
        <w:rPr>
          <w:rFonts w:ascii="Arial" w:cs="Arial" w:eastAsia="Arial" w:hAnsi="Arial"/>
          <w:sz w:val="20"/>
          <w:szCs w:val="20"/>
          <w:color w:val="auto"/>
        </w:rPr>
        <w:t xml:space="preserve"> of this Form 10-Q.</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2020.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w w:val="88"/>
              </w:rPr>
              <w:t>Total Number of Shares</w:t>
            </w:r>
          </w:p>
        </w:tc>
        <w:tc>
          <w:tcPr>
            <w:tcW w:w="24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w w:val="92"/>
              </w:rPr>
              <w:t>Maximum Number of</w:t>
            </w:r>
          </w:p>
        </w:tc>
      </w:tr>
      <w:tr>
        <w:trPr>
          <w:trHeight w:val="243"/>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20"/>
                <w:szCs w:val="20"/>
                <w:color w:val="auto"/>
                <w:w w:val="86"/>
              </w:rPr>
              <w:t>Purchased as Part of</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7"/>
              </w:rPr>
              <w:t>Shares that May Yet</w:t>
            </w:r>
          </w:p>
        </w:tc>
      </w:tr>
      <w:tr>
        <w:trPr>
          <w:trHeight w:val="243"/>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ind w:left="80"/>
              <w:spacing w:after="0"/>
              <w:rPr>
                <w:sz w:val="20"/>
                <w:szCs w:val="20"/>
                <w:color w:val="auto"/>
              </w:rPr>
            </w:pPr>
            <w:r>
              <w:rPr>
                <w:rFonts w:ascii="Arial" w:cs="Arial" w:eastAsia="Arial" w:hAnsi="Arial"/>
                <w:sz w:val="20"/>
                <w:szCs w:val="20"/>
                <w:color w:val="auto"/>
                <w:w w:val="97"/>
              </w:rPr>
              <w:t>Total Number of</w:t>
            </w:r>
          </w:p>
        </w:tc>
        <w:tc>
          <w:tcPr>
            <w:tcW w:w="240" w:type="dxa"/>
            <w:vAlign w:val="bottom"/>
          </w:tcPr>
          <w:p>
            <w:pPr>
              <w:spacing w:after="0"/>
              <w:rPr>
                <w:sz w:val="21"/>
                <w:szCs w:val="21"/>
                <w:color w:val="auto"/>
              </w:rPr>
            </w:pPr>
          </w:p>
        </w:tc>
        <w:tc>
          <w:tcPr>
            <w:tcW w:w="1420" w:type="dxa"/>
            <w:vAlign w:val="bottom"/>
            <w:gridSpan w:val="3"/>
          </w:tcPr>
          <w:p>
            <w:pPr>
              <w:ind w:left="40"/>
              <w:spacing w:after="0"/>
              <w:rPr>
                <w:sz w:val="20"/>
                <w:szCs w:val="20"/>
                <w:color w:val="auto"/>
              </w:rPr>
            </w:pPr>
            <w:r>
              <w:rPr>
                <w:rFonts w:ascii="Arial" w:cs="Arial" w:eastAsia="Arial" w:hAnsi="Arial"/>
                <w:sz w:val="20"/>
                <w:szCs w:val="20"/>
                <w:color w:val="auto"/>
              </w:rPr>
              <w:t>Average Price</w:t>
            </w:r>
          </w:p>
        </w:tc>
        <w:tc>
          <w:tcPr>
            <w:tcW w:w="1900" w:type="dxa"/>
            <w:vAlign w:val="bottom"/>
          </w:tcPr>
          <w:p>
            <w:pPr>
              <w:jc w:val="center"/>
              <w:spacing w:after="0"/>
              <w:rPr>
                <w:sz w:val="20"/>
                <w:szCs w:val="20"/>
                <w:color w:val="auto"/>
              </w:rPr>
            </w:pPr>
            <w:r>
              <w:rPr>
                <w:rFonts w:ascii="Arial" w:cs="Arial" w:eastAsia="Arial" w:hAnsi="Arial"/>
                <w:sz w:val="20"/>
                <w:szCs w:val="20"/>
                <w:color w:val="auto"/>
                <w:w w:val="92"/>
              </w:rPr>
              <w:t>Publicly Announced</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5"/>
              </w:rPr>
              <w:t>be Purchased Under</w:t>
            </w:r>
          </w:p>
        </w:tc>
      </w:tr>
      <w:tr>
        <w:trPr>
          <w:trHeight w:val="246"/>
        </w:trPr>
        <w:tc>
          <w:tcPr>
            <w:tcW w:w="4080" w:type="dxa"/>
            <w:vAlign w:val="bottom"/>
            <w:gridSpan w:val="2"/>
          </w:tcPr>
          <w:p>
            <w:pPr>
              <w:ind w:left="1720"/>
              <w:spacing w:after="0"/>
              <w:rPr>
                <w:sz w:val="20"/>
                <w:szCs w:val="20"/>
                <w:color w:val="auto"/>
              </w:rPr>
            </w:pPr>
            <w:r>
              <w:rPr>
                <w:rFonts w:ascii="Arial" w:cs="Arial" w:eastAsia="Arial" w:hAnsi="Arial"/>
                <w:sz w:val="20"/>
                <w:szCs w:val="20"/>
                <w:color w:val="auto"/>
              </w:rPr>
              <w:t>Period</w:t>
            </w:r>
          </w:p>
        </w:tc>
        <w:tc>
          <w:tcPr>
            <w:tcW w:w="1500" w:type="dxa"/>
            <w:vAlign w:val="bottom"/>
          </w:tcPr>
          <w:p>
            <w:pPr>
              <w:ind w:left="40"/>
              <w:spacing w:after="0"/>
              <w:rPr>
                <w:sz w:val="20"/>
                <w:szCs w:val="20"/>
                <w:color w:val="auto"/>
              </w:rPr>
            </w:pPr>
            <w:r>
              <w:rPr>
                <w:rFonts w:ascii="Arial" w:cs="Arial" w:eastAsia="Arial" w:hAnsi="Arial"/>
                <w:sz w:val="20"/>
                <w:szCs w:val="20"/>
                <w:color w:val="auto"/>
                <w:w w:val="87"/>
              </w:rPr>
              <w:t>Shares Purchased</w:t>
            </w:r>
          </w:p>
        </w:tc>
        <w:tc>
          <w:tcPr>
            <w:tcW w:w="240" w:type="dxa"/>
            <w:vAlign w:val="bottom"/>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Arial" w:cs="Arial" w:eastAsia="Arial" w:hAnsi="Arial"/>
                <w:sz w:val="20"/>
                <w:szCs w:val="20"/>
                <w:color w:val="auto"/>
              </w:rPr>
              <w:t>Paid per Share</w:t>
            </w:r>
          </w:p>
        </w:tc>
        <w:tc>
          <w:tcPr>
            <w:tcW w:w="1900" w:type="dxa"/>
            <w:vAlign w:val="bottom"/>
          </w:tcPr>
          <w:p>
            <w:pPr>
              <w:jc w:val="center"/>
              <w:spacing w:after="0"/>
              <w:rPr>
                <w:sz w:val="20"/>
                <w:szCs w:val="20"/>
                <w:color w:val="auto"/>
              </w:rPr>
            </w:pPr>
            <w:r>
              <w:rPr>
                <w:rFonts w:ascii="Arial" w:cs="Arial" w:eastAsia="Arial" w:hAnsi="Arial"/>
                <w:sz w:val="20"/>
                <w:szCs w:val="20"/>
                <w:color w:val="auto"/>
                <w:w w:val="88"/>
              </w:rPr>
              <w:t>Plans or Programs</w:t>
            </w:r>
          </w:p>
        </w:tc>
        <w:tc>
          <w:tcPr>
            <w:tcW w:w="24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w w:val="86"/>
              </w:rPr>
              <w:t>the Plans or Programs</w:t>
            </w:r>
          </w:p>
        </w:tc>
      </w:tr>
      <w:tr>
        <w:trPr>
          <w:trHeight w:val="237"/>
        </w:trPr>
        <w:tc>
          <w:tcPr>
            <w:tcW w:w="3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April 1, 2021 - April 30, 2021</w:t>
            </w:r>
          </w:p>
        </w:tc>
        <w:tc>
          <w:tcPr>
            <w:tcW w:w="140" w:type="dxa"/>
            <w:vAlign w:val="bottom"/>
            <w:tcBorders>
              <w:top w:val="single" w:sz="8" w:color="CFF0FC"/>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ind w:left="1300"/>
              <w:spacing w:after="0"/>
              <w:rPr>
                <w:sz w:val="20"/>
                <w:szCs w:val="20"/>
                <w:color w:val="auto"/>
              </w:rPr>
            </w:pPr>
            <w:r>
              <w:rPr>
                <w:rFonts w:ascii="Arial" w:cs="Arial" w:eastAsia="Arial" w:hAnsi="Arial"/>
                <w:sz w:val="20"/>
                <w:szCs w:val="20"/>
                <w:color w:val="auto"/>
                <w:w w:val="89"/>
              </w:rPr>
              <w:t>—</w:t>
            </w:r>
          </w:p>
        </w:tc>
        <w:tc>
          <w:tcPr>
            <w:tcW w:w="240" w:type="dxa"/>
            <w:vAlign w:val="bottom"/>
            <w:tcBorders>
              <w:top w:val="single" w:sz="8" w:color="CFF0FC"/>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41"/>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20"/>
                <w:szCs w:val="20"/>
                <w:color w:val="auto"/>
                <w:w w:val="99"/>
              </w:rPr>
              <w:t>—</w:t>
            </w:r>
          </w:p>
        </w:tc>
        <w:tc>
          <w:tcPr>
            <w:tcW w:w="220" w:type="dxa"/>
            <w:vAlign w:val="bottom"/>
            <w:tcBorders>
              <w:top w:val="single" w:sz="8" w:color="CFF0FC"/>
            </w:tcBorders>
            <w:shd w:val="clear" w:color="auto" w:fill="CFF0FC"/>
          </w:tcPr>
          <w:p>
            <w:pPr>
              <w:spacing w:after="0"/>
              <w:rPr>
                <w:sz w:val="20"/>
                <w:szCs w:val="20"/>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top w:val="single" w:sz="8" w:color="CFF0FC"/>
            </w:tcBorders>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13,520,952</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4080" w:type="dxa"/>
            <w:vAlign w:val="bottom"/>
            <w:gridSpan w:val="2"/>
          </w:tcPr>
          <w:p>
            <w:pPr>
              <w:spacing w:after="0"/>
              <w:rPr>
                <w:sz w:val="20"/>
                <w:szCs w:val="20"/>
                <w:color w:val="auto"/>
              </w:rPr>
            </w:pPr>
            <w:r>
              <w:rPr>
                <w:rFonts w:ascii="Arial" w:cs="Arial" w:eastAsia="Arial" w:hAnsi="Arial"/>
                <w:sz w:val="20"/>
                <w:szCs w:val="20"/>
                <w:color w:val="auto"/>
              </w:rPr>
              <w:t>May 1, 2021 - May 31, 2021</w:t>
            </w:r>
          </w:p>
        </w:tc>
        <w:tc>
          <w:tcPr>
            <w:tcW w:w="1500" w:type="dxa"/>
            <w:vAlign w:val="bottom"/>
          </w:tcPr>
          <w:p>
            <w:pPr>
              <w:ind w:left="1300"/>
              <w:spacing w:after="0"/>
              <w:rPr>
                <w:sz w:val="20"/>
                <w:szCs w:val="20"/>
                <w:color w:val="auto"/>
              </w:rPr>
            </w:pPr>
            <w:r>
              <w:rPr>
                <w:rFonts w:ascii="Arial" w:cs="Arial" w:eastAsia="Arial" w:hAnsi="Arial"/>
                <w:sz w:val="20"/>
                <w:szCs w:val="20"/>
                <w:color w:val="auto"/>
                <w:w w:val="89"/>
              </w:rPr>
              <w:t>—</w:t>
            </w:r>
          </w:p>
        </w:tc>
        <w:tc>
          <w:tcPr>
            <w:tcW w:w="780" w:type="dxa"/>
            <w:vAlign w:val="bottom"/>
            <w:gridSpan w:val="2"/>
          </w:tcPr>
          <w:p>
            <w:pPr>
              <w:jc w:val="right"/>
              <w:ind w:right="341"/>
              <w:spacing w:after="0"/>
              <w:rPr>
                <w:sz w:val="20"/>
                <w:szCs w:val="20"/>
                <w:color w:val="auto"/>
              </w:rPr>
            </w:pPr>
            <w:r>
              <w:rPr>
                <w:rFonts w:ascii="Arial" w:cs="Arial" w:eastAsia="Arial" w:hAnsi="Arial"/>
                <w:sz w:val="20"/>
                <w:szCs w:val="20"/>
                <w:color w:val="auto"/>
              </w:rPr>
              <w:t>$</w:t>
            </w:r>
          </w:p>
        </w:tc>
        <w:tc>
          <w:tcPr>
            <w:tcW w:w="880" w:type="dxa"/>
            <w:vAlign w:val="bottom"/>
            <w:gridSpan w:val="2"/>
          </w:tcPr>
          <w:p>
            <w:pPr>
              <w:ind w:left="440"/>
              <w:spacing w:after="0"/>
              <w:rPr>
                <w:sz w:val="20"/>
                <w:szCs w:val="20"/>
                <w:color w:val="auto"/>
              </w:rPr>
            </w:pPr>
            <w:r>
              <w:rPr>
                <w:rFonts w:ascii="Arial" w:cs="Arial" w:eastAsia="Arial" w:hAnsi="Arial"/>
                <w:sz w:val="20"/>
                <w:szCs w:val="20"/>
                <w:color w:val="auto"/>
              </w:rPr>
              <w:t>—</w:t>
            </w:r>
          </w:p>
        </w:tc>
        <w:tc>
          <w:tcPr>
            <w:tcW w:w="1900" w:type="dxa"/>
            <w:vAlign w:val="bottom"/>
          </w:tcPr>
          <w:p>
            <w:pPr>
              <w:jc w:val="right"/>
              <w:spacing w:after="0"/>
              <w:rPr>
                <w:sz w:val="20"/>
                <w:szCs w:val="20"/>
                <w:color w:val="auto"/>
              </w:rPr>
            </w:pPr>
            <w:r>
              <w:rPr>
                <w:rFonts w:ascii="Arial" w:cs="Arial" w:eastAsia="Arial" w:hAnsi="Arial"/>
                <w:sz w:val="20"/>
                <w:szCs w:val="20"/>
                <w:color w:val="auto"/>
              </w:rPr>
              <w:t>—</w:t>
            </w:r>
          </w:p>
        </w:tc>
        <w:tc>
          <w:tcPr>
            <w:tcW w:w="2000" w:type="dxa"/>
            <w:vAlign w:val="bottom"/>
            <w:gridSpan w:val="2"/>
          </w:tcPr>
          <w:p>
            <w:pPr>
              <w:jc w:val="right"/>
              <w:spacing w:after="0"/>
              <w:rPr>
                <w:sz w:val="20"/>
                <w:szCs w:val="20"/>
                <w:color w:val="auto"/>
              </w:rPr>
            </w:pPr>
            <w:r>
              <w:rPr>
                <w:rFonts w:ascii="Arial" w:cs="Arial" w:eastAsia="Arial" w:hAnsi="Arial"/>
                <w:sz w:val="20"/>
                <w:szCs w:val="20"/>
                <w:color w:val="auto"/>
              </w:rPr>
              <w:t>13,520,952</w:t>
            </w:r>
          </w:p>
        </w:tc>
        <w:tc>
          <w:tcPr>
            <w:tcW w:w="100" w:type="dxa"/>
            <w:vAlign w:val="bottom"/>
          </w:tcPr>
          <w:p>
            <w:pPr>
              <w:spacing w:after="0"/>
              <w:rPr>
                <w:sz w:val="21"/>
                <w:szCs w:val="21"/>
                <w:color w:val="auto"/>
              </w:rPr>
            </w:pPr>
          </w:p>
        </w:tc>
      </w:tr>
      <w:tr>
        <w:trPr>
          <w:trHeight w:val="243"/>
        </w:trPr>
        <w:tc>
          <w:tcPr>
            <w:tcW w:w="40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June 1, 2021 - June 30, 2021</w:t>
            </w:r>
          </w:p>
        </w:tc>
        <w:tc>
          <w:tcPr>
            <w:tcW w:w="1500" w:type="dxa"/>
            <w:vAlign w:val="bottom"/>
            <w:tcBorders>
              <w:bottom w:val="single" w:sz="8" w:color="auto"/>
            </w:tcBorders>
            <w:shd w:val="clear" w:color="auto" w:fill="CFF0FC"/>
          </w:tcPr>
          <w:p>
            <w:pPr>
              <w:ind w:left="1300"/>
              <w:spacing w:after="0"/>
              <w:rPr>
                <w:sz w:val="20"/>
                <w:szCs w:val="20"/>
                <w:color w:val="auto"/>
              </w:rPr>
            </w:pPr>
            <w:r>
              <w:rPr>
                <w:rFonts w:ascii="Arial" w:cs="Arial" w:eastAsia="Arial" w:hAnsi="Arial"/>
                <w:sz w:val="20"/>
                <w:szCs w:val="20"/>
                <w:color w:val="auto"/>
                <w:w w:val="89"/>
              </w:rPr>
              <w:t>—</w:t>
            </w:r>
          </w:p>
        </w:tc>
        <w:tc>
          <w:tcPr>
            <w:tcW w:w="780" w:type="dxa"/>
            <w:vAlign w:val="bottom"/>
            <w:gridSpan w:val="2"/>
            <w:shd w:val="clear" w:color="auto" w:fill="CFF0FC"/>
          </w:tcPr>
          <w:p>
            <w:pPr>
              <w:jc w:val="right"/>
              <w:ind w:right="341"/>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CFF0FC"/>
          </w:tcPr>
          <w:p>
            <w:pPr>
              <w:ind w:left="440"/>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13,520,952</w:t>
            </w:r>
          </w:p>
        </w:tc>
        <w:tc>
          <w:tcPr>
            <w:tcW w:w="100" w:type="dxa"/>
            <w:vAlign w:val="bottom"/>
            <w:shd w:val="clear" w:color="auto" w:fill="CFF0FC"/>
          </w:tcPr>
          <w:p>
            <w:pPr>
              <w:spacing w:after="0"/>
              <w:rPr>
                <w:sz w:val="21"/>
                <w:szCs w:val="21"/>
                <w:color w:val="auto"/>
              </w:rPr>
            </w:pPr>
          </w:p>
        </w:tc>
      </w:tr>
      <w:tr>
        <w:trPr>
          <w:trHeight w:val="237"/>
        </w:trPr>
        <w:tc>
          <w:tcPr>
            <w:tcW w:w="4080" w:type="dxa"/>
            <w:vAlign w:val="bottom"/>
            <w:gridSpan w:val="2"/>
          </w:tcPr>
          <w:p>
            <w:pPr>
              <w:spacing w:after="0"/>
              <w:rPr>
                <w:sz w:val="20"/>
                <w:szCs w:val="20"/>
                <w:color w:val="auto"/>
              </w:rPr>
            </w:pPr>
            <w:r>
              <w:rPr>
                <w:rFonts w:ascii="Arial" w:cs="Arial" w:eastAsia="Arial" w:hAnsi="Arial"/>
                <w:sz w:val="20"/>
                <w:szCs w:val="20"/>
                <w:color w:val="auto"/>
              </w:rPr>
              <w:t>Total</w:t>
            </w: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20"/>
                <w:szCs w:val="20"/>
                <w:color w:val="auto"/>
                <w:w w:val="89"/>
              </w:rPr>
              <w: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50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1"/>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40" w:type="dxa"/>
            <w:vAlign w:val="bottom"/>
          </w:tcPr>
          <w:p>
            <w:pPr>
              <w:jc w:val="center"/>
              <w:ind w:right="1281"/>
              <w:spacing w:after="0"/>
              <w:rPr>
                <w:sz w:val="20"/>
                <w:szCs w:val="20"/>
                <w:color w:val="auto"/>
              </w:rPr>
            </w:pPr>
            <w:r>
              <w:rPr>
                <w:rFonts w:ascii="Arial" w:cs="Arial" w:eastAsia="Arial" w:hAnsi="Arial"/>
                <w:sz w:val="20"/>
                <w:szCs w:val="20"/>
                <w:color w:val="auto"/>
                <w:w w:val="97"/>
              </w:rPr>
              <w:t>MARTIN MARIETTA MATERIALS, INC. AND CONSOLIDATED SUBSIDIARIES</w:t>
            </w:r>
          </w:p>
        </w:tc>
      </w:tr>
      <w:tr>
        <w:trPr>
          <w:trHeight w:val="22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40" w:type="dxa"/>
            <w:vAlign w:val="bottom"/>
          </w:tcPr>
          <w:p>
            <w:pPr>
              <w:jc w:val="center"/>
              <w:ind w:right="1281"/>
              <w:spacing w:after="0"/>
              <w:rPr>
                <w:sz w:val="20"/>
                <w:szCs w:val="20"/>
                <w:color w:val="auto"/>
              </w:rPr>
            </w:pPr>
            <w:r>
              <w:rPr>
                <w:rFonts w:ascii="Arial" w:cs="Arial" w:eastAsia="Arial" w:hAnsi="Arial"/>
                <w:sz w:val="20"/>
                <w:szCs w:val="20"/>
                <w:color w:val="auto"/>
                <w:w w:val="93"/>
              </w:rPr>
              <w:t>FORM 10-Q</w:t>
            </w:r>
          </w:p>
        </w:tc>
      </w:tr>
      <w:tr>
        <w:trPr>
          <w:trHeight w:val="250"/>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40" w:type="dxa"/>
            <w:vAlign w:val="bottom"/>
          </w:tcPr>
          <w:p>
            <w:pPr>
              <w:jc w:val="center"/>
              <w:ind w:right="1301"/>
              <w:spacing w:after="0"/>
              <w:rPr>
                <w:sz w:val="20"/>
                <w:szCs w:val="20"/>
                <w:color w:val="auto"/>
              </w:rPr>
            </w:pPr>
            <w:r>
              <w:rPr>
                <w:rFonts w:ascii="Arial" w:cs="Arial" w:eastAsia="Arial" w:hAnsi="Arial"/>
                <w:sz w:val="20"/>
                <w:szCs w:val="20"/>
                <w:color w:val="auto"/>
                <w:w w:val="87"/>
              </w:rPr>
              <w:t>For the Quarter Ended June 30, 2021</w:t>
            </w:r>
          </w:p>
        </w:tc>
      </w:tr>
      <w:tr>
        <w:trPr>
          <w:trHeight w:val="425"/>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40" w:type="dxa"/>
            <w:vAlign w:val="bottom"/>
          </w:tcPr>
          <w:p>
            <w:pPr>
              <w:jc w:val="center"/>
              <w:ind w:right="1301"/>
              <w:spacing w:after="0"/>
              <w:rPr>
                <w:sz w:val="20"/>
                <w:szCs w:val="20"/>
                <w:color w:val="auto"/>
              </w:rPr>
            </w:pPr>
            <w:r>
              <w:rPr>
                <w:rFonts w:ascii="Arial" w:cs="Arial" w:eastAsia="Arial" w:hAnsi="Arial"/>
                <w:sz w:val="20"/>
                <w:szCs w:val="20"/>
                <w:color w:val="auto"/>
                <w:w w:val="95"/>
              </w:rPr>
              <w:t>PART II- OTHER INFORMATION</w:t>
            </w:r>
          </w:p>
        </w:tc>
      </w:tr>
      <w:tr>
        <w:trPr>
          <w:trHeight w:val="250"/>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40" w:type="dxa"/>
            <w:vAlign w:val="bottom"/>
          </w:tcPr>
          <w:p>
            <w:pPr>
              <w:jc w:val="center"/>
              <w:ind w:right="1301"/>
              <w:spacing w:after="0"/>
              <w:rPr>
                <w:sz w:val="20"/>
                <w:szCs w:val="20"/>
                <w:color w:val="auto"/>
              </w:rPr>
            </w:pPr>
            <w:r>
              <w:rPr>
                <w:rFonts w:ascii="Arial" w:cs="Arial" w:eastAsia="Arial" w:hAnsi="Arial"/>
                <w:sz w:val="20"/>
                <w:szCs w:val="20"/>
                <w:color w:val="auto"/>
                <w:w w:val="91"/>
              </w:rPr>
              <w:t>(Continued)</w:t>
            </w:r>
          </w:p>
        </w:tc>
      </w:tr>
      <w:tr>
        <w:trPr>
          <w:trHeight w:val="333"/>
        </w:trPr>
        <w:tc>
          <w:tcPr>
            <w:tcW w:w="1360" w:type="dxa"/>
            <w:vAlign w:val="bottom"/>
            <w:gridSpan w:val="6"/>
          </w:tcPr>
          <w:p>
            <w:pPr>
              <w:spacing w:after="0"/>
              <w:rPr>
                <w:sz w:val="20"/>
                <w:szCs w:val="20"/>
                <w:color w:val="auto"/>
              </w:rPr>
            </w:pPr>
            <w:r>
              <w:rPr>
                <w:rFonts w:ascii="Arial" w:cs="Arial" w:eastAsia="Arial" w:hAnsi="Arial"/>
                <w:sz w:val="20"/>
                <w:szCs w:val="20"/>
                <w:color w:val="auto"/>
                <w:w w:val="94"/>
              </w:rPr>
              <w:t>Item 6. Exhibits.</w:t>
            </w:r>
          </w:p>
        </w:tc>
        <w:tc>
          <w:tcPr>
            <w:tcW w:w="40" w:type="dxa"/>
            <w:vAlign w:val="bottom"/>
          </w:tcPr>
          <w:p>
            <w:pPr>
              <w:spacing w:after="0"/>
              <w:rPr>
                <w:sz w:val="24"/>
                <w:szCs w:val="24"/>
                <w:color w:val="auto"/>
              </w:rPr>
            </w:pPr>
          </w:p>
        </w:tc>
        <w:tc>
          <w:tcPr>
            <w:tcW w:w="9840" w:type="dxa"/>
            <w:vAlign w:val="bottom"/>
          </w:tcPr>
          <w:p>
            <w:pPr>
              <w:spacing w:after="0"/>
              <w:rPr>
                <w:sz w:val="24"/>
                <w:szCs w:val="24"/>
                <w:color w:val="auto"/>
              </w:rPr>
            </w:pPr>
          </w:p>
        </w:tc>
      </w:tr>
      <w:tr>
        <w:trPr>
          <w:trHeight w:val="479"/>
        </w:trPr>
        <w:tc>
          <w:tcPr>
            <w:tcW w:w="1300" w:type="dxa"/>
            <w:vAlign w:val="bottom"/>
            <w:tcBorders>
              <w:top w:val="single" w:sz="8" w:color="auto"/>
              <w:bottom w:val="single" w:sz="8" w:color="auto"/>
            </w:tcBorders>
            <w:gridSpan w:val="4"/>
          </w:tcPr>
          <w:p>
            <w:pPr>
              <w:ind w:left="180"/>
              <w:spacing w:after="0"/>
              <w:rPr>
                <w:sz w:val="20"/>
                <w:szCs w:val="20"/>
                <w:color w:val="auto"/>
              </w:rPr>
            </w:pPr>
            <w:r>
              <w:rPr>
                <w:rFonts w:ascii="Arial" w:cs="Arial" w:eastAsia="Arial" w:hAnsi="Arial"/>
                <w:sz w:val="20"/>
                <w:szCs w:val="20"/>
                <w:color w:val="auto"/>
              </w:rPr>
              <w:t>Exhibit No.</w:t>
            </w: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40" w:type="dxa"/>
            <w:vAlign w:val="bottom"/>
            <w:tcBorders>
              <w:bottom w:val="single" w:sz="8" w:color="auto"/>
            </w:tcBorders>
          </w:tcPr>
          <w:p>
            <w:pPr>
              <w:ind w:left="4500"/>
              <w:spacing w:after="0"/>
              <w:rPr>
                <w:sz w:val="20"/>
                <w:szCs w:val="20"/>
                <w:color w:val="auto"/>
              </w:rPr>
            </w:pPr>
            <w:r>
              <w:rPr>
                <w:rFonts w:ascii="Arial" w:cs="Arial" w:eastAsia="Arial" w:hAnsi="Arial"/>
                <w:sz w:val="20"/>
                <w:szCs w:val="20"/>
                <w:color w:val="auto"/>
              </w:rPr>
              <w:t>Document</w:t>
            </w:r>
          </w:p>
        </w:tc>
      </w:tr>
      <w:tr>
        <w:trPr>
          <w:trHeight w:val="304"/>
        </w:trPr>
        <w:tc>
          <w:tcPr>
            <w:tcW w:w="360" w:type="dxa"/>
            <w:vAlign w:val="bottom"/>
            <w:gridSpan w:val="2"/>
          </w:tcPr>
          <w:p>
            <w:pPr>
              <w:spacing w:after="0"/>
              <w:rPr>
                <w:rFonts w:ascii="Arial" w:cs="Arial" w:eastAsia="Arial" w:hAnsi="Arial"/>
                <w:sz w:val="20"/>
                <w:szCs w:val="20"/>
                <w:color w:val="0000EE"/>
              </w:rPr>
            </w:pPr>
            <w:hyperlink r:id="rId65">
              <w:r>
                <w:rPr>
                  <w:rFonts w:ascii="Arial" w:cs="Arial" w:eastAsia="Arial" w:hAnsi="Arial"/>
                  <w:sz w:val="20"/>
                  <w:szCs w:val="20"/>
                  <w:color w:val="0000EE"/>
                </w:rPr>
                <w:t>2.</w:t>
              </w:r>
              <w:r>
                <w:rPr>
                  <w:rFonts w:ascii="Arial" w:cs="Arial" w:eastAsia="Arial" w:hAnsi="Arial"/>
                  <w:sz w:val="20"/>
                  <w:szCs w:val="20"/>
                  <w:u w:val="single" w:color="auto"/>
                  <w:color w:val="0000EE"/>
                </w:rPr>
                <w:t>1</w:t>
              </w:r>
            </w:hyperlink>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w w:val="91"/>
              </w:rPr>
              <w:t>Securities Purchase Agreement, dated as of May 23, 2021, by and among Martin Marietta Materials, Inc., Lehigh Cement</w:t>
            </w:r>
          </w:p>
        </w:tc>
      </w:tr>
      <w:tr>
        <w:trPr>
          <w:trHeight w:val="233"/>
        </w:trPr>
        <w:tc>
          <w:tcPr>
            <w:tcW w:w="26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w w:val="93"/>
              </w:rPr>
              <w:t>Company LLC, HMBA Holdings LLC and Lehigh Southwest Cement Company (incorporated by reference to Exhibit 2.1</w:t>
            </w:r>
          </w:p>
        </w:tc>
      </w:tr>
      <w:tr>
        <w:trPr>
          <w:trHeight w:val="250"/>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w w:val="92"/>
              </w:rPr>
              <w:t>to the Martin Marietta Materials, Inc. Current Report on Form 8-K, filed on May 25, 2021 (Commission File No. 1-12744))</w:t>
            </w:r>
          </w:p>
        </w:tc>
      </w:tr>
      <w:tr>
        <w:trPr>
          <w:trHeight w:val="509"/>
        </w:trPr>
        <w:tc>
          <w:tcPr>
            <w:tcW w:w="360" w:type="dxa"/>
            <w:vAlign w:val="bottom"/>
            <w:tcBorders>
              <w:bottom w:val="single" w:sz="8" w:color="0000EE"/>
            </w:tcBorders>
            <w:gridSpan w:val="2"/>
          </w:tcPr>
          <w:p>
            <w:pPr>
              <w:spacing w:after="0"/>
              <w:rPr>
                <w:rFonts w:ascii="Arial" w:cs="Arial" w:eastAsia="Arial" w:hAnsi="Arial"/>
                <w:sz w:val="20"/>
                <w:szCs w:val="20"/>
                <w:color w:val="0000EE"/>
                <w:w w:val="87"/>
              </w:rPr>
            </w:pPr>
            <w:hyperlink w:anchor="page53">
              <w:r>
                <w:rPr>
                  <w:rFonts w:ascii="Arial" w:cs="Arial" w:eastAsia="Arial" w:hAnsi="Arial"/>
                  <w:sz w:val="20"/>
                  <w:szCs w:val="20"/>
                  <w:color w:val="0000EE"/>
                  <w:w w:val="87"/>
                </w:rPr>
                <w:t>10.</w:t>
              </w:r>
              <w:r>
                <w:rPr>
                  <w:rFonts w:ascii="Arial" w:cs="Arial" w:eastAsia="Arial" w:hAnsi="Arial"/>
                  <w:sz w:val="20"/>
                  <w:szCs w:val="20"/>
                  <w:u w:val="single" w:color="auto"/>
                  <w:color w:val="0000EE"/>
                  <w:w w:val="87"/>
                </w:rPr>
                <w:t>1</w:t>
              </w:r>
            </w:hyperlink>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rPr>
              <w:t>Martin Marietta Materials, Inc. Incentive Stock Plan, As Amended</w:t>
            </w:r>
            <w:r>
              <w:rPr>
                <w:rFonts w:ascii="Arial" w:cs="Arial" w:eastAsia="Arial" w:hAnsi="Arial"/>
                <w:sz w:val="16"/>
                <w:szCs w:val="16"/>
                <w:color w:val="auto"/>
              </w:rPr>
              <w:t>1</w:t>
            </w:r>
          </w:p>
        </w:tc>
      </w:tr>
      <w:tr>
        <w:trPr>
          <w:trHeight w:val="331"/>
        </w:trPr>
        <w:tc>
          <w:tcPr>
            <w:tcW w:w="1300" w:type="dxa"/>
            <w:vAlign w:val="bottom"/>
            <w:gridSpan w:val="4"/>
          </w:tcPr>
          <w:p>
            <w:pPr>
              <w:spacing w:after="0"/>
              <w:rPr>
                <w:rFonts w:ascii="Arial" w:cs="Arial" w:eastAsia="Arial" w:hAnsi="Arial"/>
                <w:sz w:val="20"/>
                <w:szCs w:val="20"/>
                <w:color w:val="0000EE"/>
              </w:rPr>
            </w:pPr>
            <w:hyperlink w:anchor="page61">
              <w:r>
                <w:rPr>
                  <w:rFonts w:ascii="Arial" w:cs="Arial" w:eastAsia="Arial" w:hAnsi="Arial"/>
                  <w:sz w:val="20"/>
                  <w:szCs w:val="20"/>
                  <w:color w:val="0000EE"/>
                </w:rPr>
                <w:t>31.</w:t>
              </w:r>
              <w:r>
                <w:rPr>
                  <w:rFonts w:ascii="Arial" w:cs="Arial" w:eastAsia="Arial" w:hAnsi="Arial"/>
                  <w:sz w:val="20"/>
                  <w:szCs w:val="20"/>
                  <w:u w:val="single" w:color="auto"/>
                  <w:color w:val="0000EE"/>
                </w:rPr>
                <w:t>01</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w w:val="91"/>
              </w:rPr>
              <w:t>Certification dated July 29, 2021 of Chief Executive Officer pursuant to Securities and Exchange Act of 1934 Rule 13a-14</w:t>
            </w:r>
          </w:p>
        </w:tc>
      </w:tr>
      <w:tr>
        <w:trPr>
          <w:trHeight w:val="254"/>
        </w:trPr>
        <w:tc>
          <w:tcPr>
            <w:tcW w:w="2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rPr>
              <w:t>as adopted pursuant to Section 302 of the Sarbanes-Oxley Act of 2002</w:t>
            </w:r>
          </w:p>
        </w:tc>
      </w:tr>
      <w:tr>
        <w:trPr>
          <w:trHeight w:val="306"/>
        </w:trPr>
        <w:tc>
          <w:tcPr>
            <w:tcW w:w="1300" w:type="dxa"/>
            <w:vAlign w:val="bottom"/>
            <w:gridSpan w:val="4"/>
          </w:tcPr>
          <w:p>
            <w:pPr>
              <w:spacing w:after="0"/>
              <w:rPr>
                <w:rFonts w:ascii="Arial" w:cs="Arial" w:eastAsia="Arial" w:hAnsi="Arial"/>
                <w:sz w:val="20"/>
                <w:szCs w:val="20"/>
                <w:color w:val="0000EE"/>
              </w:rPr>
            </w:pPr>
            <w:hyperlink w:anchor="page63">
              <w:r>
                <w:rPr>
                  <w:rFonts w:ascii="Arial" w:cs="Arial" w:eastAsia="Arial" w:hAnsi="Arial"/>
                  <w:sz w:val="20"/>
                  <w:szCs w:val="20"/>
                  <w:color w:val="0000EE"/>
                </w:rPr>
                <w:t>31.</w:t>
              </w:r>
              <w:r>
                <w:rPr>
                  <w:rFonts w:ascii="Arial" w:cs="Arial" w:eastAsia="Arial" w:hAnsi="Arial"/>
                  <w:sz w:val="20"/>
                  <w:szCs w:val="20"/>
                  <w:u w:val="single" w:color="auto"/>
                  <w:color w:val="0000EE"/>
                </w:rPr>
                <w:t>02</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w w:val="92"/>
              </w:rPr>
              <w:t>Certification dated July 29, 2021 of Chief Financial Officer pursuant to Securities and Exchange Act of 1934 Rule 13a-14</w:t>
            </w:r>
          </w:p>
        </w:tc>
      </w:tr>
      <w:tr>
        <w:trPr>
          <w:trHeight w:val="254"/>
        </w:trPr>
        <w:tc>
          <w:tcPr>
            <w:tcW w:w="2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rPr>
              <w:t>as adopted pursuant to Section 302 of the Sarbanes-Oxley Act of 2002</w:t>
            </w:r>
          </w:p>
        </w:tc>
      </w:tr>
      <w:tr>
        <w:trPr>
          <w:trHeight w:val="307"/>
        </w:trPr>
        <w:tc>
          <w:tcPr>
            <w:tcW w:w="1300" w:type="dxa"/>
            <w:vAlign w:val="bottom"/>
            <w:gridSpan w:val="4"/>
          </w:tcPr>
          <w:p>
            <w:pPr>
              <w:spacing w:after="0"/>
              <w:rPr>
                <w:rFonts w:ascii="Arial" w:cs="Arial" w:eastAsia="Arial" w:hAnsi="Arial"/>
                <w:sz w:val="20"/>
                <w:szCs w:val="20"/>
                <w:color w:val="0000EE"/>
              </w:rPr>
            </w:pPr>
            <w:hyperlink w:anchor="page65">
              <w:r>
                <w:rPr>
                  <w:rFonts w:ascii="Arial" w:cs="Arial" w:eastAsia="Arial" w:hAnsi="Arial"/>
                  <w:sz w:val="20"/>
                  <w:szCs w:val="20"/>
                  <w:color w:val="0000EE"/>
                </w:rPr>
                <w:t>32.</w:t>
              </w:r>
              <w:r>
                <w:rPr>
                  <w:rFonts w:ascii="Arial" w:cs="Arial" w:eastAsia="Arial" w:hAnsi="Arial"/>
                  <w:sz w:val="20"/>
                  <w:szCs w:val="20"/>
                  <w:u w:val="single" w:color="auto"/>
                  <w:color w:val="0000EE"/>
                </w:rPr>
                <w:t>01</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w w:val="94"/>
              </w:rPr>
              <w:t>Written Statement dated July 29, 2021 of Chief Executive Officer required by 18 U.S.C. 1350, as adopted pursuant to</w:t>
            </w:r>
          </w:p>
        </w:tc>
      </w:tr>
      <w:tr>
        <w:trPr>
          <w:trHeight w:val="254"/>
        </w:trPr>
        <w:tc>
          <w:tcPr>
            <w:tcW w:w="2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rPr>
              <w:t>Section 906 of the Sarbanes-Oxley Act of 2002</w:t>
            </w:r>
          </w:p>
        </w:tc>
      </w:tr>
      <w:tr>
        <w:trPr>
          <w:trHeight w:val="306"/>
        </w:trPr>
        <w:tc>
          <w:tcPr>
            <w:tcW w:w="1300" w:type="dxa"/>
            <w:vAlign w:val="bottom"/>
            <w:gridSpan w:val="4"/>
          </w:tcPr>
          <w:p>
            <w:pPr>
              <w:spacing w:after="0"/>
              <w:rPr>
                <w:rFonts w:ascii="Arial" w:cs="Arial" w:eastAsia="Arial" w:hAnsi="Arial"/>
                <w:sz w:val="20"/>
                <w:szCs w:val="20"/>
                <w:color w:val="0000EE"/>
              </w:rPr>
            </w:pPr>
            <w:hyperlink w:anchor="page66">
              <w:r>
                <w:rPr>
                  <w:rFonts w:ascii="Arial" w:cs="Arial" w:eastAsia="Arial" w:hAnsi="Arial"/>
                  <w:sz w:val="20"/>
                  <w:szCs w:val="20"/>
                  <w:color w:val="0000EE"/>
                </w:rPr>
                <w:t>32.</w:t>
              </w:r>
              <w:r>
                <w:rPr>
                  <w:rFonts w:ascii="Arial" w:cs="Arial" w:eastAsia="Arial" w:hAnsi="Arial"/>
                  <w:sz w:val="20"/>
                  <w:szCs w:val="20"/>
                  <w:u w:val="single" w:color="auto"/>
                  <w:color w:val="0000EE"/>
                </w:rPr>
                <w:t>02</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w w:val="95"/>
              </w:rPr>
              <w:t>Written Statement dated July 29, 2021 of Chief Financial Officer required by 18 U.S.C. 1350, as adopted pursuant to</w:t>
            </w:r>
          </w:p>
        </w:tc>
      </w:tr>
      <w:tr>
        <w:trPr>
          <w:trHeight w:val="254"/>
        </w:trPr>
        <w:tc>
          <w:tcPr>
            <w:tcW w:w="2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rPr>
              <w:t>Section 906 of the Sarbanes-Oxley Act of 2002</w:t>
            </w:r>
          </w:p>
        </w:tc>
      </w:tr>
    </w:tbl>
    <w:p>
      <w:pPr>
        <w:spacing w:after="0" w:line="101" w:lineRule="exact"/>
        <w:rPr>
          <w:sz w:val="20"/>
          <w:szCs w:val="20"/>
          <w:color w:val="auto"/>
        </w:rPr>
      </w:pPr>
    </w:p>
    <w:p>
      <w:pPr>
        <w:ind w:left="1400" w:hanging="1392"/>
        <w:spacing w:after="0"/>
        <w:tabs>
          <w:tab w:leader="none" w:pos="1400" w:val="left"/>
        </w:tabs>
        <w:numPr>
          <w:ilvl w:val="0"/>
          <w:numId w:val="18"/>
        </w:numPr>
        <w:rPr>
          <w:rFonts w:ascii="Arial" w:cs="Arial" w:eastAsia="Arial" w:hAnsi="Arial"/>
          <w:sz w:val="20"/>
          <w:szCs w:val="20"/>
          <w:u w:val="single" w:color="auto"/>
          <w:color w:val="0000EE"/>
        </w:rPr>
      </w:pPr>
      <w:r>
        <w:rPr>
          <w:rFonts w:ascii="Arial" w:cs="Arial" w:eastAsia="Arial" w:hAnsi="Arial"/>
          <w:sz w:val="20"/>
          <w:szCs w:val="20"/>
          <w:color w:val="auto"/>
        </w:rPr>
        <w:t>Mine Safety Disclosures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20"/>
                <w:szCs w:val="20"/>
                <w:color w:val="auto"/>
              </w:rPr>
              <w:t>101.INS</w:t>
            </w:r>
          </w:p>
        </w:tc>
        <w:tc>
          <w:tcPr>
            <w:tcW w:w="10160" w:type="dxa"/>
            <w:vAlign w:val="bottom"/>
          </w:tcPr>
          <w:p>
            <w:pPr>
              <w:ind w:left="320"/>
              <w:spacing w:after="0"/>
              <w:rPr>
                <w:sz w:val="20"/>
                <w:szCs w:val="20"/>
                <w:color w:val="auto"/>
              </w:rPr>
            </w:pPr>
            <w:r>
              <w:rPr>
                <w:rFonts w:ascii="Arial" w:cs="Arial" w:eastAsia="Arial" w:hAnsi="Arial"/>
                <w:sz w:val="20"/>
                <w:szCs w:val="20"/>
                <w:color w:val="auto"/>
                <w:w w:val="92"/>
              </w:rPr>
              <w:t>Inline XBRL Instance Document – The instance document does not appear in the Interactive Data File because its XBRL</w:t>
            </w:r>
          </w:p>
        </w:tc>
      </w:tr>
      <w:tr>
        <w:trPr>
          <w:trHeight w:val="250"/>
        </w:trPr>
        <w:tc>
          <w:tcPr>
            <w:tcW w:w="1080" w:type="dxa"/>
            <w:vAlign w:val="bottom"/>
          </w:tcPr>
          <w:p>
            <w:pPr>
              <w:spacing w:after="0"/>
              <w:rPr>
                <w:sz w:val="21"/>
                <w:szCs w:val="21"/>
                <w:color w:val="auto"/>
              </w:rPr>
            </w:pPr>
          </w:p>
        </w:tc>
        <w:tc>
          <w:tcPr>
            <w:tcW w:w="10160" w:type="dxa"/>
            <w:vAlign w:val="bottom"/>
          </w:tcPr>
          <w:p>
            <w:pPr>
              <w:ind w:left="320"/>
              <w:spacing w:after="0"/>
              <w:rPr>
                <w:sz w:val="20"/>
                <w:szCs w:val="20"/>
                <w:color w:val="auto"/>
              </w:rPr>
            </w:pPr>
            <w:r>
              <w:rPr>
                <w:rFonts w:ascii="Arial" w:cs="Arial" w:eastAsia="Arial" w:hAnsi="Arial"/>
                <w:sz w:val="20"/>
                <w:szCs w:val="20"/>
                <w:color w:val="auto"/>
              </w:rPr>
              <w:t>tags are embedded within the Inline XBRL document.</w:t>
            </w:r>
          </w:p>
        </w:tc>
      </w:tr>
      <w:tr>
        <w:trPr>
          <w:trHeight w:val="351"/>
        </w:trPr>
        <w:tc>
          <w:tcPr>
            <w:tcW w:w="1080" w:type="dxa"/>
            <w:vAlign w:val="bottom"/>
          </w:tcPr>
          <w:p>
            <w:pPr>
              <w:spacing w:after="0"/>
              <w:rPr>
                <w:sz w:val="20"/>
                <w:szCs w:val="20"/>
                <w:color w:val="auto"/>
              </w:rPr>
            </w:pPr>
            <w:r>
              <w:rPr>
                <w:rFonts w:ascii="Arial" w:cs="Arial" w:eastAsia="Arial" w:hAnsi="Arial"/>
                <w:sz w:val="20"/>
                <w:szCs w:val="20"/>
                <w:color w:val="auto"/>
              </w:rPr>
              <w:t>101.SCH</w:t>
            </w:r>
          </w:p>
        </w:tc>
        <w:tc>
          <w:tcPr>
            <w:tcW w:w="10160" w:type="dxa"/>
            <w:vAlign w:val="bottom"/>
          </w:tcPr>
          <w:p>
            <w:pPr>
              <w:ind w:left="320"/>
              <w:spacing w:after="0"/>
              <w:rPr>
                <w:sz w:val="20"/>
                <w:szCs w:val="20"/>
                <w:color w:val="auto"/>
              </w:rPr>
            </w:pPr>
            <w:r>
              <w:rPr>
                <w:rFonts w:ascii="Arial" w:cs="Arial" w:eastAsia="Arial" w:hAnsi="Arial"/>
                <w:sz w:val="20"/>
                <w:szCs w:val="20"/>
                <w:color w:val="auto"/>
              </w:rPr>
              <w:t>Inline XBRL Taxonomy Extension Schema Document</w:t>
            </w:r>
          </w:p>
        </w:tc>
      </w:tr>
      <w:tr>
        <w:trPr>
          <w:trHeight w:val="351"/>
        </w:trPr>
        <w:tc>
          <w:tcPr>
            <w:tcW w:w="1080" w:type="dxa"/>
            <w:vAlign w:val="bottom"/>
          </w:tcPr>
          <w:p>
            <w:pPr>
              <w:spacing w:after="0"/>
              <w:rPr>
                <w:sz w:val="20"/>
                <w:szCs w:val="20"/>
                <w:color w:val="auto"/>
              </w:rPr>
            </w:pPr>
            <w:r>
              <w:rPr>
                <w:rFonts w:ascii="Arial" w:cs="Arial" w:eastAsia="Arial" w:hAnsi="Arial"/>
                <w:sz w:val="20"/>
                <w:szCs w:val="20"/>
                <w:color w:val="auto"/>
              </w:rPr>
              <w:t>101.CAL</w:t>
            </w:r>
          </w:p>
        </w:tc>
        <w:tc>
          <w:tcPr>
            <w:tcW w:w="10160" w:type="dxa"/>
            <w:vAlign w:val="bottom"/>
          </w:tcPr>
          <w:p>
            <w:pPr>
              <w:ind w:left="32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351"/>
        </w:trPr>
        <w:tc>
          <w:tcPr>
            <w:tcW w:w="1080" w:type="dxa"/>
            <w:vAlign w:val="bottom"/>
          </w:tcPr>
          <w:p>
            <w:pPr>
              <w:spacing w:after="0"/>
              <w:rPr>
                <w:sz w:val="20"/>
                <w:szCs w:val="20"/>
                <w:color w:val="auto"/>
              </w:rPr>
            </w:pPr>
            <w:r>
              <w:rPr>
                <w:rFonts w:ascii="Arial" w:cs="Arial" w:eastAsia="Arial" w:hAnsi="Arial"/>
                <w:sz w:val="20"/>
                <w:szCs w:val="20"/>
                <w:color w:val="auto"/>
              </w:rPr>
              <w:t>101.LAB</w:t>
            </w:r>
          </w:p>
        </w:tc>
        <w:tc>
          <w:tcPr>
            <w:tcW w:w="10160" w:type="dxa"/>
            <w:vAlign w:val="bottom"/>
          </w:tcPr>
          <w:p>
            <w:pPr>
              <w:ind w:left="32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351"/>
        </w:trPr>
        <w:tc>
          <w:tcPr>
            <w:tcW w:w="1080" w:type="dxa"/>
            <w:vAlign w:val="bottom"/>
          </w:tcPr>
          <w:p>
            <w:pPr>
              <w:spacing w:after="0"/>
              <w:rPr>
                <w:sz w:val="20"/>
                <w:szCs w:val="20"/>
                <w:color w:val="auto"/>
              </w:rPr>
            </w:pPr>
            <w:r>
              <w:rPr>
                <w:rFonts w:ascii="Arial" w:cs="Arial" w:eastAsia="Arial" w:hAnsi="Arial"/>
                <w:sz w:val="20"/>
                <w:szCs w:val="20"/>
                <w:color w:val="auto"/>
              </w:rPr>
              <w:t>101.PRE</w:t>
            </w:r>
          </w:p>
        </w:tc>
        <w:tc>
          <w:tcPr>
            <w:tcW w:w="10160" w:type="dxa"/>
            <w:vAlign w:val="bottom"/>
          </w:tcPr>
          <w:p>
            <w:pPr>
              <w:ind w:left="32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351"/>
        </w:trPr>
        <w:tc>
          <w:tcPr>
            <w:tcW w:w="1080" w:type="dxa"/>
            <w:vAlign w:val="bottom"/>
          </w:tcPr>
          <w:p>
            <w:pPr>
              <w:spacing w:after="0"/>
              <w:rPr>
                <w:sz w:val="20"/>
                <w:szCs w:val="20"/>
                <w:color w:val="auto"/>
              </w:rPr>
            </w:pPr>
            <w:r>
              <w:rPr>
                <w:rFonts w:ascii="Arial" w:cs="Arial" w:eastAsia="Arial" w:hAnsi="Arial"/>
                <w:sz w:val="20"/>
                <w:szCs w:val="20"/>
                <w:color w:val="auto"/>
              </w:rPr>
              <w:t>101.DEF</w:t>
            </w:r>
          </w:p>
        </w:tc>
        <w:tc>
          <w:tcPr>
            <w:tcW w:w="10160" w:type="dxa"/>
            <w:vAlign w:val="bottom"/>
          </w:tcPr>
          <w:p>
            <w:pPr>
              <w:ind w:left="320"/>
              <w:spacing w:after="0"/>
              <w:rPr>
                <w:sz w:val="20"/>
                <w:szCs w:val="20"/>
                <w:color w:val="auto"/>
              </w:rPr>
            </w:pPr>
            <w:r>
              <w:rPr>
                <w:rFonts w:ascii="Arial" w:cs="Arial" w:eastAsia="Arial" w:hAnsi="Arial"/>
                <w:sz w:val="20"/>
                <w:szCs w:val="20"/>
                <w:color w:val="auto"/>
              </w:rPr>
              <w:t>Inline XBRL Taxonomy Extension Definition Linkbase</w:t>
            </w:r>
          </w:p>
        </w:tc>
      </w:tr>
      <w:tr>
        <w:trPr>
          <w:trHeight w:val="351"/>
        </w:trPr>
        <w:tc>
          <w:tcPr>
            <w:tcW w:w="1080" w:type="dxa"/>
            <w:vAlign w:val="bottom"/>
          </w:tcPr>
          <w:p>
            <w:pPr>
              <w:spacing w:after="0"/>
              <w:rPr>
                <w:sz w:val="20"/>
                <w:szCs w:val="20"/>
                <w:color w:val="auto"/>
              </w:rPr>
            </w:pPr>
            <w:r>
              <w:rPr>
                <w:rFonts w:ascii="Arial" w:cs="Arial" w:eastAsia="Arial" w:hAnsi="Arial"/>
                <w:sz w:val="20"/>
                <w:szCs w:val="20"/>
                <w:color w:val="auto"/>
              </w:rPr>
              <w:t>104</w:t>
            </w:r>
          </w:p>
        </w:tc>
        <w:tc>
          <w:tcPr>
            <w:tcW w:w="10160" w:type="dxa"/>
            <w:vAlign w:val="bottom"/>
          </w:tcPr>
          <w:p>
            <w:pPr>
              <w:ind w:left="320"/>
              <w:spacing w:after="0"/>
              <w:rPr>
                <w:sz w:val="20"/>
                <w:szCs w:val="20"/>
                <w:color w:val="auto"/>
              </w:rPr>
            </w:pPr>
            <w:r>
              <w:rPr>
                <w:rFonts w:ascii="Arial" w:cs="Arial" w:eastAsia="Arial" w:hAnsi="Arial"/>
                <w:sz w:val="20"/>
                <w:szCs w:val="20"/>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7"/>
          <w:szCs w:val="17"/>
          <w:color w:val="auto"/>
        </w:rPr>
      </w:pPr>
      <w:r>
        <w:rPr>
          <w:rFonts w:ascii="Arial" w:cs="Arial" w:eastAsia="Arial" w:hAnsi="Arial"/>
          <w:sz w:val="18"/>
          <w:szCs w:val="18"/>
          <w:i w:val="1"/>
          <w:iCs w:val="1"/>
          <w:color w:val="auto"/>
        </w:rPr>
        <w:t>Compensatory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51 of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50"/>
        </w:trPr>
        <w:tc>
          <w:tcPr>
            <w:tcW w:w="41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140" w:type="dxa"/>
            <w:vAlign w:val="bottom"/>
          </w:tcPr>
          <w:p>
            <w:pPr>
              <w:jc w:val="center"/>
              <w:ind w:right="1901"/>
              <w:spacing w:after="0"/>
              <w:rPr>
                <w:sz w:val="20"/>
                <w:szCs w:val="20"/>
                <w:color w:val="auto"/>
              </w:rPr>
            </w:pPr>
            <w:r>
              <w:rPr>
                <w:rFonts w:ascii="Arial" w:cs="Arial" w:eastAsia="Arial" w:hAnsi="Arial"/>
                <w:sz w:val="20"/>
                <w:szCs w:val="20"/>
                <w:color w:val="auto"/>
                <w:w w:val="89"/>
              </w:rPr>
              <w:t>(Registrant)</w:t>
            </w:r>
          </w:p>
        </w:tc>
      </w:tr>
      <w:tr>
        <w:trPr>
          <w:trHeight w:val="455"/>
        </w:trPr>
        <w:tc>
          <w:tcPr>
            <w:tcW w:w="4140" w:type="dxa"/>
            <w:vAlign w:val="bottom"/>
          </w:tcPr>
          <w:p>
            <w:pPr>
              <w:spacing w:after="0"/>
              <w:rPr>
                <w:sz w:val="20"/>
                <w:szCs w:val="20"/>
                <w:color w:val="auto"/>
              </w:rPr>
            </w:pPr>
            <w:r>
              <w:rPr>
                <w:rFonts w:ascii="Arial" w:cs="Arial" w:eastAsia="Arial" w:hAnsi="Arial"/>
                <w:sz w:val="20"/>
                <w:szCs w:val="20"/>
                <w:color w:val="auto"/>
              </w:rPr>
              <w:t>Date: July 29, 2021</w:t>
            </w:r>
          </w:p>
        </w:tc>
        <w:tc>
          <w:tcPr>
            <w:tcW w:w="7100" w:type="dxa"/>
            <w:vAlign w:val="bottom"/>
            <w:gridSpan w:val="2"/>
          </w:tcPr>
          <w:p>
            <w:pPr>
              <w:ind w:left="2560"/>
              <w:spacing w:after="0"/>
              <w:rPr>
                <w:sz w:val="20"/>
                <w:szCs w:val="20"/>
                <w:color w:val="auto"/>
              </w:rPr>
            </w:pPr>
            <w:r>
              <w:rPr>
                <w:rFonts w:ascii="Arial" w:cs="Arial" w:eastAsia="Arial" w:hAnsi="Arial"/>
                <w:sz w:val="20"/>
                <w:szCs w:val="20"/>
                <w:color w:val="auto"/>
              </w:rPr>
              <w:t>By: /s/ James A. J. Nickolas</w:t>
            </w:r>
          </w:p>
        </w:tc>
      </w:tr>
      <w:tr>
        <w:trPr>
          <w:trHeight w:val="206"/>
        </w:trPr>
        <w:tc>
          <w:tcPr>
            <w:tcW w:w="41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30"/>
        </w:trPr>
        <w:tc>
          <w:tcPr>
            <w:tcW w:w="41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41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140" w:type="dxa"/>
            <w:vAlign w:val="bottom"/>
          </w:tcPr>
          <w:p>
            <w:pPr>
              <w:jc w:val="center"/>
              <w:ind w:right="1881"/>
              <w:spacing w:after="0"/>
              <w:rPr>
                <w:sz w:val="20"/>
                <w:szCs w:val="20"/>
                <w:color w:val="auto"/>
              </w:rPr>
            </w:pPr>
            <w:r>
              <w:rPr>
                <w:rFonts w:ascii="Arial" w:cs="Arial" w:eastAsia="Arial" w:hAnsi="Arial"/>
                <w:sz w:val="20"/>
                <w:szCs w:val="20"/>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52 of 52</w:t>
      </w:r>
    </w:p>
    <w:p>
      <w:pPr>
        <w:sectPr>
          <w:pgSz w:w="11900" w:h="16838" w:orient="portrait"/>
          <w:cols w:equalWidth="0" w:num="1">
            <w:col w:w="11240"/>
          </w:cols>
          <w:pgMar w:left="320" w:top="56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b w:val="1"/>
          <w:bCs w:val="1"/>
          <w:color w:val="auto"/>
        </w:rPr>
        <w:t>EXHIBIT 10.1</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May 2021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MARTIN MARIETTA MATERIALS,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INCENTIVE STOCK PLAN, AS AMENDED</w:t>
      </w:r>
    </w:p>
    <w:p>
      <w:pPr>
        <w:spacing w:after="0" w:line="200" w:lineRule="exact"/>
        <w:rPr>
          <w:sz w:val="20"/>
          <w:szCs w:val="20"/>
          <w:color w:val="auto"/>
        </w:rPr>
      </w:pPr>
    </w:p>
    <w:p>
      <w:pPr>
        <w:spacing w:after="0" w:line="237"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w:t>
      </w:r>
      <w:r>
        <w:rPr>
          <w:sz w:val="20"/>
          <w:szCs w:val="20"/>
          <w:color w:val="auto"/>
        </w:rPr>
        <w:tab/>
      </w:r>
      <w:r>
        <w:rPr>
          <w:rFonts w:ascii="Arial" w:cs="Arial" w:eastAsia="Arial" w:hAnsi="Arial"/>
          <w:sz w:val="20"/>
          <w:szCs w:val="20"/>
          <w:b w:val="1"/>
          <w:bCs w:val="1"/>
          <w:u w:val="single" w:color="auto"/>
          <w:color w:val="auto"/>
        </w:rPr>
        <w:t>OVERVIEW AND PURPOSES</w:t>
      </w:r>
    </w:p>
    <w:p>
      <w:pPr>
        <w:spacing w:after="0" w:line="235" w:lineRule="exact"/>
        <w:rPr>
          <w:sz w:val="20"/>
          <w:szCs w:val="20"/>
          <w:color w:val="auto"/>
        </w:rPr>
      </w:pPr>
    </w:p>
    <w:p>
      <w:pPr>
        <w:jc w:val="both"/>
        <w:ind w:left="120" w:firstLine="1711"/>
        <w:spacing w:after="0" w:line="243" w:lineRule="auto"/>
        <w:rPr>
          <w:sz w:val="20"/>
          <w:szCs w:val="20"/>
          <w:color w:val="auto"/>
        </w:rPr>
      </w:pPr>
      <w:r>
        <w:rPr>
          <w:rFonts w:ascii="Arial" w:cs="Arial" w:eastAsia="Arial" w:hAnsi="Arial"/>
          <w:sz w:val="20"/>
          <w:szCs w:val="20"/>
          <w:color w:val="auto"/>
        </w:rPr>
        <w:t>This Plan is intended to give key employees who participate in the Corporation's Executive Incentive Plan the opportunity to acquire the Corporation's stock on a discounted, tax-deferred basis by having part of their annual incentive awards converted to Stock Units. Those units become fully vested and are distributed in the form of unrestricted common stock after approximately three years of additional employment with the Corporation. Participation in the Plan is elective. The stock-based compensation provided under this Plan, which was originally adopted under the Martin Marietta Materials, Omnibus Securities Award Plan, constitutes part of the Martin Marietta Stock-Based Award Plan.</w:t>
      </w:r>
    </w:p>
    <w:p>
      <w:pPr>
        <w:spacing w:after="0" w:line="209" w:lineRule="exact"/>
        <w:rPr>
          <w:sz w:val="20"/>
          <w:szCs w:val="20"/>
          <w:color w:val="auto"/>
        </w:rPr>
      </w:pPr>
    </w:p>
    <w:p>
      <w:pPr>
        <w:ind w:right="20" w:firstLine="1727"/>
        <w:spacing w:after="0" w:line="287" w:lineRule="auto"/>
        <w:rPr>
          <w:sz w:val="20"/>
          <w:szCs w:val="20"/>
          <w:color w:val="auto"/>
        </w:rPr>
      </w:pPr>
      <w:r>
        <w:rPr>
          <w:rFonts w:ascii="Arial" w:cs="Arial" w:eastAsia="Arial" w:hAnsi="Arial"/>
          <w:sz w:val="19"/>
          <w:szCs w:val="19"/>
          <w:color w:val="auto"/>
        </w:rPr>
        <w:t>The Plan is intended to assist the Corporation in attracting and retaining key employees, to link a portion of the compensation of such employees to shareholder returns, and to foster stock ownership in the Corporation among key employees.</w:t>
      </w:r>
    </w:p>
    <w:p>
      <w:pPr>
        <w:spacing w:after="0" w:line="389"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II.</w:t>
      </w:r>
      <w:r>
        <w:rPr>
          <w:sz w:val="20"/>
          <w:szCs w:val="20"/>
          <w:color w:val="auto"/>
        </w:rPr>
        <w:tab/>
      </w:r>
      <w:r>
        <w:rPr>
          <w:rFonts w:ascii="Arial" w:cs="Arial" w:eastAsia="Arial" w:hAnsi="Arial"/>
          <w:sz w:val="20"/>
          <w:szCs w:val="20"/>
          <w:b w:val="1"/>
          <w:bCs w:val="1"/>
          <w:u w:val="single" w:color="auto"/>
          <w:color w:val="auto"/>
        </w:rPr>
        <w:t>DEFINITIONS</w:t>
      </w:r>
    </w:p>
    <w:p>
      <w:pPr>
        <w:spacing w:after="0" w:line="23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 xml:space="preserve">2.01 </w:t>
      </w:r>
      <w:r>
        <w:rPr>
          <w:rFonts w:ascii="Arial" w:cs="Arial" w:eastAsia="Arial" w:hAnsi="Arial"/>
          <w:sz w:val="20"/>
          <w:szCs w:val="20"/>
          <w:u w:val="single" w:color="auto"/>
          <w:color w:val="auto"/>
        </w:rPr>
        <w:t>Board</w:t>
      </w:r>
      <w:r>
        <w:rPr>
          <w:rFonts w:ascii="Arial" w:cs="Arial" w:eastAsia="Arial" w:hAnsi="Arial"/>
          <w:sz w:val="20"/>
          <w:szCs w:val="20"/>
          <w:color w:val="auto"/>
        </w:rPr>
        <w:t xml:space="preserve"> means the Board of Directors of the Corporation.</w:t>
      </w:r>
    </w:p>
    <w:p>
      <w:pPr>
        <w:spacing w:after="0" w:line="229" w:lineRule="exact"/>
        <w:rPr>
          <w:sz w:val="20"/>
          <w:szCs w:val="20"/>
          <w:color w:val="auto"/>
        </w:rPr>
      </w:pPr>
    </w:p>
    <w:p>
      <w:pPr>
        <w:ind w:left="1740"/>
        <w:spacing w:after="0"/>
        <w:tabs>
          <w:tab w:leader="none" w:pos="222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u w:val="single" w:color="auto"/>
          <w:color w:val="auto"/>
        </w:rPr>
        <w:t xml:space="preserve">Committee </w:t>
      </w:r>
      <w:r>
        <w:rPr>
          <w:rFonts w:ascii="Arial" w:cs="Arial" w:eastAsia="Arial" w:hAnsi="Arial"/>
          <w:sz w:val="18"/>
          <w:szCs w:val="18"/>
          <w:color w:val="auto"/>
        </w:rPr>
        <w:t>means the Management Development and Compensation Committee of the Board, as designated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under the Stock Plan.</w:t>
      </w:r>
    </w:p>
    <w:p>
      <w:pPr>
        <w:spacing w:after="0" w:line="213"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 xml:space="preserve">2.03 </w:t>
      </w:r>
      <w:r>
        <w:rPr>
          <w:rFonts w:ascii="Arial" w:cs="Arial" w:eastAsia="Arial" w:hAnsi="Arial"/>
          <w:sz w:val="20"/>
          <w:szCs w:val="20"/>
          <w:u w:val="single" w:color="auto"/>
          <w:color w:val="auto"/>
        </w:rPr>
        <w:t>Common Share</w:t>
      </w:r>
      <w:r>
        <w:rPr>
          <w:rFonts w:ascii="Arial" w:cs="Arial" w:eastAsia="Arial" w:hAnsi="Arial"/>
          <w:sz w:val="20"/>
          <w:szCs w:val="20"/>
          <w:color w:val="auto"/>
        </w:rPr>
        <w:t xml:space="preserve"> means a share of common stock of the Corporation with a par value of $.01.</w:t>
      </w:r>
    </w:p>
    <w:p>
      <w:pPr>
        <w:spacing w:after="0" w:line="22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 xml:space="preserve">2.04 </w:t>
      </w:r>
      <w:r>
        <w:rPr>
          <w:rFonts w:ascii="Arial" w:cs="Arial" w:eastAsia="Arial" w:hAnsi="Arial"/>
          <w:sz w:val="20"/>
          <w:szCs w:val="20"/>
          <w:u w:val="single" w:color="auto"/>
          <w:color w:val="auto"/>
        </w:rPr>
        <w:t>Corporation</w:t>
      </w:r>
      <w:r>
        <w:rPr>
          <w:rFonts w:ascii="Arial" w:cs="Arial" w:eastAsia="Arial" w:hAnsi="Arial"/>
          <w:sz w:val="20"/>
          <w:szCs w:val="20"/>
          <w:color w:val="auto"/>
        </w:rPr>
        <w:t xml:space="preserve"> means Martin Marietta Materials, Inc.</w:t>
      </w:r>
    </w:p>
    <w:p>
      <w:pPr>
        <w:spacing w:after="0" w:line="229" w:lineRule="exact"/>
        <w:rPr>
          <w:sz w:val="20"/>
          <w:szCs w:val="20"/>
          <w:color w:val="auto"/>
        </w:rPr>
      </w:pPr>
    </w:p>
    <w:p>
      <w:pPr>
        <w:ind w:firstLine="1727"/>
        <w:spacing w:after="0" w:line="287" w:lineRule="auto"/>
        <w:rPr>
          <w:sz w:val="20"/>
          <w:szCs w:val="20"/>
          <w:color w:val="auto"/>
        </w:rPr>
      </w:pPr>
      <w:r>
        <w:rPr>
          <w:rFonts w:ascii="Arial" w:cs="Arial" w:eastAsia="Arial" w:hAnsi="Arial"/>
          <w:sz w:val="19"/>
          <w:szCs w:val="19"/>
          <w:color w:val="auto"/>
        </w:rPr>
        <w:t xml:space="preserve">2.05 </w:t>
      </w: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means any physical or mental impairment that would qualify a Participant for disability benefits under the standards of the long-term disability plan maintained by the Corporation or under the Federal social security system.</w:t>
      </w:r>
    </w:p>
    <w:p>
      <w:pPr>
        <w:spacing w:after="0" w:line="166" w:lineRule="exact"/>
        <w:rPr>
          <w:sz w:val="20"/>
          <w:szCs w:val="20"/>
          <w:color w:val="auto"/>
        </w:rPr>
      </w:pPr>
    </w:p>
    <w:p>
      <w:pPr>
        <w:ind w:firstLine="1727"/>
        <w:spacing w:after="0" w:line="287" w:lineRule="auto"/>
        <w:rPr>
          <w:sz w:val="20"/>
          <w:szCs w:val="20"/>
          <w:color w:val="auto"/>
        </w:rPr>
      </w:pPr>
      <w:r>
        <w:rPr>
          <w:rFonts w:ascii="Arial" w:cs="Arial" w:eastAsia="Arial" w:hAnsi="Arial"/>
          <w:sz w:val="19"/>
          <w:szCs w:val="19"/>
          <w:color w:val="auto"/>
        </w:rPr>
        <w:t xml:space="preserve">2.06 </w:t>
      </w:r>
      <w:r>
        <w:rPr>
          <w:rFonts w:ascii="Arial" w:cs="Arial" w:eastAsia="Arial" w:hAnsi="Arial"/>
          <w:sz w:val="19"/>
          <w:szCs w:val="19"/>
          <w:u w:val="single" w:color="auto"/>
          <w:color w:val="auto"/>
        </w:rPr>
        <w:t>Eligible Employee</w:t>
      </w:r>
      <w:r>
        <w:rPr>
          <w:rFonts w:ascii="Arial" w:cs="Arial" w:eastAsia="Arial" w:hAnsi="Arial"/>
          <w:sz w:val="19"/>
          <w:szCs w:val="19"/>
          <w:color w:val="auto"/>
        </w:rPr>
        <w:t xml:space="preserve"> means the Chief Executive Officer of the Corporation, each elected vice president of the Corporation, and each other employee of the Corporation whom the Committee has designated as eligible to participate in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394970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3" w:name="page54"/>
    <w:bookmarkEnd w:id="53"/>
    <w:p>
      <w:pPr>
        <w:jc w:val="both"/>
        <w:ind w:firstLine="1727"/>
        <w:spacing w:after="0" w:line="260" w:lineRule="auto"/>
        <w:rPr>
          <w:sz w:val="20"/>
          <w:szCs w:val="20"/>
          <w:color w:val="auto"/>
        </w:rPr>
      </w:pPr>
      <w:r>
        <w:rPr>
          <w:rFonts w:ascii="Arial" w:cs="Arial" w:eastAsia="Arial" w:hAnsi="Arial"/>
          <w:sz w:val="20"/>
          <w:szCs w:val="20"/>
          <w:color w:val="auto"/>
        </w:rPr>
        <w:t xml:space="preserve">2.07 </w:t>
      </w:r>
      <w:r>
        <w:rPr>
          <w:rFonts w:ascii="Arial" w:cs="Arial" w:eastAsia="Arial" w:hAnsi="Arial"/>
          <w:sz w:val="20"/>
          <w:szCs w:val="20"/>
          <w:u w:val="single" w:color="auto"/>
          <w:color w:val="auto"/>
        </w:rPr>
        <w:t>Employment</w:t>
      </w:r>
      <w:r>
        <w:rPr>
          <w:rFonts w:ascii="Arial" w:cs="Arial" w:eastAsia="Arial" w:hAnsi="Arial"/>
          <w:sz w:val="20"/>
          <w:szCs w:val="20"/>
          <w:color w:val="auto"/>
        </w:rPr>
        <w:t xml:space="preserve"> means active employment with the Corporation or any of its subsidiaries or affiliates. An employee shall be deemed to remain in Employment during any authorized leave of absence, with or without pay.</w:t>
      </w:r>
    </w:p>
    <w:p>
      <w:pPr>
        <w:spacing w:after="0" w:line="190" w:lineRule="exact"/>
        <w:rPr>
          <w:sz w:val="20"/>
          <w:szCs w:val="20"/>
          <w:color w:val="auto"/>
        </w:rPr>
      </w:pPr>
    </w:p>
    <w:p>
      <w:pPr>
        <w:jc w:val="both"/>
        <w:ind w:right="20" w:firstLine="1727"/>
        <w:spacing w:after="0" w:line="260" w:lineRule="auto"/>
        <w:rPr>
          <w:sz w:val="20"/>
          <w:szCs w:val="20"/>
          <w:color w:val="auto"/>
        </w:rPr>
      </w:pPr>
      <w:r>
        <w:rPr>
          <w:rFonts w:ascii="Arial" w:cs="Arial" w:eastAsia="Arial" w:hAnsi="Arial"/>
          <w:sz w:val="20"/>
          <w:szCs w:val="20"/>
          <w:color w:val="auto"/>
        </w:rPr>
        <w:t xml:space="preserve">2.08 </w:t>
      </w:r>
      <w:r>
        <w:rPr>
          <w:rFonts w:ascii="Arial" w:cs="Arial" w:eastAsia="Arial" w:hAnsi="Arial"/>
          <w:sz w:val="20"/>
          <w:szCs w:val="20"/>
          <w:u w:val="single" w:color="auto"/>
          <w:color w:val="auto"/>
        </w:rPr>
        <w:t>Executive Incentive Plan</w:t>
      </w:r>
      <w:r>
        <w:rPr>
          <w:rFonts w:ascii="Arial" w:cs="Arial" w:eastAsia="Arial" w:hAnsi="Arial"/>
          <w:sz w:val="20"/>
          <w:szCs w:val="20"/>
          <w:color w:val="auto"/>
        </w:rPr>
        <w:t xml:space="preserve"> means the Martin Marietta Executive Cash Incentive Plan, as amended from time to time, under which annual Incentive Awards are paid to Eligible Employees.</w:t>
      </w:r>
    </w:p>
    <w:p>
      <w:pPr>
        <w:spacing w:after="0" w:line="190" w:lineRule="exact"/>
        <w:rPr>
          <w:sz w:val="20"/>
          <w:szCs w:val="20"/>
          <w:color w:val="auto"/>
        </w:rPr>
      </w:pPr>
    </w:p>
    <w:p>
      <w:pPr>
        <w:jc w:val="both"/>
        <w:ind w:firstLine="1608"/>
        <w:spacing w:after="0" w:line="291" w:lineRule="auto"/>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u w:val="single" w:color="auto"/>
          <w:color w:val="auto"/>
        </w:rPr>
        <w:t>Identified Employee</w:t>
      </w:r>
      <w:r>
        <w:rPr>
          <w:rFonts w:ascii="Arial" w:cs="Arial" w:eastAsia="Arial" w:hAnsi="Arial"/>
          <w:sz w:val="18"/>
          <w:szCs w:val="18"/>
          <w:color w:val="auto"/>
        </w:rPr>
        <w:t xml:space="preserve"> means an Eligible Employee (a) who is the Chief Executive Officer of the Corporation or an elected vice president of the Corporation, in each case unless the Committee, in its sole discretion, determines not to designate such officer as an Identified Employee, or (b) who is otherwise designated by the Committee as an Identified Employee for any Plan Year.</w:t>
      </w:r>
    </w:p>
    <w:p>
      <w:pPr>
        <w:spacing w:after="0" w:line="165" w:lineRule="exact"/>
        <w:rPr>
          <w:sz w:val="20"/>
          <w:szCs w:val="20"/>
          <w:color w:val="auto"/>
        </w:rPr>
      </w:pPr>
    </w:p>
    <w:p>
      <w:pPr>
        <w:jc w:val="both"/>
        <w:ind w:right="20" w:firstLine="1608"/>
        <w:spacing w:after="0" w:line="260" w:lineRule="auto"/>
        <w:rPr>
          <w:sz w:val="20"/>
          <w:szCs w:val="20"/>
          <w:color w:val="auto"/>
        </w:rPr>
      </w:pPr>
      <w:r>
        <w:rPr>
          <w:rFonts w:ascii="Arial" w:cs="Arial" w:eastAsia="Arial" w:hAnsi="Arial"/>
          <w:sz w:val="20"/>
          <w:szCs w:val="20"/>
          <w:color w:val="auto"/>
        </w:rPr>
        <w:t xml:space="preserve">2.10 </w:t>
      </w:r>
      <w:r>
        <w:rPr>
          <w:rFonts w:ascii="Arial" w:cs="Arial" w:eastAsia="Arial" w:hAnsi="Arial"/>
          <w:sz w:val="20"/>
          <w:szCs w:val="20"/>
          <w:u w:val="single" w:color="auto"/>
          <w:color w:val="auto"/>
        </w:rPr>
        <w:t>Incentive Award</w:t>
      </w:r>
      <w:r>
        <w:rPr>
          <w:rFonts w:ascii="Arial" w:cs="Arial" w:eastAsia="Arial" w:hAnsi="Arial"/>
          <w:sz w:val="20"/>
          <w:szCs w:val="20"/>
          <w:color w:val="auto"/>
        </w:rPr>
        <w:t xml:space="preserve"> means the amount of an award to an Eligible Employee under the Executive Incentive Plan, before taking account of any reduction for Stock Units that may be credited to the Eligible Employee.</w:t>
      </w:r>
    </w:p>
    <w:p>
      <w:pPr>
        <w:spacing w:after="0" w:line="19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u w:val="single" w:color="auto"/>
          <w:color w:val="auto"/>
        </w:rPr>
        <w:t>[Intentionally Deleted]</w:t>
      </w:r>
    </w:p>
    <w:p>
      <w:pPr>
        <w:spacing w:after="0" w:line="229" w:lineRule="exact"/>
        <w:rPr>
          <w:sz w:val="20"/>
          <w:szCs w:val="20"/>
          <w:color w:val="auto"/>
        </w:rPr>
      </w:pPr>
    </w:p>
    <w:p>
      <w:pPr>
        <w:ind w:left="1620"/>
        <w:spacing w:after="0"/>
        <w:tabs>
          <w:tab w:leader="none" w:pos="210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u w:val="single" w:color="auto"/>
          <w:color w:val="auto"/>
        </w:rPr>
        <w:t xml:space="preserve">Participant </w:t>
      </w:r>
      <w:r>
        <w:rPr>
          <w:rFonts w:ascii="Arial" w:cs="Arial" w:eastAsia="Arial" w:hAnsi="Arial"/>
          <w:sz w:val="19"/>
          <w:szCs w:val="19"/>
          <w:color w:val="auto"/>
        </w:rPr>
        <w:t>means an Eligible Employee for whom Stock Units have been credited, whether on an elective or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nonelective basis.</w:t>
      </w:r>
    </w:p>
    <w:p>
      <w:pPr>
        <w:spacing w:after="0" w:line="213"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Plan</w:t>
      </w:r>
      <w:r>
        <w:rPr>
          <w:rFonts w:ascii="Arial" w:cs="Arial" w:eastAsia="Arial" w:hAnsi="Arial"/>
          <w:sz w:val="20"/>
          <w:szCs w:val="20"/>
          <w:color w:val="auto"/>
        </w:rPr>
        <w:t xml:space="preserve"> means the Martin Marietta Materials, Inc. Incentive Stock Plan, as amended.</w:t>
      </w:r>
    </w:p>
    <w:p>
      <w:pPr>
        <w:spacing w:after="0" w:line="229" w:lineRule="exact"/>
        <w:rPr>
          <w:sz w:val="20"/>
          <w:szCs w:val="20"/>
          <w:color w:val="auto"/>
        </w:rPr>
      </w:pPr>
    </w:p>
    <w:p>
      <w:pPr>
        <w:jc w:val="both"/>
        <w:ind w:firstLine="1608"/>
        <w:spacing w:after="0" w:line="250" w:lineRule="auto"/>
        <w:rPr>
          <w:sz w:val="20"/>
          <w:szCs w:val="20"/>
          <w:color w:val="auto"/>
        </w:rPr>
      </w:pPr>
      <w:r>
        <w:rPr>
          <w:rFonts w:ascii="Arial" w:cs="Arial" w:eastAsia="Arial" w:hAnsi="Arial"/>
          <w:sz w:val="20"/>
          <w:szCs w:val="20"/>
          <w:color w:val="auto"/>
        </w:rPr>
        <w:t xml:space="preserve">2.14 </w:t>
      </w:r>
      <w:r>
        <w:rPr>
          <w:rFonts w:ascii="Arial" w:cs="Arial" w:eastAsia="Arial" w:hAnsi="Arial"/>
          <w:sz w:val="20"/>
          <w:szCs w:val="20"/>
          <w:u w:val="single" w:color="auto"/>
          <w:color w:val="auto"/>
        </w:rPr>
        <w:t>Plan Year</w:t>
      </w:r>
      <w:r>
        <w:rPr>
          <w:rFonts w:ascii="Arial" w:cs="Arial" w:eastAsia="Arial" w:hAnsi="Arial"/>
          <w:sz w:val="20"/>
          <w:szCs w:val="20"/>
          <w:color w:val="auto"/>
        </w:rPr>
        <w:t xml:space="preserve"> means the calendar year. Any reference to Incentive Awards or Stock Units awarded or credited for a Plan Year shall refer to the Plan Year preceding the calendar year in which the Incentive Award is actually paid or in which the Stock Units are actually credited to the Eligible Employee.</w:t>
      </w:r>
    </w:p>
    <w:p>
      <w:pPr>
        <w:spacing w:after="0" w:line="199" w:lineRule="exact"/>
        <w:rPr>
          <w:sz w:val="20"/>
          <w:szCs w:val="20"/>
          <w:color w:val="auto"/>
        </w:rPr>
      </w:pPr>
    </w:p>
    <w:p>
      <w:pPr>
        <w:jc w:val="both"/>
        <w:ind w:firstLine="1608"/>
        <w:spacing w:after="0" w:line="246" w:lineRule="auto"/>
        <w:rPr>
          <w:sz w:val="20"/>
          <w:szCs w:val="20"/>
          <w:color w:val="auto"/>
        </w:rPr>
      </w:pPr>
      <w:r>
        <w:rPr>
          <w:rFonts w:ascii="Arial" w:cs="Arial" w:eastAsia="Arial" w:hAnsi="Arial"/>
          <w:sz w:val="20"/>
          <w:szCs w:val="20"/>
          <w:color w:val="auto"/>
        </w:rPr>
        <w:t xml:space="preserve">2.15 </w:t>
      </w:r>
      <w:r>
        <w:rPr>
          <w:rFonts w:ascii="Arial" w:cs="Arial" w:eastAsia="Arial" w:hAnsi="Arial"/>
          <w:sz w:val="20"/>
          <w:szCs w:val="20"/>
          <w:u w:val="single" w:color="auto"/>
          <w:color w:val="auto"/>
        </w:rPr>
        <w:t>Retirement</w:t>
      </w:r>
      <w:r>
        <w:rPr>
          <w:rFonts w:ascii="Arial" w:cs="Arial" w:eastAsia="Arial" w:hAnsi="Arial"/>
          <w:sz w:val="20"/>
          <w:szCs w:val="20"/>
          <w:color w:val="auto"/>
        </w:rPr>
        <w:t xml:space="preserve"> means termination of a Participant's Employment at a time when the Participant is eligible to commence receiving retirement benefits under the Martin Marietta Pension Plan, as amended from time to time, or any successor plan, without actuarial reduction. The Committee, in its sole discretion, may classify a Participant's termination of Employment as Retirement under other circumstances.</w:t>
      </w:r>
    </w:p>
    <w:p>
      <w:pPr>
        <w:spacing w:after="0" w:line="205"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6"/>
          <w:szCs w:val="16"/>
          <w:u w:val="single" w:color="auto"/>
          <w:color w:val="auto"/>
        </w:rPr>
        <w:t xml:space="preserve">Stock Plan </w:t>
      </w:r>
      <w:r>
        <w:rPr>
          <w:rFonts w:ascii="Arial" w:cs="Arial" w:eastAsia="Arial" w:hAnsi="Arial"/>
          <w:sz w:val="16"/>
          <w:szCs w:val="16"/>
          <w:color w:val="auto"/>
        </w:rPr>
        <w:t>means the Martin Marietta Amended and Restated Stock-Based Award Plan, as amended from time.</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2.17 </w:t>
      </w:r>
      <w:r>
        <w:rPr>
          <w:rFonts w:ascii="Arial" w:cs="Arial" w:eastAsia="Arial" w:hAnsi="Arial"/>
          <w:sz w:val="20"/>
          <w:szCs w:val="20"/>
          <w:u w:val="single" w:color="auto"/>
          <w:color w:val="auto"/>
        </w:rPr>
        <w:t>Stock Unit</w:t>
      </w:r>
      <w:r>
        <w:rPr>
          <w:rFonts w:ascii="Arial" w:cs="Arial" w:eastAsia="Arial" w:hAnsi="Arial"/>
          <w:sz w:val="20"/>
          <w:szCs w:val="20"/>
          <w:color w:val="auto"/>
        </w:rPr>
        <w:t xml:space="preserve"> means a bookkeeping unit credited to a Participant that corresponds to one Common Share.</w:t>
      </w:r>
    </w:p>
    <w:p>
      <w:pPr>
        <w:spacing w:after="0" w:line="229" w:lineRule="exact"/>
        <w:rPr>
          <w:sz w:val="20"/>
          <w:szCs w:val="20"/>
          <w:color w:val="auto"/>
        </w:rPr>
      </w:pPr>
    </w:p>
    <w:p>
      <w:pPr>
        <w:jc w:val="both"/>
        <w:ind w:right="20" w:firstLine="1608"/>
        <w:spacing w:after="0" w:line="260" w:lineRule="auto"/>
        <w:rPr>
          <w:sz w:val="20"/>
          <w:szCs w:val="20"/>
          <w:color w:val="auto"/>
        </w:rPr>
      </w:pPr>
      <w:r>
        <w:rPr>
          <w:rFonts w:ascii="Arial" w:cs="Arial" w:eastAsia="Arial" w:hAnsi="Arial"/>
          <w:sz w:val="20"/>
          <w:szCs w:val="20"/>
          <w:color w:val="auto"/>
        </w:rPr>
        <w:t xml:space="preserve">2.18 </w:t>
      </w:r>
      <w:r>
        <w:rPr>
          <w:rFonts w:ascii="Arial" w:cs="Arial" w:eastAsia="Arial" w:hAnsi="Arial"/>
          <w:sz w:val="20"/>
          <w:szCs w:val="20"/>
          <w:u w:val="single" w:color="auto"/>
          <w:color w:val="auto"/>
        </w:rPr>
        <w:t>Vesting Date</w:t>
      </w:r>
      <w:r>
        <w:rPr>
          <w:rFonts w:ascii="Arial" w:cs="Arial" w:eastAsia="Arial" w:hAnsi="Arial"/>
          <w:sz w:val="20"/>
          <w:szCs w:val="20"/>
          <w:color w:val="auto"/>
        </w:rPr>
        <w:t xml:space="preserve"> means December 1 of the third (3rd) succeeding Plan Year if the Participant remains continuously Employed to that date, or as otherwise provided in Article VI.</w:t>
      </w:r>
    </w:p>
    <w:p>
      <w:pPr>
        <w:spacing w:after="0" w:line="184"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III.</w:t>
      </w:r>
      <w:r>
        <w:rPr>
          <w:sz w:val="20"/>
          <w:szCs w:val="20"/>
          <w:color w:val="auto"/>
        </w:rPr>
        <w:tab/>
      </w:r>
      <w:r>
        <w:rPr>
          <w:rFonts w:ascii="Arial" w:cs="Arial" w:eastAsia="Arial" w:hAnsi="Arial"/>
          <w:sz w:val="20"/>
          <w:szCs w:val="20"/>
          <w:b w:val="1"/>
          <w:bCs w:val="1"/>
          <w:color w:val="auto"/>
        </w:rPr>
        <w:t>EFFECTIVE DATE</w:t>
      </w:r>
    </w:p>
    <w:p>
      <w:pPr>
        <w:spacing w:after="0" w:line="235"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0"/>
          <w:szCs w:val="20"/>
          <w:color w:val="auto"/>
        </w:rPr>
        <w:t>The Plan shall be effective as of the date of Committee approval and shall be in effect for the 1995 Plan Year and for all subsequent years that the Stock Plan remains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4" w:name="page55"/>
    <w:bookmarkEnd w:id="54"/>
    <w:p>
      <w:pPr>
        <w:spacing w:after="0"/>
        <w:tabs>
          <w:tab w:leader="none" w:pos="170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u w:val="single" w:color="auto"/>
          <w:color w:val="auto"/>
        </w:rPr>
        <w:t>CREDITING OF STOCK UNITS</w:t>
      </w:r>
    </w:p>
    <w:p>
      <w:pPr>
        <w:spacing w:after="0" w:line="235"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0"/>
          <w:szCs w:val="20"/>
          <w:color w:val="auto"/>
        </w:rPr>
        <w:t xml:space="preserve">4.01 </w:t>
      </w:r>
      <w:r>
        <w:rPr>
          <w:rFonts w:ascii="Arial" w:cs="Arial" w:eastAsia="Arial" w:hAnsi="Arial"/>
          <w:sz w:val="20"/>
          <w:szCs w:val="20"/>
          <w:u w:val="single" w:color="auto"/>
          <w:color w:val="auto"/>
        </w:rPr>
        <w:t>Elective Crediting of Stock Units</w:t>
      </w:r>
      <w:r>
        <w:rPr>
          <w:rFonts w:ascii="Arial" w:cs="Arial" w:eastAsia="Arial" w:hAnsi="Arial"/>
          <w:sz w:val="20"/>
          <w:szCs w:val="20"/>
          <w:color w:val="auto"/>
        </w:rPr>
        <w:t>: Any Eligible Employee may elect to apply up to fifty percent (50%) of his or her Incentive Award for a Plan Year toward the crediting of Stock Units. The election must be (i) made in writing on the participation form approved for use under the Plan, (ii) signed by the Eligible Employee, and (iii) submitted to the Corporation no later than June 30 of the Plan Year for which the Incentive Award is awarded; the election shall be irrevocable after that date. If an Eligible Employee who has made an election under this Section 4.01 for a Plan Year retires or otherwise terminates Employment before the date that Incentive Awards are awarded for that Plan Year, the election shall have no effect.</w:t>
      </w:r>
    </w:p>
    <w:p>
      <w:pPr>
        <w:spacing w:after="0" w:line="20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 xml:space="preserve">4.02 </w:t>
      </w:r>
      <w:r>
        <w:rPr>
          <w:rFonts w:ascii="Arial" w:cs="Arial" w:eastAsia="Arial" w:hAnsi="Arial"/>
          <w:sz w:val="20"/>
          <w:szCs w:val="20"/>
          <w:u w:val="single" w:color="auto"/>
          <w:color w:val="auto"/>
        </w:rPr>
        <w:t>[Intentionally Deleted]</w:t>
      </w:r>
    </w:p>
    <w:p>
      <w:pPr>
        <w:spacing w:after="0" w:line="229"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auto"/>
        </w:rPr>
        <w:t xml:space="preserve">4.03 </w:t>
      </w:r>
      <w:r>
        <w:rPr>
          <w:rFonts w:ascii="Arial" w:cs="Arial" w:eastAsia="Arial" w:hAnsi="Arial"/>
          <w:sz w:val="20"/>
          <w:szCs w:val="20"/>
          <w:u w:val="single" w:color="auto"/>
          <w:color w:val="auto"/>
        </w:rPr>
        <w:t>Crediting Ratio for Stock Units</w:t>
      </w:r>
      <w:r>
        <w:rPr>
          <w:rFonts w:ascii="Arial" w:cs="Arial" w:eastAsia="Arial" w:hAnsi="Arial"/>
          <w:sz w:val="20"/>
          <w:szCs w:val="20"/>
          <w:color w:val="auto"/>
        </w:rPr>
        <w:t>: The number of Stock Units credited to an Eligible Employee for a Plan Year shall equal (i) the amount of the Incentive Award for that Plan Year that has been applied under Section 4.01, divided by (ii) eighty percent (80%) of the closing price of a Common Share published in the Wall Street Journal on the day on which Incentive Awards are awarded to Eligible Employees; the quotient shall be rounded up to the nearest whole number.</w:t>
      </w:r>
    </w:p>
    <w:p>
      <w:pPr>
        <w:spacing w:after="0" w:line="205" w:lineRule="exact"/>
        <w:rPr>
          <w:sz w:val="20"/>
          <w:szCs w:val="20"/>
          <w:color w:val="auto"/>
        </w:rPr>
      </w:pPr>
    </w:p>
    <w:p>
      <w:pPr>
        <w:jc w:val="both"/>
        <w:ind w:firstLine="1727"/>
        <w:spacing w:after="0" w:line="291" w:lineRule="auto"/>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u w:val="single" w:color="auto"/>
          <w:color w:val="auto"/>
        </w:rPr>
        <w:t>Reduction of Incentive Award Payments</w:t>
      </w:r>
      <w:r>
        <w:rPr>
          <w:rFonts w:ascii="Arial" w:cs="Arial" w:eastAsia="Arial" w:hAnsi="Arial"/>
          <w:sz w:val="18"/>
          <w:szCs w:val="18"/>
          <w:color w:val="auto"/>
        </w:rPr>
        <w:t>: Any amount applied to provide Stock Units under this Plan shall reduce the amount of the Incentive Award currently payable to the Eligible Employee. This reduction shall be made without regard to whether the Board has awarded or communicated to the Eligible Employee an Incentive Award amount that does not reflect the reduction.</w:t>
      </w:r>
    </w:p>
    <w:p>
      <w:pPr>
        <w:spacing w:after="0" w:line="16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auto"/>
        </w:rPr>
        <w:t xml:space="preserve">4.05 </w:t>
      </w:r>
      <w:r>
        <w:rPr>
          <w:rFonts w:ascii="Arial" w:cs="Arial" w:eastAsia="Arial" w:hAnsi="Arial"/>
          <w:sz w:val="20"/>
          <w:szCs w:val="20"/>
          <w:u w:val="single" w:color="auto"/>
          <w:color w:val="auto"/>
        </w:rPr>
        <w:t>Tax Withholding on Incentive Awards</w:t>
      </w:r>
      <w:r>
        <w:rPr>
          <w:rFonts w:ascii="Arial" w:cs="Arial" w:eastAsia="Arial" w:hAnsi="Arial"/>
          <w:sz w:val="20"/>
          <w:szCs w:val="20"/>
          <w:color w:val="auto"/>
        </w:rPr>
        <w:t>: Any taxes required to be withheld from an Eligible Employee's Incentive Award, including payroll or other taxes on the portion of the Incentive Award applied to provide Stock Units, shall be withheld from the portion of the Incentive Award that has not been applied to provide Stock Units.</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V.</w:t>
      </w:r>
      <w:r>
        <w:rPr>
          <w:sz w:val="20"/>
          <w:szCs w:val="20"/>
          <w:color w:val="auto"/>
        </w:rPr>
        <w:tab/>
      </w:r>
      <w:r>
        <w:rPr>
          <w:rFonts w:ascii="Arial" w:cs="Arial" w:eastAsia="Arial" w:hAnsi="Arial"/>
          <w:sz w:val="20"/>
          <w:szCs w:val="20"/>
          <w:b w:val="1"/>
          <w:bCs w:val="1"/>
          <w:color w:val="auto"/>
        </w:rPr>
        <w:t>ACCOUNTING FOR STOCK UNITS</w:t>
      </w:r>
    </w:p>
    <w:p>
      <w:pPr>
        <w:spacing w:after="0" w:line="235"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0"/>
          <w:szCs w:val="20"/>
          <w:color w:val="auto"/>
        </w:rPr>
        <w:t xml:space="preserve">5.01 </w:t>
      </w:r>
      <w:r>
        <w:rPr>
          <w:rFonts w:ascii="Arial" w:cs="Arial" w:eastAsia="Arial" w:hAnsi="Arial"/>
          <w:sz w:val="20"/>
          <w:szCs w:val="20"/>
          <w:u w:val="single" w:color="auto"/>
          <w:color w:val="auto"/>
        </w:rPr>
        <w:t>Maintenance of Accounts</w:t>
      </w:r>
      <w:r>
        <w:rPr>
          <w:rFonts w:ascii="Arial" w:cs="Arial" w:eastAsia="Arial" w:hAnsi="Arial"/>
          <w:sz w:val="20"/>
          <w:szCs w:val="20"/>
          <w:color w:val="auto"/>
        </w:rPr>
        <w:t>: The Corporation shall maintain accounts showing the number of Stock Units credited to each Participant for each Plan Year and the amount of the Participant's Incentive Award for each Plan Year that was applied to provide such units. Stock Units shall be credited to a Participant's account as of the date on which the Incentive Awards are awarded to Eligible Employees and shall cease to be credited as of the date on which the units are converted to Common Shares and distributed or other payment is made for the units under Article VI.</w:t>
      </w:r>
    </w:p>
    <w:p>
      <w:pPr>
        <w:spacing w:after="0" w:line="208"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0"/>
          <w:szCs w:val="20"/>
          <w:color w:val="auto"/>
        </w:rPr>
        <w:t xml:space="preserve">5.02 </w:t>
      </w:r>
      <w:r>
        <w:rPr>
          <w:rFonts w:ascii="Arial" w:cs="Arial" w:eastAsia="Arial" w:hAnsi="Arial"/>
          <w:sz w:val="20"/>
          <w:szCs w:val="20"/>
          <w:u w:val="single" w:color="auto"/>
          <w:color w:val="auto"/>
        </w:rPr>
        <w:t>Payment of Dividend Equivalent Amounts</w:t>
      </w:r>
      <w:r>
        <w:rPr>
          <w:rFonts w:ascii="Arial" w:cs="Arial" w:eastAsia="Arial" w:hAnsi="Arial"/>
          <w:sz w:val="20"/>
          <w:szCs w:val="20"/>
          <w:color w:val="auto"/>
        </w:rPr>
        <w:t>: The Corporation shall make a cash payment to each Participant equal to the dividend paid on a Common Share for each record date during the Plan Year multiplied by the number of Stock Units credited to the Participant's account on each such record date. These dividend equivalent amounts shall be paid as soon as practicable following the Vesting Date from the general assets of the Corporation and shall be treated and reported as additional compensation for the year in which payment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Arial" w:cs="Arial" w:eastAsia="Arial" w:hAnsi="Arial"/>
                <w:sz w:val="20"/>
                <w:szCs w:val="20"/>
                <w:b w:val="1"/>
                <w:bCs w:val="1"/>
                <w:color w:val="auto"/>
              </w:rPr>
              <w:t>VI.</w:t>
            </w:r>
          </w:p>
        </w:tc>
        <w:tc>
          <w:tcPr>
            <w:tcW w:w="9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VESTING AND DISTRIBUTION OF COMMON SHARES AND PAYMENT UPON TERMINATION OF</w:t>
            </w:r>
          </w:p>
        </w:tc>
      </w:tr>
      <w:tr>
        <w:trPr>
          <w:trHeight w:val="210"/>
        </w:trPr>
        <w:tc>
          <w:tcPr>
            <w:tcW w:w="1720" w:type="dxa"/>
            <w:vAlign w:val="bottom"/>
          </w:tcPr>
          <w:p>
            <w:pPr>
              <w:spacing w:after="0"/>
              <w:rPr>
                <w:sz w:val="18"/>
                <w:szCs w:val="18"/>
                <w:color w:val="auto"/>
              </w:rPr>
            </w:pPr>
          </w:p>
        </w:tc>
        <w:tc>
          <w:tcPr>
            <w:tcW w:w="9520" w:type="dxa"/>
            <w:vAlign w:val="bottom"/>
            <w:gridSpan w:val="2"/>
          </w:tcPr>
          <w:p>
            <w:pPr>
              <w:spacing w:after="0" w:line="209" w:lineRule="exact"/>
              <w:rPr>
                <w:sz w:val="20"/>
                <w:szCs w:val="20"/>
                <w:color w:val="auto"/>
              </w:rPr>
            </w:pPr>
            <w:r>
              <w:rPr>
                <w:rFonts w:ascii="Arial" w:cs="Arial" w:eastAsia="Arial" w:hAnsi="Arial"/>
                <w:sz w:val="20"/>
                <w:szCs w:val="20"/>
                <w:b w:val="1"/>
                <w:bCs w:val="1"/>
                <w:color w:val="auto"/>
              </w:rPr>
              <w:t>EMPLOYMENT</w:t>
            </w:r>
          </w:p>
        </w:tc>
      </w:tr>
      <w:tr>
        <w:trPr>
          <w:trHeight w:val="20"/>
        </w:trPr>
        <w:tc>
          <w:tcPr>
            <w:tcW w:w="17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0"/>
          <w:szCs w:val="20"/>
          <w:color w:val="auto"/>
        </w:rPr>
        <w:t xml:space="preserve">6.01 </w:t>
      </w:r>
      <w:r>
        <w:rPr>
          <w:rFonts w:ascii="Arial" w:cs="Arial" w:eastAsia="Arial" w:hAnsi="Arial"/>
          <w:sz w:val="20"/>
          <w:szCs w:val="20"/>
          <w:u w:val="single" w:color="auto"/>
          <w:color w:val="auto"/>
        </w:rPr>
        <w:t>Full Vesting and Distribution of Common Shares after Three Additional Years of Employment</w:t>
      </w:r>
      <w:r>
        <w:rPr>
          <w:rFonts w:ascii="Arial" w:cs="Arial" w:eastAsia="Arial" w:hAnsi="Arial"/>
          <w:sz w:val="20"/>
          <w:szCs w:val="20"/>
          <w:color w:val="auto"/>
        </w:rPr>
        <w:t>: Stock Units credited to a Participant for a Plan Year shall become fully vested on December 1 of the third (3rd) succeeding Plan Year if the Participant remains continuously Employed to that date. As soon as practicable thereafter but in no event later than March 15</w:t>
      </w:r>
      <w:r>
        <w:rPr>
          <w:rFonts w:ascii="Arial" w:cs="Arial" w:eastAsia="Arial" w:hAnsi="Arial"/>
          <w:sz w:val="16"/>
          <w:szCs w:val="16"/>
          <w:color w:val="auto"/>
        </w:rPr>
        <w:t>th</w:t>
      </w:r>
      <w:r>
        <w:rPr>
          <w:rFonts w:ascii="Arial" w:cs="Arial" w:eastAsia="Arial" w:hAnsi="Arial"/>
          <w:sz w:val="20"/>
          <w:szCs w:val="20"/>
          <w:color w:val="auto"/>
        </w:rPr>
        <w:t xml:space="preserve"> of the calendar year following the calendar year in which such Stock Units vest, such Stock Units shall be converted to unrestricted Common Shares (as adjusted under Section 6.06) and distributed to the Participant.</w:t>
      </w:r>
    </w:p>
    <w:p>
      <w:pPr>
        <w:spacing w:after="0" w:line="208" w:lineRule="exact"/>
        <w:rPr>
          <w:sz w:val="20"/>
          <w:szCs w:val="20"/>
          <w:color w:val="auto"/>
        </w:rPr>
      </w:pPr>
    </w:p>
    <w:p>
      <w:pPr>
        <w:jc w:val="both"/>
        <w:ind w:firstLine="1727"/>
        <w:spacing w:after="0" w:line="242" w:lineRule="auto"/>
        <w:rPr>
          <w:sz w:val="20"/>
          <w:szCs w:val="20"/>
          <w:color w:val="auto"/>
        </w:rPr>
      </w:pPr>
      <w:r>
        <w:rPr>
          <w:rFonts w:ascii="Arial" w:cs="Arial" w:eastAsia="Arial" w:hAnsi="Arial"/>
          <w:sz w:val="20"/>
          <w:szCs w:val="20"/>
          <w:color w:val="auto"/>
        </w:rPr>
        <w:t xml:space="preserve">6.02 </w:t>
      </w:r>
      <w:r>
        <w:rPr>
          <w:rFonts w:ascii="Arial" w:cs="Arial" w:eastAsia="Arial" w:hAnsi="Arial"/>
          <w:sz w:val="20"/>
          <w:szCs w:val="20"/>
          <w:u w:val="single" w:color="auto"/>
          <w:color w:val="auto"/>
        </w:rPr>
        <w:t>Full Vesting and Distribution of Common Shares upon Retirement, Disability, or Death</w:t>
      </w:r>
      <w:r>
        <w:rPr>
          <w:rFonts w:ascii="Arial" w:cs="Arial" w:eastAsia="Arial" w:hAnsi="Arial"/>
          <w:sz w:val="20"/>
          <w:szCs w:val="20"/>
          <w:color w:val="auto"/>
        </w:rPr>
        <w:t>: Upon a Participant's Retirement, termination of Employment by reason of Disability, or death while Employed, all Stock Units then credited to the Participant shall become fully vested and as soon as practicable thereafter, but in no event later than March 15</w:t>
      </w:r>
      <w:r>
        <w:rPr>
          <w:rFonts w:ascii="Arial" w:cs="Arial" w:eastAsia="Arial" w:hAnsi="Arial"/>
          <w:sz w:val="16"/>
          <w:szCs w:val="16"/>
          <w:color w:val="auto"/>
        </w:rPr>
        <w:t>th</w:t>
      </w:r>
      <w:r>
        <w:rPr>
          <w:rFonts w:ascii="Arial" w:cs="Arial" w:eastAsia="Arial" w:hAnsi="Arial"/>
          <w:sz w:val="20"/>
          <w:szCs w:val="20"/>
          <w:color w:val="auto"/>
        </w:rPr>
        <w:t xml:space="preserve"> of the calendar year following the calendar year in which such Retirement, termination of Employment by reason of Disability, or death occurs, shall be converted to unrestricted Common Shares (as adjusted under Section 6.06), and distributed. The Participant may designate a beneficiary or beneficiaries to receive the Common Shares distributable upon death and may change such beneficiary designation at any time; if the Participant fails to designate a beneficiary, or if no designated beneficiary survives the Participant, the Common Shares shall be distributed to the Participant's estate.</w:t>
      </w:r>
    </w:p>
    <w:p>
      <w:pPr>
        <w:spacing w:after="0" w:line="210" w:lineRule="exact"/>
        <w:rPr>
          <w:sz w:val="20"/>
          <w:szCs w:val="20"/>
          <w:color w:val="auto"/>
        </w:rPr>
      </w:pPr>
    </w:p>
    <w:p>
      <w:pPr>
        <w:jc w:val="both"/>
        <w:ind w:firstLine="1727"/>
        <w:spacing w:after="0" w:line="270"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Partial Vesting and Distribution upon Involuntary Termination</w:t>
      </w:r>
      <w:r>
        <w:rPr>
          <w:rFonts w:ascii="Arial" w:cs="Arial" w:eastAsia="Arial" w:hAnsi="Arial"/>
          <w:sz w:val="18"/>
          <w:szCs w:val="18"/>
          <w:color w:val="auto"/>
        </w:rPr>
        <w:t xml:space="preserve">: In the event that a Participant's Employment is involuntarily terminated other than for cause and other than as described in Section 6.02,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the Stock Units credited for each prior Plan Year shall be converted to unrestricted Common Shares (as adjusted under Section 6.06) and distributed to the Participant as soon as practicable thereafter, but in no event later than March 15</w:t>
      </w:r>
      <w:r>
        <w:rPr>
          <w:rFonts w:ascii="Arial" w:cs="Arial" w:eastAsia="Arial" w:hAnsi="Arial"/>
          <w:sz w:val="14"/>
          <w:szCs w:val="14"/>
          <w:color w:val="auto"/>
        </w:rPr>
        <w:t>th</w:t>
      </w:r>
      <w:r>
        <w:rPr>
          <w:rFonts w:ascii="Arial" w:cs="Arial" w:eastAsia="Arial" w:hAnsi="Arial"/>
          <w:sz w:val="18"/>
          <w:szCs w:val="18"/>
          <w:color w:val="auto"/>
        </w:rPr>
        <w:t xml:space="preserve"> of the calendar year following the calendar year in which such termination of Employment occurs; the remainder of the Stock Units credited to the Participant for each prior Plan Year shall be subject to Section 6.04.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for each Plan Year shall be determined by multiplying the number of Stock Units credited to the Participant for such Plan Year by a fraction, the numerator of which is the number of full or partial calendar months of the Participant's Employment after the end of the Plan Year for which the Stock Units were credited, and the denominator of which is thirty-six (36); the product shall be rounded to the nearest whole number of Common Shares. A Participant's Employment shall be treated as involuntarily terminated if the Participant is dismissed, resigns at the suggestion of the Board or any member thereof, or resigns following a demotion or material reduction of his or her job responsibilities or base compensation. A Participant's Employment shall be treated as involuntarily terminated for cause if the Participant is dismissed by reason of a determination that the Participant embezzled or defrauded the Corporation, intentionally acted in a manner that could damage the property or business of the Corporation, or refused to perform the duties assigned to the Participant.</w:t>
      </w:r>
    </w:p>
    <w:p>
      <w:pPr>
        <w:spacing w:after="0" w:line="186"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0"/>
          <w:szCs w:val="20"/>
          <w:color w:val="auto"/>
        </w:rPr>
        <w:t xml:space="preserve">6.04 </w:t>
      </w:r>
      <w:r>
        <w:rPr>
          <w:rFonts w:ascii="Arial" w:cs="Arial" w:eastAsia="Arial" w:hAnsi="Arial"/>
          <w:sz w:val="20"/>
          <w:szCs w:val="20"/>
          <w:u w:val="single" w:color="auto"/>
          <w:color w:val="auto"/>
        </w:rPr>
        <w:t>Payment for Nonvested Stock Units upon Termination of Employment</w:t>
      </w:r>
      <w:r>
        <w:rPr>
          <w:rFonts w:ascii="Arial" w:cs="Arial" w:eastAsia="Arial" w:hAnsi="Arial"/>
          <w:sz w:val="20"/>
          <w:szCs w:val="20"/>
          <w:color w:val="auto"/>
        </w:rPr>
        <w:t>: Except as otherwise provided in Sections 6.01, 6.02, and 6.03, upon termination of a Participant's Employment, the Corporation shall make a cash payment to the Participant for all Stock Units then credited to the Participant's account. The payment for each Stock Unit shall equal the lesser of (i) the amount of the Incentive Award that was originally applied to provide such Stock Unit (determined on a per unit basis), or (ii) the closing price of a Common Share published in the Wall Street Journal on the last day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56" w:name="page57"/>
    <w:bookmarkEnd w:id="56"/>
    <w:p>
      <w:pPr>
        <w:jc w:val="both"/>
        <w:spacing w:after="0" w:line="260" w:lineRule="auto"/>
        <w:rPr>
          <w:sz w:val="20"/>
          <w:szCs w:val="20"/>
          <w:color w:val="auto"/>
        </w:rPr>
      </w:pPr>
      <w:r>
        <w:rPr>
          <w:rFonts w:ascii="Arial" w:cs="Arial" w:eastAsia="Arial" w:hAnsi="Arial"/>
          <w:sz w:val="20"/>
          <w:szCs w:val="20"/>
          <w:color w:val="auto"/>
        </w:rPr>
        <w:t>Participant's Employment. Such payment shall be made within forty-five (45) days of the date of the Participant's termination of Employment.</w:t>
      </w:r>
    </w:p>
    <w:p>
      <w:pPr>
        <w:spacing w:after="0" w:line="190"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auto"/>
        </w:rPr>
        <w:t xml:space="preserve">6.05 </w:t>
      </w:r>
      <w:r>
        <w:rPr>
          <w:rFonts w:ascii="Arial" w:cs="Arial" w:eastAsia="Arial" w:hAnsi="Arial"/>
          <w:sz w:val="20"/>
          <w:szCs w:val="20"/>
          <w:u w:val="single" w:color="auto"/>
          <w:color w:val="auto"/>
        </w:rPr>
        <w:t>Form of Common Share Distributions</w:t>
      </w:r>
      <w:r>
        <w:rPr>
          <w:rFonts w:ascii="Arial" w:cs="Arial" w:eastAsia="Arial" w:hAnsi="Arial"/>
          <w:sz w:val="20"/>
          <w:szCs w:val="20"/>
          <w:color w:val="auto"/>
        </w:rPr>
        <w:t>: Upon the vesting of Common Shares pursuant to Section 6.01, 6.02 or 6.03 hereof, the Corporation shall cause a stock certificate or other electronic transfer covering the requisite number of Common Shares to be issued in the name of the Participant or, in the case of vesting upon death, in the name of the Participant's designated beneficiary or the Participant's estate if no beneficiary is designated.</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6.06 </w:t>
      </w:r>
      <w:r>
        <w:rPr>
          <w:rFonts w:ascii="Arial" w:cs="Arial" w:eastAsia="Arial" w:hAnsi="Arial"/>
          <w:sz w:val="19"/>
          <w:szCs w:val="19"/>
          <w:u w:val="single" w:color="auto"/>
          <w:color w:val="auto"/>
        </w:rPr>
        <w:t>Tax Withholding on Distributions</w:t>
      </w:r>
      <w:r>
        <w:rPr>
          <w:rFonts w:ascii="Arial" w:cs="Arial" w:eastAsia="Arial" w:hAnsi="Arial"/>
          <w:sz w:val="19"/>
          <w:szCs w:val="19"/>
          <w:color w:val="auto"/>
        </w:rPr>
        <w:t>: The Corporation shall withhold from any distribution to a Participant sufficient amounts to cover any taxes required to be withheld. If cash is to be distributed concurrent with a distribution of Common Shares, the withholding shall be satisfied out of the cash portion of the distribution to the extent thereof. If no cash would otherwise be distributed, or if the cash portion of the distribution would not be sufficient to satisfy the Corporation's withholding obligations, the Corporation shall reduce the Common Share portion of the distribution to the extent necessary to satisfy the withholding. For this purpose, each Common Share shall be valued at the closing price of a Common Share, as published in the Wall Street Journal, for the trading day preceding the day that the Corporation's transfer agent is instructed to issue Common Shares in the Participant's name. If the value of the Common Shares not distributed to the Participant exceeds the amount needed to satisfy the withholding, the excess shall be distributed to the Participant in cash. Withholding will be at the rate chosen by the Participant but in no event more than the maximum rate prescribed by law; therefore, the Participant may owe additional taxes as a result of the distribution.</w:t>
      </w:r>
    </w:p>
    <w:p>
      <w:pPr>
        <w:spacing w:after="0" w:line="190" w:lineRule="exact"/>
        <w:rPr>
          <w:sz w:val="20"/>
          <w:szCs w:val="20"/>
          <w:color w:val="auto"/>
        </w:rPr>
      </w:pPr>
    </w:p>
    <w:p>
      <w:pPr>
        <w:jc w:val="both"/>
        <w:ind w:firstLine="1727"/>
        <w:spacing w:after="0" w:line="255" w:lineRule="auto"/>
        <w:rPr>
          <w:sz w:val="20"/>
          <w:szCs w:val="20"/>
          <w:color w:val="auto"/>
        </w:rPr>
      </w:pPr>
      <w:r>
        <w:rPr>
          <w:rFonts w:ascii="Arial" w:cs="Arial" w:eastAsia="Arial" w:hAnsi="Arial"/>
          <w:sz w:val="19"/>
          <w:szCs w:val="19"/>
          <w:color w:val="auto"/>
        </w:rPr>
        <w:t xml:space="preserve">6.07 </w:t>
      </w:r>
      <w:r>
        <w:rPr>
          <w:rFonts w:ascii="Arial" w:cs="Arial" w:eastAsia="Arial" w:hAnsi="Arial"/>
          <w:sz w:val="19"/>
          <w:szCs w:val="19"/>
          <w:u w:val="single" w:color="auto"/>
          <w:color w:val="auto"/>
        </w:rPr>
        <w:t>Discretion to Postpone Distributions</w:t>
      </w:r>
      <w:r>
        <w:rPr>
          <w:rFonts w:ascii="Arial" w:cs="Arial" w:eastAsia="Arial" w:hAnsi="Arial"/>
          <w:sz w:val="19"/>
          <w:szCs w:val="19"/>
          <w:color w:val="auto"/>
        </w:rPr>
        <w:t>: In the event that the Committee reasonably anticipates that a distribution of Common Shares to a Participant would prevent the Corporation from claiming an income tax deduction under Section 162(m) of the Internal Revenue Code of 1986, as amended (the “Code”), with respect to any portion of the distribution, the Committee, in its sole discretion, may postpone the portion of the distribution that would not be tax deductible until either: (i) the first calendar year in which the Committee anticipates (or should reasonably anticipate) that the distribution if made during such calendar year would not be barred by the application of Section 162(m) of the Code, or (ii) during the period beginning with the Participant’s Separation from Service (as defined below) and ending on the later of the last day of the taxable year of the Company in which the Participant’s Separation from Service occurs or the 15</w:t>
      </w:r>
      <w:r>
        <w:rPr>
          <w:rFonts w:ascii="Arial" w:cs="Arial" w:eastAsia="Arial" w:hAnsi="Arial"/>
          <w:sz w:val="15"/>
          <w:szCs w:val="15"/>
          <w:color w:val="auto"/>
        </w:rPr>
        <w:t>th</w:t>
      </w:r>
      <w:r>
        <w:rPr>
          <w:rFonts w:ascii="Arial" w:cs="Arial" w:eastAsia="Arial" w:hAnsi="Arial"/>
          <w:sz w:val="19"/>
          <w:szCs w:val="19"/>
          <w:color w:val="auto"/>
        </w:rPr>
        <w:t xml:space="preserve"> day of the third month following the Participant’s Separation from Service; provided, however, that a delay in the distribution of Common Shares to a Participant pursuant to this Section 6.07 may occur only if all scheduled payments or benefits to such Participant from the Company that could be delayed pursuant to this Section 6.07 are also delayed. In the event of such a postponement, a number of Stock Units equal to the number of Common Shares not distributed to the Participant shall continue to be credited to the Participant's account and shall remain fully vested until full distribution is made. This Section 6.07 is intended to comply with, and shall at all times be construed as complying with, Treas. Reg. 1.409A-2(b)(7)(i).</w:t>
      </w:r>
    </w:p>
    <w:p>
      <w:pPr>
        <w:spacing w:after="0" w:line="195"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19"/>
          <w:szCs w:val="19"/>
          <w:color w:val="auto"/>
        </w:rPr>
        <w:t xml:space="preserve">6.08 </w:t>
      </w: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If the termination giving rise to the payments and distributions described in this Section 6 is not a “Separation from Service” within the meaning of Treas. Reg. § 1.409A-1(h)(1) (or any successor provision), then the amounts otherwise payable pursuant to this Section 6 will instead be deferred without interest and will not be paid until Participant experiences a Separation from Service. In addition, to the extent compliance with the requirements of Treas. Reg. § 1.409A-3(i)(2) (or any successor provision) is necessary to avoid the application of an additional tax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7" w:name="page58"/>
    <w:bookmarkEnd w:id="57"/>
    <w:p>
      <w:pPr>
        <w:jc w:val="both"/>
        <w:spacing w:after="0" w:line="246" w:lineRule="auto"/>
        <w:rPr>
          <w:sz w:val="20"/>
          <w:szCs w:val="20"/>
          <w:color w:val="auto"/>
        </w:rPr>
      </w:pPr>
      <w:r>
        <w:rPr>
          <w:rFonts w:ascii="Arial" w:cs="Arial" w:eastAsia="Arial" w:hAnsi="Arial"/>
          <w:sz w:val="20"/>
          <w:szCs w:val="20"/>
          <w:color w:val="auto"/>
        </w:rPr>
        <w:t>Section 409A of the Code to payments or distributions due to the Participant upon or following his or her Separation from Service, then notwithstanding any other provision of this Plan, any such payments or distributions that are otherwise due within six months following the Participant’s Separation from Service will be deferred without interest and paid to the Participant in a lump sum on the first business day of the seventh month immediately following such Separation from Service.</w:t>
      </w:r>
    </w:p>
    <w:p>
      <w:pPr>
        <w:spacing w:after="0" w:line="200" w:lineRule="exact"/>
        <w:rPr>
          <w:sz w:val="20"/>
          <w:szCs w:val="20"/>
          <w:color w:val="auto"/>
        </w:rPr>
      </w:pPr>
    </w:p>
    <w:p>
      <w:pPr>
        <w:spacing w:after="0" w:line="228"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VII.</w:t>
      </w:r>
      <w:r>
        <w:rPr>
          <w:sz w:val="20"/>
          <w:szCs w:val="20"/>
          <w:color w:val="auto"/>
        </w:rPr>
        <w:tab/>
      </w:r>
      <w:r>
        <w:rPr>
          <w:rFonts w:ascii="Arial" w:cs="Arial" w:eastAsia="Arial" w:hAnsi="Arial"/>
          <w:sz w:val="20"/>
          <w:szCs w:val="20"/>
          <w:b w:val="1"/>
          <w:bCs w:val="1"/>
          <w:color w:val="auto"/>
        </w:rPr>
        <w:t>NATURE OF PARTICIPANTS' RIGHTS</w:t>
      </w:r>
    </w:p>
    <w:p>
      <w:pPr>
        <w:spacing w:after="0" w:line="235"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Unfunded Status of Plan</w:t>
      </w:r>
      <w:r>
        <w:rPr>
          <w:rFonts w:ascii="Arial" w:cs="Arial" w:eastAsia="Arial" w:hAnsi="Arial"/>
          <w:sz w:val="18"/>
          <w:szCs w:val="18"/>
          <w:color w:val="auto"/>
        </w:rPr>
        <w:t>: Prior to the receipt of any Common Share distribution or other payment under the Plan, each Participant's rights shall be those of a general, unsecured creditor of the Corporation. The liability of the Corporation hereunder, including the liability to make distributions of Common Shares, is a mere contractual promise to make distributions or payments in the future. The Stock Units credited to a Participant shall not constitute stock of the Corporation or otherwise constitute property transferred to the Participant and shall merely constitute bookkeeping units used to measure a Participant's right to receive distributions or payments in the future. Prior to distribution or payment, no Participant shall have any claim against or beneficial interest in any Common Shares or other property that may be acquired by the Corporation in connection with the Plan. It is the Corporation's intention that the Plan be unfunded for Federal income tax purposes and within the meaning of Title I of the Employee Retirement Income Security Act of 1974.</w:t>
      </w:r>
    </w:p>
    <w:p>
      <w:pPr>
        <w:spacing w:after="0" w:line="182"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0"/>
          <w:szCs w:val="20"/>
          <w:color w:val="auto"/>
        </w:rPr>
        <w:t xml:space="preserve">7.02 </w:t>
      </w:r>
      <w:r>
        <w:rPr>
          <w:rFonts w:ascii="Arial" w:cs="Arial" w:eastAsia="Arial" w:hAnsi="Arial"/>
          <w:sz w:val="20"/>
          <w:szCs w:val="20"/>
          <w:u w:val="single" w:color="auto"/>
          <w:color w:val="auto"/>
        </w:rPr>
        <w:t>Nonalienability</w:t>
      </w:r>
      <w:r>
        <w:rPr>
          <w:rFonts w:ascii="Arial" w:cs="Arial" w:eastAsia="Arial" w:hAnsi="Arial"/>
          <w:sz w:val="20"/>
          <w:szCs w:val="20"/>
          <w:color w:val="auto"/>
        </w:rPr>
        <w:t>: A Participant's rights to receive Common Share distributions or payments under the Plan are not subject in any manner to anticipation, alienation, sale, transfer, assignment, pledge, encumbrance, attachment, or garnishment by creditors of the Participant or the Participant's designated beneficiary.</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VIII.</w:t>
      </w:r>
      <w:r>
        <w:rPr>
          <w:sz w:val="20"/>
          <w:szCs w:val="20"/>
          <w:color w:val="auto"/>
        </w:rPr>
        <w:tab/>
      </w:r>
      <w:r>
        <w:rPr>
          <w:rFonts w:ascii="Arial" w:cs="Arial" w:eastAsia="Arial" w:hAnsi="Arial"/>
          <w:sz w:val="20"/>
          <w:szCs w:val="20"/>
          <w:b w:val="1"/>
          <w:bCs w:val="1"/>
          <w:color w:val="auto"/>
        </w:rPr>
        <w:t>GENERAL PROVISIONS</w:t>
      </w:r>
    </w:p>
    <w:p>
      <w:pPr>
        <w:spacing w:after="0" w:line="235"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0"/>
          <w:szCs w:val="20"/>
          <w:color w:val="auto"/>
        </w:rPr>
        <w:t xml:space="preserve">8.01 </w:t>
      </w:r>
      <w:r>
        <w:rPr>
          <w:rFonts w:ascii="Arial" w:cs="Arial" w:eastAsia="Arial" w:hAnsi="Arial"/>
          <w:sz w:val="20"/>
          <w:szCs w:val="20"/>
          <w:u w:val="single" w:color="auto"/>
          <w:color w:val="auto"/>
        </w:rPr>
        <w:t>Amendment or Termination</w:t>
      </w:r>
      <w:r>
        <w:rPr>
          <w:rFonts w:ascii="Arial" w:cs="Arial" w:eastAsia="Arial" w:hAnsi="Arial"/>
          <w:sz w:val="20"/>
          <w:szCs w:val="20"/>
          <w:color w:val="auto"/>
        </w:rPr>
        <w:t>: The Committee may amend or terminate this Plan at any time, provided, however, that (i) an amendment that requires shareholder approval in order for the Plan to comply with Rule 16b-3 of the Exchange Act of 1934 or any other law, regulation or stock exchange requirement shall not be effective unless approved by the shareholders and (ii) no such action shall have the effect of impairing any Participant's rights with respect to Stock Units that have been credited to the Participant's account before the effective date of the amendment or termination, or that are credited pursuant to an irrevocable election under Section 4.01 made before the effective date of the amendment or termination.</w:t>
      </w:r>
    </w:p>
    <w:p>
      <w:pPr>
        <w:spacing w:after="0" w:line="209"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19"/>
          <w:szCs w:val="19"/>
          <w:color w:val="auto"/>
        </w:rPr>
        <w:t xml:space="preserve">8.02 </w:t>
      </w:r>
      <w:r>
        <w:rPr>
          <w:rFonts w:ascii="Arial" w:cs="Arial" w:eastAsia="Arial" w:hAnsi="Arial"/>
          <w:sz w:val="19"/>
          <w:szCs w:val="19"/>
          <w:u w:val="single" w:color="auto"/>
          <w:color w:val="auto"/>
        </w:rPr>
        <w:t>Administration</w:t>
      </w:r>
      <w:r>
        <w:rPr>
          <w:rFonts w:ascii="Arial" w:cs="Arial" w:eastAsia="Arial" w:hAnsi="Arial"/>
          <w:sz w:val="19"/>
          <w:szCs w:val="19"/>
          <w:color w:val="auto"/>
        </w:rPr>
        <w:t>: This Plan shall be administered by the Committee, which shall have full authority to interpret the Plan. Interpretations by the Committee shall be final and binding on all parties. The officers of the Corporation shall have authority to execute and deliver such instruments and documents and to perform all other acts deemed necessary or advisable for the effective administration of the Plan, including the authority to delegate authority to other employees of the Corporation, except that no officer or other employee may participate in any discretionary decision specifically relating to his or her individual rights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58" w:name="page59"/>
    <w:bookmarkEnd w:id="58"/>
    <w:p>
      <w:pPr>
        <w:jc w:val="both"/>
        <w:ind w:right="20" w:firstLine="1608"/>
        <w:spacing w:after="0" w:line="287" w:lineRule="auto"/>
        <w:rPr>
          <w:sz w:val="20"/>
          <w:szCs w:val="20"/>
          <w:color w:val="auto"/>
        </w:rPr>
      </w:pPr>
      <w:r>
        <w:rPr>
          <w:rFonts w:ascii="Arial" w:cs="Arial" w:eastAsia="Arial" w:hAnsi="Arial"/>
          <w:sz w:val="19"/>
          <w:szCs w:val="19"/>
          <w:color w:val="auto"/>
        </w:rPr>
        <w:t xml:space="preserve">8.03 </w:t>
      </w:r>
      <w:r>
        <w:rPr>
          <w:rFonts w:ascii="Arial" w:cs="Arial" w:eastAsia="Arial" w:hAnsi="Arial"/>
          <w:sz w:val="19"/>
          <w:szCs w:val="19"/>
          <w:u w:val="single" w:color="auto"/>
          <w:color w:val="auto"/>
        </w:rPr>
        <w:t>Expenses</w:t>
      </w:r>
      <w:r>
        <w:rPr>
          <w:rFonts w:ascii="Arial" w:cs="Arial" w:eastAsia="Arial" w:hAnsi="Arial"/>
          <w:sz w:val="19"/>
          <w:szCs w:val="19"/>
          <w:color w:val="auto"/>
        </w:rPr>
        <w:t>: All costs and expenses incurred in the operation and administration of the Plan, including any transaction costs incurred in connection with the purchase or distribution of Common Shares, shall be borne by the Corporation.</w:t>
      </w:r>
    </w:p>
    <w:p>
      <w:pPr>
        <w:spacing w:after="0" w:line="166" w:lineRule="exact"/>
        <w:rPr>
          <w:sz w:val="20"/>
          <w:szCs w:val="20"/>
          <w:color w:val="auto"/>
        </w:rPr>
      </w:pPr>
    </w:p>
    <w:p>
      <w:pPr>
        <w:jc w:val="both"/>
        <w:ind w:right="20" w:firstLine="1608"/>
        <w:spacing w:after="0" w:line="246" w:lineRule="auto"/>
        <w:rPr>
          <w:sz w:val="20"/>
          <w:szCs w:val="20"/>
          <w:color w:val="auto"/>
        </w:rPr>
      </w:pPr>
      <w:r>
        <w:rPr>
          <w:rFonts w:ascii="Arial" w:cs="Arial" w:eastAsia="Arial" w:hAnsi="Arial"/>
          <w:sz w:val="20"/>
          <w:szCs w:val="20"/>
          <w:color w:val="auto"/>
        </w:rPr>
        <w:t xml:space="preserve">8.04 </w:t>
      </w:r>
      <w:r>
        <w:rPr>
          <w:rFonts w:ascii="Arial" w:cs="Arial" w:eastAsia="Arial" w:hAnsi="Arial"/>
          <w:sz w:val="20"/>
          <w:szCs w:val="20"/>
          <w:u w:val="single" w:color="auto"/>
          <w:color w:val="auto"/>
        </w:rPr>
        <w:t>Effect on Employment</w:t>
      </w:r>
      <w:r>
        <w:rPr>
          <w:rFonts w:ascii="Arial" w:cs="Arial" w:eastAsia="Arial" w:hAnsi="Arial"/>
          <w:sz w:val="20"/>
          <w:szCs w:val="20"/>
          <w:color w:val="auto"/>
        </w:rPr>
        <w:t>: The Corporation's maintenance of this Plan shall not in any way constitute an employment contract between the Corporation and any Eligible Employee, obligate the Corporation to continue the Employment of any Eligible Employee, limit the right of the Corporation to terminate the Employment of any Eligible Employee, or obligate the Corporation to make Incentive Awards to any Eligible Employee or to continue the Executive Incentive Plan.</w:t>
      </w:r>
    </w:p>
    <w:p>
      <w:pPr>
        <w:spacing w:after="0" w:line="205" w:lineRule="exact"/>
        <w:rPr>
          <w:sz w:val="20"/>
          <w:szCs w:val="20"/>
          <w:color w:val="auto"/>
        </w:rPr>
      </w:pPr>
    </w:p>
    <w:p>
      <w:pPr>
        <w:jc w:val="both"/>
        <w:ind w:firstLine="1512"/>
        <w:spacing w:after="0" w:line="291" w:lineRule="auto"/>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u w:val="single" w:color="auto"/>
          <w:color w:val="auto"/>
        </w:rPr>
        <w:t>Effect on Other Benefits</w:t>
      </w:r>
      <w:r>
        <w:rPr>
          <w:rFonts w:ascii="Arial" w:cs="Arial" w:eastAsia="Arial" w:hAnsi="Arial"/>
          <w:sz w:val="18"/>
          <w:szCs w:val="18"/>
          <w:color w:val="auto"/>
        </w:rPr>
        <w:t>: No amount that is credited, distributed, or paid to a Participant under this Plan, whether in the form of Stock Units, Common Shares, or cash, shall be treated as compensation for purposes of calculating the amount of a Participant's benefits or contributions under any pension, retirement, or other plan maintained by the Corporation, except as provided in such other plan.</w:t>
      </w:r>
    </w:p>
    <w:p>
      <w:pPr>
        <w:spacing w:after="0" w:line="165" w:lineRule="exact"/>
        <w:rPr>
          <w:sz w:val="20"/>
          <w:szCs w:val="20"/>
          <w:color w:val="auto"/>
        </w:rPr>
      </w:pPr>
    </w:p>
    <w:p>
      <w:pPr>
        <w:jc w:val="both"/>
        <w:ind w:firstLine="1512"/>
        <w:spacing w:after="0" w:line="244" w:lineRule="auto"/>
        <w:rPr>
          <w:sz w:val="20"/>
          <w:szCs w:val="20"/>
          <w:color w:val="auto"/>
        </w:rPr>
      </w:pPr>
      <w:r>
        <w:rPr>
          <w:rFonts w:ascii="Arial" w:cs="Arial" w:eastAsia="Arial" w:hAnsi="Arial"/>
          <w:sz w:val="20"/>
          <w:szCs w:val="20"/>
          <w:color w:val="auto"/>
        </w:rPr>
        <w:t xml:space="preserve">8.06 </w:t>
      </w:r>
      <w:r>
        <w:rPr>
          <w:rFonts w:ascii="Arial" w:cs="Arial" w:eastAsia="Arial" w:hAnsi="Arial"/>
          <w:sz w:val="20"/>
          <w:szCs w:val="20"/>
          <w:u w:val="single" w:color="auto"/>
          <w:color w:val="auto"/>
        </w:rPr>
        <w:t>Incompetence of Payee</w:t>
      </w:r>
      <w:r>
        <w:rPr>
          <w:rFonts w:ascii="Arial" w:cs="Arial" w:eastAsia="Arial" w:hAnsi="Arial"/>
          <w:sz w:val="20"/>
          <w:szCs w:val="20"/>
          <w:color w:val="auto"/>
        </w:rPr>
        <w:t>: If any person entitled to receive a distribution or payment hereunder is a minor or person declared incompetent or incapable of handling the disposition of property, the Committee may direct that such distribution or payment be made to the guardian, legal representative, or other person having the care and custody of such minor, incompetent, or incapable person. Any distribution or payment made in accordance with this Section shall completely discharge the Corporation and the Committee from all liability with respect thereto.</w:t>
      </w:r>
    </w:p>
    <w:p>
      <w:pPr>
        <w:spacing w:after="0" w:line="208" w:lineRule="exact"/>
        <w:rPr>
          <w:sz w:val="20"/>
          <w:szCs w:val="20"/>
          <w:color w:val="auto"/>
        </w:rPr>
      </w:pPr>
    </w:p>
    <w:p>
      <w:pPr>
        <w:jc w:val="both"/>
        <w:ind w:firstLine="1512"/>
        <w:spacing w:after="0" w:line="260" w:lineRule="auto"/>
        <w:rPr>
          <w:sz w:val="20"/>
          <w:szCs w:val="20"/>
          <w:color w:val="auto"/>
        </w:rPr>
      </w:pPr>
      <w:r>
        <w:rPr>
          <w:rFonts w:ascii="Arial" w:cs="Arial" w:eastAsia="Arial" w:hAnsi="Arial"/>
          <w:sz w:val="20"/>
          <w:szCs w:val="20"/>
          <w:color w:val="auto"/>
        </w:rPr>
        <w:t xml:space="preserve">8.07 </w:t>
      </w:r>
      <w:r>
        <w:rPr>
          <w:rFonts w:ascii="Arial" w:cs="Arial" w:eastAsia="Arial" w:hAnsi="Arial"/>
          <w:sz w:val="20"/>
          <w:szCs w:val="20"/>
          <w:u w:val="single" w:color="auto"/>
          <w:color w:val="auto"/>
        </w:rPr>
        <w:t>Inspection of Plan Document</w:t>
      </w:r>
      <w:r>
        <w:rPr>
          <w:rFonts w:ascii="Arial" w:cs="Arial" w:eastAsia="Arial" w:hAnsi="Arial"/>
          <w:sz w:val="20"/>
          <w:szCs w:val="20"/>
          <w:color w:val="auto"/>
        </w:rPr>
        <w:t>: A copy of this Plan shall be available for inspection by Participants and other persons entitled to distributions or payments under the Plan at reasonable times at the offices of the Corporation.</w:t>
      </w:r>
    </w:p>
    <w:p>
      <w:pPr>
        <w:spacing w:after="0" w:line="190" w:lineRule="exact"/>
        <w:rPr>
          <w:sz w:val="20"/>
          <w:szCs w:val="20"/>
          <w:color w:val="auto"/>
        </w:rPr>
      </w:pPr>
    </w:p>
    <w:p>
      <w:pPr>
        <w:jc w:val="both"/>
        <w:ind w:firstLine="1512"/>
        <w:spacing w:after="0" w:line="269" w:lineRule="auto"/>
        <w:rPr>
          <w:sz w:val="20"/>
          <w:szCs w:val="20"/>
          <w:color w:val="auto"/>
        </w:rPr>
      </w:pPr>
      <w:r>
        <w:rPr>
          <w:rFonts w:ascii="Arial" w:cs="Arial" w:eastAsia="Arial" w:hAnsi="Arial"/>
          <w:sz w:val="19"/>
          <w:szCs w:val="19"/>
          <w:color w:val="auto"/>
        </w:rPr>
        <w:t xml:space="preserve">8.08 </w:t>
      </w:r>
      <w:r>
        <w:rPr>
          <w:rFonts w:ascii="Arial" w:cs="Arial" w:eastAsia="Arial" w:hAnsi="Arial"/>
          <w:sz w:val="19"/>
          <w:szCs w:val="19"/>
          <w:u w:val="single" w:color="auto"/>
          <w:color w:val="auto"/>
        </w:rPr>
        <w:t>Representations by Participants</w:t>
      </w:r>
      <w:r>
        <w:rPr>
          <w:rFonts w:ascii="Arial" w:cs="Arial" w:eastAsia="Arial" w:hAnsi="Arial"/>
          <w:sz w:val="19"/>
          <w:szCs w:val="19"/>
          <w:color w:val="auto"/>
        </w:rPr>
        <w:t>: The Committee may require a Participant, Eligible Employee, or beneficiary to make such representations, enter into such agreements and undertakings, including but not limited to execution of stock powers, and furnish such information and other documents as the Committee may consider appropriate and in compliance with applicable law.</w:t>
      </w:r>
    </w:p>
    <w:p>
      <w:pPr>
        <w:spacing w:after="0" w:line="183" w:lineRule="exact"/>
        <w:rPr>
          <w:sz w:val="20"/>
          <w:szCs w:val="20"/>
          <w:color w:val="auto"/>
        </w:rPr>
      </w:pPr>
    </w:p>
    <w:p>
      <w:pPr>
        <w:jc w:val="both"/>
        <w:ind w:firstLine="1512"/>
        <w:spacing w:after="0" w:line="316" w:lineRule="auto"/>
        <w:rPr>
          <w:sz w:val="20"/>
          <w:szCs w:val="20"/>
          <w:color w:val="auto"/>
        </w:rPr>
      </w:pPr>
      <w:r>
        <w:rPr>
          <w:rFonts w:ascii="Arial" w:cs="Arial" w:eastAsia="Arial" w:hAnsi="Arial"/>
          <w:sz w:val="18"/>
          <w:szCs w:val="18"/>
          <w:color w:val="auto"/>
        </w:rPr>
        <w:t xml:space="preserve">8.09 </w:t>
      </w:r>
      <w:r>
        <w:rPr>
          <w:rFonts w:ascii="Arial" w:cs="Arial" w:eastAsia="Arial" w:hAnsi="Arial"/>
          <w:sz w:val="18"/>
          <w:szCs w:val="18"/>
          <w:u w:val="single" w:color="auto"/>
          <w:color w:val="auto"/>
        </w:rPr>
        <w:t>Purchase and Distribution of Common Shares</w:t>
      </w:r>
      <w:r>
        <w:rPr>
          <w:rFonts w:ascii="Arial" w:cs="Arial" w:eastAsia="Arial" w:hAnsi="Arial"/>
          <w:sz w:val="18"/>
          <w:szCs w:val="18"/>
          <w:color w:val="auto"/>
        </w:rPr>
        <w:t>: The Corporation may acquire Common Shares for the purpose of satisfying its obligations under this Plan to the extent authorized under the Stock Plan or under other authority granted by the Board.</w:t>
      </w:r>
    </w:p>
    <w:p>
      <w:pPr>
        <w:spacing w:after="0" w:line="143" w:lineRule="exact"/>
        <w:rPr>
          <w:sz w:val="20"/>
          <w:szCs w:val="20"/>
          <w:color w:val="auto"/>
        </w:rPr>
      </w:pPr>
    </w:p>
    <w:p>
      <w:pPr>
        <w:jc w:val="both"/>
        <w:ind w:firstLine="1512"/>
        <w:spacing w:after="0" w:line="250" w:lineRule="auto"/>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u w:val="single" w:color="auto"/>
          <w:color w:val="auto"/>
        </w:rPr>
        <w:t>Adjustment for Capital Changes</w:t>
      </w:r>
      <w:r>
        <w:rPr>
          <w:rFonts w:ascii="Arial" w:cs="Arial" w:eastAsia="Arial" w:hAnsi="Arial"/>
          <w:sz w:val="20"/>
          <w:szCs w:val="20"/>
          <w:color w:val="auto"/>
        </w:rPr>
        <w:t>: The number of Stock Units credited to a Participant and the aggregate number of Common Shares that may be purchased and issued under this Plan shall be proportionately adjusted to reflect any stock dividend, split, subdivision or consolidation of shares, or other similar capital adjustment.</w:t>
      </w:r>
    </w:p>
    <w:p>
      <w:pPr>
        <w:spacing w:after="0" w:line="199" w:lineRule="exact"/>
        <w:rPr>
          <w:sz w:val="20"/>
          <w:szCs w:val="20"/>
          <w:color w:val="auto"/>
        </w:rPr>
      </w:pPr>
    </w:p>
    <w:p>
      <w:pPr>
        <w:jc w:val="both"/>
        <w:ind w:firstLine="1512"/>
        <w:spacing w:after="0" w:line="250" w:lineRule="auto"/>
        <w:rPr>
          <w:sz w:val="20"/>
          <w:szCs w:val="20"/>
          <w:color w:val="auto"/>
        </w:rPr>
      </w:pPr>
      <w:r>
        <w:rPr>
          <w:rFonts w:ascii="Arial" w:cs="Arial" w:eastAsia="Arial" w:hAnsi="Arial"/>
          <w:sz w:val="20"/>
          <w:szCs w:val="20"/>
          <w:color w:val="auto"/>
        </w:rPr>
        <w:t xml:space="preserve">8.11 </w:t>
      </w:r>
      <w:r>
        <w:rPr>
          <w:rFonts w:ascii="Arial" w:cs="Arial" w:eastAsia="Arial" w:hAnsi="Arial"/>
          <w:sz w:val="20"/>
          <w:szCs w:val="20"/>
          <w:u w:val="single" w:color="auto"/>
          <w:color w:val="auto"/>
        </w:rPr>
        <w:t>Impossibility of Performance</w:t>
      </w:r>
      <w:r>
        <w:rPr>
          <w:rFonts w:ascii="Arial" w:cs="Arial" w:eastAsia="Arial" w:hAnsi="Arial"/>
          <w:sz w:val="20"/>
          <w:szCs w:val="20"/>
          <w:color w:val="auto"/>
        </w:rPr>
        <w:t>: In the event it should become impossible for the Corporation or the Committee to carry out any provision of this Plan, the Corporation or the Committee may take such action as it in good faith determines will most nearly carry out the intent and purpose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9" w:name="page60"/>
    <w:bookmarkEnd w:id="59"/>
    <w:p>
      <w:pPr>
        <w:jc w:val="both"/>
        <w:ind w:firstLine="1608"/>
        <w:spacing w:after="0" w:line="246" w:lineRule="auto"/>
        <w:rPr>
          <w:sz w:val="20"/>
          <w:szCs w:val="20"/>
          <w:color w:val="auto"/>
        </w:rPr>
      </w:pPr>
      <w:r>
        <w:rPr>
          <w:rFonts w:ascii="Arial" w:cs="Arial" w:eastAsia="Arial" w:hAnsi="Arial"/>
          <w:sz w:val="20"/>
          <w:szCs w:val="20"/>
          <w:color w:val="auto"/>
        </w:rPr>
        <w:t xml:space="preserve">8.12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term or provision of the Plan shall be determined to be illegal, invalid or unenforceable, that determination shall not affect the remaining provisions of the Plan (or affect the application of that term or provision in circumstances where it would not be illegal, invalid, or unenforceable), and each remaining term and provision of the Plan shall be valid and enforced to the fullest extent permitted by law.</w:t>
      </w:r>
    </w:p>
    <w:p>
      <w:pPr>
        <w:spacing w:after="0" w:line="205" w:lineRule="exact"/>
        <w:rPr>
          <w:sz w:val="20"/>
          <w:szCs w:val="20"/>
          <w:color w:val="auto"/>
        </w:rPr>
      </w:pPr>
    </w:p>
    <w:p>
      <w:pPr>
        <w:jc w:val="both"/>
        <w:ind w:firstLine="1608"/>
        <w:spacing w:after="0" w:line="316"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Binding Effect</w:t>
      </w:r>
      <w:r>
        <w:rPr>
          <w:rFonts w:ascii="Arial" w:cs="Arial" w:eastAsia="Arial" w:hAnsi="Arial"/>
          <w:sz w:val="18"/>
          <w:szCs w:val="18"/>
          <w:color w:val="auto"/>
        </w:rPr>
        <w:t>: The provisions of this Plan shall be binding upon the Corporation and its successors, transferees, and assigns and shall inure to the benefit of the Participants and their heirs, executors, administrators, and legal representatives.</w:t>
      </w:r>
    </w:p>
    <w:p>
      <w:pPr>
        <w:spacing w:after="0" w:line="143" w:lineRule="exact"/>
        <w:rPr>
          <w:sz w:val="20"/>
          <w:szCs w:val="20"/>
          <w:color w:val="auto"/>
        </w:rPr>
      </w:pPr>
    </w:p>
    <w:p>
      <w:pPr>
        <w:jc w:val="both"/>
        <w:ind w:firstLine="1608"/>
        <w:spacing w:after="0" w:line="260" w:lineRule="auto"/>
        <w:rPr>
          <w:sz w:val="20"/>
          <w:szCs w:val="20"/>
          <w:color w:val="auto"/>
        </w:rPr>
      </w:pPr>
      <w:r>
        <w:rPr>
          <w:rFonts w:ascii="Arial" w:cs="Arial" w:eastAsia="Arial" w:hAnsi="Arial"/>
          <w:sz w:val="20"/>
          <w:szCs w:val="20"/>
          <w:color w:val="auto"/>
        </w:rPr>
        <w:t xml:space="preserve">8.14 </w:t>
      </w:r>
      <w:r>
        <w:rPr>
          <w:rFonts w:ascii="Arial" w:cs="Arial" w:eastAsia="Arial" w:hAnsi="Arial"/>
          <w:sz w:val="20"/>
          <w:szCs w:val="20"/>
          <w:u w:val="single" w:color="auto"/>
          <w:color w:val="auto"/>
        </w:rPr>
        <w:t>Applicable Law</w:t>
      </w:r>
      <w:r>
        <w:rPr>
          <w:rFonts w:ascii="Arial" w:cs="Arial" w:eastAsia="Arial" w:hAnsi="Arial"/>
          <w:sz w:val="20"/>
          <w:szCs w:val="20"/>
          <w:color w:val="auto"/>
        </w:rPr>
        <w:t>: Except as otherwise required by law, this Plan and all matters arising hereunder shall be governed by the laws of the State of North Carolina.</w:t>
      </w:r>
    </w:p>
    <w:p>
      <w:pPr>
        <w:sectPr>
          <w:pgSz w:w="11900" w:h="16838" w:orient="portrait"/>
          <w:cols w:equalWidth="0" w:num="1">
            <w:col w:w="11240"/>
          </w:cols>
          <w:pgMar w:left="320" w:top="58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9" w:lineRule="exact"/>
        <w:rPr>
          <w:sz w:val="20"/>
          <w:szCs w:val="20"/>
          <w:color w:val="auto"/>
        </w:rPr>
      </w:pPr>
    </w:p>
    <w:p>
      <w:pPr>
        <w:ind w:left="1300" w:hanging="442"/>
        <w:spacing w:after="0"/>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42"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42"/>
        <w:spacing w:after="0" w:line="250" w:lineRule="auto"/>
        <w:tabs>
          <w:tab w:leader="none" w:pos="1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470535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1" w:name="page62"/>
    <w:bookmarkEnd w:id="61"/>
    <w:p>
      <w:pPr>
        <w:spacing w:after="0" w:line="263" w:lineRule="exact"/>
        <w:rPr>
          <w:sz w:val="20"/>
          <w:szCs w:val="20"/>
          <w:color w:val="auto"/>
        </w:rPr>
      </w:pPr>
    </w:p>
    <w:p>
      <w:pPr>
        <w:jc w:val="both"/>
        <w:ind w:left="1300" w:hanging="442"/>
        <w:spacing w:after="0" w:line="250" w:lineRule="auto"/>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60" w:hanging="438"/>
        <w:spacing w:after="0" w:line="260" w:lineRule="auto"/>
        <w:tabs>
          <w:tab w:leader="none" w:pos="21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80" w:type="dxa"/>
            <w:vAlign w:val="bottom"/>
          </w:tcPr>
          <w:p>
            <w:pPr>
              <w:spacing w:after="0"/>
              <w:rPr>
                <w:sz w:val="20"/>
                <w:szCs w:val="20"/>
                <w:color w:val="auto"/>
              </w:rPr>
            </w:pPr>
            <w:r>
              <w:rPr>
                <w:rFonts w:ascii="Arial" w:cs="Arial" w:eastAsia="Arial" w:hAnsi="Arial"/>
                <w:sz w:val="20"/>
                <w:szCs w:val="20"/>
                <w:color w:val="auto"/>
              </w:rPr>
              <w:t>Date: July 29, 2021</w:t>
            </w:r>
          </w:p>
        </w:tc>
        <w:tc>
          <w:tcPr>
            <w:tcW w:w="7060" w:type="dxa"/>
            <w:vAlign w:val="bottom"/>
            <w:gridSpan w:val="2"/>
          </w:tcPr>
          <w:p>
            <w:pPr>
              <w:ind w:left="2580"/>
              <w:spacing w:after="0"/>
              <w:rPr>
                <w:sz w:val="20"/>
                <w:szCs w:val="20"/>
                <w:color w:val="auto"/>
              </w:rPr>
            </w:pPr>
            <w:r>
              <w:rPr>
                <w:rFonts w:ascii="Arial" w:cs="Arial" w:eastAsia="Arial" w:hAnsi="Arial"/>
                <w:sz w:val="20"/>
                <w:szCs w:val="20"/>
                <w:color w:val="auto"/>
              </w:rPr>
              <w:t>By:  /s/ C. Howard Nye</w:t>
            </w:r>
          </w:p>
        </w:tc>
      </w:tr>
      <w:tr>
        <w:trPr>
          <w:trHeight w:val="206"/>
        </w:trPr>
        <w:tc>
          <w:tcPr>
            <w:tcW w:w="41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 Howard Nye</w:t>
            </w:r>
          </w:p>
        </w:tc>
      </w:tr>
      <w:tr>
        <w:trPr>
          <w:trHeight w:val="229"/>
        </w:trPr>
        <w:tc>
          <w:tcPr>
            <w:tcW w:w="41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20"/>
                <w:szCs w:val="20"/>
                <w:color w:val="auto"/>
              </w:rPr>
              <w:t>Chairman, President and</w:t>
            </w:r>
          </w:p>
        </w:tc>
      </w:tr>
      <w:tr>
        <w:trPr>
          <w:trHeight w:val="250"/>
        </w:trPr>
        <w:tc>
          <w:tcPr>
            <w:tcW w:w="41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44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229" w:lineRule="exact"/>
        <w:rPr>
          <w:sz w:val="20"/>
          <w:szCs w:val="20"/>
          <w:color w:val="auto"/>
        </w:rPr>
      </w:pPr>
    </w:p>
    <w:p>
      <w:pPr>
        <w:ind w:left="1300" w:hanging="442"/>
        <w:spacing w:after="0"/>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42"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42"/>
        <w:spacing w:after="0" w:line="250" w:lineRule="auto"/>
        <w:tabs>
          <w:tab w:leader="none" w:pos="13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3" w:name="page64"/>
    <w:bookmarkEnd w:id="63"/>
    <w:p>
      <w:pPr>
        <w:spacing w:after="0" w:line="276" w:lineRule="exact"/>
        <w:rPr>
          <w:sz w:val="20"/>
          <w:szCs w:val="20"/>
          <w:color w:val="auto"/>
        </w:rPr>
      </w:pPr>
    </w:p>
    <w:p>
      <w:pPr>
        <w:jc w:val="both"/>
        <w:ind w:left="1300" w:hanging="442"/>
        <w:spacing w:after="0" w:line="250"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60" w:hanging="438"/>
        <w:spacing w:after="0" w:line="260" w:lineRule="auto"/>
        <w:tabs>
          <w:tab w:leader="none" w:pos="21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40" w:type="dxa"/>
            <w:vAlign w:val="bottom"/>
          </w:tcPr>
          <w:p>
            <w:pPr>
              <w:spacing w:after="0"/>
              <w:rPr>
                <w:sz w:val="20"/>
                <w:szCs w:val="20"/>
                <w:color w:val="auto"/>
              </w:rPr>
            </w:pPr>
            <w:r>
              <w:rPr>
                <w:rFonts w:ascii="Arial" w:cs="Arial" w:eastAsia="Arial" w:hAnsi="Arial"/>
                <w:sz w:val="20"/>
                <w:szCs w:val="20"/>
                <w:color w:val="auto"/>
              </w:rPr>
              <w:t>Date: July 29, 2021</w:t>
            </w:r>
          </w:p>
        </w:tc>
        <w:tc>
          <w:tcPr>
            <w:tcW w:w="7100" w:type="dxa"/>
            <w:vAlign w:val="bottom"/>
            <w:gridSpan w:val="2"/>
          </w:tcPr>
          <w:p>
            <w:pPr>
              <w:ind w:left="2600"/>
              <w:spacing w:after="0"/>
              <w:rPr>
                <w:sz w:val="20"/>
                <w:szCs w:val="20"/>
                <w:color w:val="auto"/>
              </w:rPr>
            </w:pPr>
            <w:r>
              <w:rPr>
                <w:rFonts w:ascii="Arial" w:cs="Arial" w:eastAsia="Arial" w:hAnsi="Arial"/>
                <w:sz w:val="20"/>
                <w:szCs w:val="20"/>
                <w:color w:val="auto"/>
              </w:rPr>
              <w:t>By:  /s/ James A. J. Nickolas</w:t>
            </w:r>
          </w:p>
        </w:tc>
      </w:tr>
      <w:tr>
        <w:trPr>
          <w:trHeight w:val="206"/>
        </w:trPr>
        <w:tc>
          <w:tcPr>
            <w:tcW w:w="41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0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29"/>
        </w:trPr>
        <w:tc>
          <w:tcPr>
            <w:tcW w:w="4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4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06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144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b w:val="1"/>
          <w:bCs w:val="1"/>
          <w:color w:val="auto"/>
        </w:rPr>
        <w:t>EXHIBIT 32.01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June 30, 2021 (the “Report”) of Martin Marietta Materials, Inc. (the “Registrant”), as filed with the Securities and Exchange Commission on the date hereof, I, C. Howard Nye, the Chief Executive Officer of the Registrant, certify, to the best of my knowledge, that:</w:t>
      </w:r>
    </w:p>
    <w:p>
      <w:pPr>
        <w:spacing w:after="0" w:line="199" w:lineRule="exact"/>
        <w:rPr>
          <w:sz w:val="20"/>
          <w:szCs w:val="20"/>
          <w:color w:val="auto"/>
        </w:rPr>
      </w:pPr>
    </w:p>
    <w:p>
      <w:pPr>
        <w:ind w:left="1700" w:hanging="842"/>
        <w:spacing w:after="0" w:line="260" w:lineRule="auto"/>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42"/>
        <w:spacing w:after="0" w:line="260" w:lineRule="auto"/>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Chairman, President and</w:t>
      </w:r>
    </w:p>
    <w:p>
      <w:pPr>
        <w:ind w:left="6900"/>
        <w:spacing w:after="0"/>
        <w:rPr>
          <w:sz w:val="20"/>
          <w:szCs w:val="20"/>
          <w:color w:val="auto"/>
        </w:rPr>
      </w:pPr>
      <w:r>
        <w:rPr>
          <w:rFonts w:ascii="Arial" w:cs="Arial" w:eastAsia="Arial" w:hAnsi="Arial"/>
          <w:sz w:val="20"/>
          <w:szCs w:val="20"/>
          <w:color w:val="auto"/>
        </w:rPr>
        <w:t>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July 29, 2021</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auto"/>
        </w:rPr>
        <w:t>EXHIBIT 32.02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June 30, 2021 (the “Report”) of Martin Marietta Materials, Inc. (the “Registrant”), as filed with the Securities and Exchange Commission on the date hereof, I, James A. J. Nickolas, the Chief Financial Officer of the Registrant, certify, to the best of my knowledge, that:</w:t>
      </w:r>
    </w:p>
    <w:p>
      <w:pPr>
        <w:spacing w:after="0" w:line="199" w:lineRule="exact"/>
        <w:rPr>
          <w:sz w:val="20"/>
          <w:szCs w:val="20"/>
          <w:color w:val="auto"/>
        </w:rPr>
      </w:pPr>
    </w:p>
    <w:p>
      <w:pPr>
        <w:ind w:left="1700" w:hanging="842"/>
        <w:spacing w:after="0" w:line="260" w:lineRule="auto"/>
        <w:tabs>
          <w:tab w:leader="none" w:pos="1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42"/>
        <w:spacing w:after="0" w:line="260" w:lineRule="auto"/>
        <w:tabs>
          <w:tab w:leader="none" w:pos="1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James A. J. Nickolas</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Sr. Vice President and</w:t>
      </w:r>
    </w:p>
    <w:p>
      <w:pPr>
        <w:ind w:left="690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July 29, 2021</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0"/>
          <w:szCs w:val="20"/>
          <w:b w:val="1"/>
          <w:bCs w:val="1"/>
          <w:color w:val="auto"/>
        </w:rPr>
        <w:t>EXHIBIT 95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operation of the Company’s domestic aggregates quarries and mines is subject to regulation by the federal Mine Safety and Health Administration (MSHA) under the Federal Mine Safety and Health Act of 1977 (the Mine Act). MSHA inspects the Company’s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Company’s quarries and mines operated outside the United States.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presents the following items regarding certain mining safety and health matters for the three months ended June 30, 2021:</w:t>
      </w:r>
    </w:p>
    <w:p>
      <w:pPr>
        <w:spacing w:after="0" w:line="252" w:lineRule="exact"/>
        <w:rPr>
          <w:sz w:val="20"/>
          <w:szCs w:val="20"/>
          <w:color w:val="auto"/>
        </w:rPr>
      </w:pPr>
    </w:p>
    <w:p>
      <w:pPr>
        <w:jc w:val="both"/>
        <w:ind w:left="440" w:hanging="432"/>
        <w:spacing w:after="0" w:line="259" w:lineRule="auto"/>
        <w:tabs>
          <w:tab w:leader="none" w:pos="440" w:val="left"/>
        </w:tabs>
        <w:numPr>
          <w:ilvl w:val="0"/>
          <w:numId w:val="26"/>
        </w:numPr>
        <w:rPr>
          <w:rFonts w:ascii="Arial" w:cs="Arial" w:eastAsia="Arial" w:hAnsi="Arial"/>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Company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64" w:lineRule="exact"/>
        <w:rPr>
          <w:rFonts w:ascii="Arial" w:cs="Arial" w:eastAsia="Arial" w:hAnsi="Arial"/>
          <w:sz w:val="19"/>
          <w:szCs w:val="19"/>
          <w:b w:val="1"/>
          <w:bCs w:val="1"/>
          <w:color w:val="auto"/>
        </w:rPr>
      </w:pPr>
    </w:p>
    <w:p>
      <w:pPr>
        <w:jc w:val="both"/>
        <w:ind w:left="440" w:hanging="432"/>
        <w:spacing w:after="0" w:line="246" w:lineRule="auto"/>
        <w:tabs>
          <w:tab w:leader="none" w:pos="440"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4" w:lineRule="exact"/>
        <w:rPr>
          <w:rFonts w:ascii="Arial" w:cs="Arial" w:eastAsia="Arial" w:hAnsi="Arial"/>
          <w:sz w:val="20"/>
          <w:szCs w:val="20"/>
          <w:b w:val="1"/>
          <w:bCs w:val="1"/>
          <w:color w:val="auto"/>
        </w:rPr>
      </w:pPr>
    </w:p>
    <w:p>
      <w:pPr>
        <w:jc w:val="both"/>
        <w:ind w:left="440" w:hanging="432"/>
        <w:spacing w:after="0" w:line="291" w:lineRule="auto"/>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436880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ind w:left="440"/>
        <w:spacing w:after="0" w:line="261" w:lineRule="auto"/>
        <w:rPr>
          <w:sz w:val="20"/>
          <w:szCs w:val="20"/>
          <w:color w:val="auto"/>
        </w:rPr>
      </w:pPr>
      <w:r>
        <w:rPr>
          <w:rFonts w:ascii="Arial" w:cs="Arial" w:eastAsia="Arial" w:hAnsi="Arial"/>
          <w:sz w:val="20"/>
          <w:szCs w:val="20"/>
          <w:color w:val="auto"/>
        </w:rPr>
        <w:t>or health hazard, but the conditions do not cause imminent danger, and the MSHA inspector finds that the violation is caused by an unwarranted failure of the operator to comply with the health and safety standards.</w:t>
      </w:r>
    </w:p>
    <w:p>
      <w:pPr>
        <w:spacing w:after="0" w:line="189" w:lineRule="exact"/>
        <w:rPr>
          <w:sz w:val="20"/>
          <w:szCs w:val="20"/>
          <w:color w:val="auto"/>
        </w:rPr>
      </w:pPr>
    </w:p>
    <w:p>
      <w:pPr>
        <w:jc w:val="both"/>
        <w:ind w:left="440" w:hanging="432"/>
        <w:spacing w:after="0" w:line="244" w:lineRule="auto"/>
        <w:tabs>
          <w:tab w:leader="none" w:pos="440"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7" w:lineRule="exact"/>
        <w:rPr>
          <w:rFonts w:ascii="Arial" w:cs="Arial" w:eastAsia="Arial" w:hAnsi="Arial"/>
          <w:sz w:val="20"/>
          <w:szCs w:val="20"/>
          <w:b w:val="1"/>
          <w:bCs w:val="1"/>
          <w:color w:val="auto"/>
        </w:rPr>
      </w:pPr>
    </w:p>
    <w:p>
      <w:pPr>
        <w:jc w:val="both"/>
        <w:ind w:left="440" w:hanging="432"/>
        <w:spacing w:after="0" w:line="263" w:lineRule="auto"/>
        <w:tabs>
          <w:tab w:leader="none" w:pos="440"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89" w:lineRule="exact"/>
        <w:rPr>
          <w:rFonts w:ascii="Arial" w:cs="Arial" w:eastAsia="Arial" w:hAnsi="Arial"/>
          <w:sz w:val="19"/>
          <w:szCs w:val="19"/>
          <w:b w:val="1"/>
          <w:bCs w:val="1"/>
          <w:color w:val="auto"/>
        </w:rPr>
      </w:pPr>
    </w:p>
    <w:p>
      <w:pPr>
        <w:jc w:val="both"/>
        <w:ind w:left="440" w:hanging="432"/>
        <w:spacing w:after="0" w:line="282" w:lineRule="auto"/>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4" w:lineRule="exact"/>
        <w:rPr>
          <w:rFonts w:ascii="Arial" w:cs="Arial" w:eastAsia="Arial" w:hAnsi="Arial"/>
          <w:sz w:val="18"/>
          <w:szCs w:val="18"/>
          <w:b w:val="1"/>
          <w:bCs w:val="1"/>
          <w:color w:val="auto"/>
        </w:rPr>
      </w:pPr>
    </w:p>
    <w:p>
      <w:pPr>
        <w:jc w:val="both"/>
        <w:ind w:left="440" w:hanging="432"/>
        <w:spacing w:after="0" w:line="291" w:lineRule="auto"/>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65" w:lineRule="exact"/>
        <w:rPr>
          <w:rFonts w:ascii="Arial" w:cs="Arial" w:eastAsia="Arial" w:hAnsi="Arial"/>
          <w:sz w:val="18"/>
          <w:szCs w:val="18"/>
          <w:b w:val="1"/>
          <w:bCs w:val="1"/>
          <w:color w:val="auto"/>
        </w:rPr>
      </w:pPr>
    </w:p>
    <w:p>
      <w:pPr>
        <w:jc w:val="both"/>
        <w:ind w:left="440" w:hanging="432"/>
        <w:spacing w:after="0" w:line="282" w:lineRule="auto"/>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74" w:lineRule="exact"/>
        <w:rPr>
          <w:rFonts w:ascii="Arial" w:cs="Arial" w:eastAsia="Arial" w:hAnsi="Arial"/>
          <w:sz w:val="18"/>
          <w:szCs w:val="18"/>
          <w:b w:val="1"/>
          <w:bCs w:val="1"/>
          <w:color w:val="auto"/>
        </w:rPr>
      </w:pPr>
    </w:p>
    <w:p>
      <w:pPr>
        <w:ind w:left="440" w:hanging="432"/>
        <w:spacing w:after="0"/>
        <w:tabs>
          <w:tab w:leader="none" w:pos="440"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9" w:lineRule="exact"/>
        <w:rPr>
          <w:rFonts w:ascii="Arial" w:cs="Arial" w:eastAsia="Arial" w:hAnsi="Arial"/>
          <w:sz w:val="20"/>
          <w:szCs w:val="20"/>
          <w:b w:val="1"/>
          <w:bCs w:val="1"/>
          <w:color w:val="auto"/>
        </w:rPr>
      </w:pPr>
    </w:p>
    <w:p>
      <w:pPr>
        <w:ind w:left="440" w:hanging="432"/>
        <w:spacing w:after="0"/>
        <w:tabs>
          <w:tab w:leader="none" w:pos="440"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9" w:lineRule="exact"/>
        <w:rPr>
          <w:rFonts w:ascii="Arial" w:cs="Arial" w:eastAsia="Arial" w:hAnsi="Arial"/>
          <w:sz w:val="20"/>
          <w:szCs w:val="20"/>
          <w:b w:val="1"/>
          <w:bCs w:val="1"/>
          <w:color w:val="auto"/>
        </w:rPr>
      </w:pPr>
    </w:p>
    <w:p>
      <w:pPr>
        <w:ind w:left="440" w:hanging="432"/>
        <w:spacing w:after="0"/>
        <w:tabs>
          <w:tab w:leader="none" w:pos="440" w:val="left"/>
        </w:tabs>
        <w:numPr>
          <w:ilvl w:val="0"/>
          <w:numId w:val="27"/>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9"/>
          <w:szCs w:val="19"/>
          <w:color w:val="auto"/>
        </w:rPr>
        <w:t>penalties they have received from MSHA, or complaints of discrimination by miners under Section 105 of the Mine Act. Appendix 1 shows, for each of the Company’s quarries and mines identified, as of June 30, 2021,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768985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52"/>
        </w:trPr>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40" w:type="dxa"/>
            <w:vAlign w:val="bottom"/>
            <w:gridSpan w:val="2"/>
          </w:tcPr>
          <w:p>
            <w:pPr>
              <w:ind w:left="720"/>
              <w:spacing w:after="0"/>
              <w:rPr>
                <w:sz w:val="20"/>
                <w:szCs w:val="20"/>
                <w:color w:val="auto"/>
              </w:rPr>
            </w:pPr>
            <w:r>
              <w:rPr>
                <w:rFonts w:ascii="Arial" w:cs="Arial" w:eastAsia="Arial" w:hAnsi="Arial"/>
                <w:sz w:val="20"/>
                <w:szCs w:val="20"/>
                <w:color w:val="auto"/>
                <w:w w:val="89"/>
              </w:rPr>
              <w:t>Appendix 1</w:t>
            </w:r>
          </w:p>
        </w:tc>
      </w:tr>
      <w:tr>
        <w:trPr>
          <w:trHeight w:val="662"/>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Received Received</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w w:val="88"/>
              </w:rPr>
              <w:t>Notice of Notice of</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7"/>
              </w:rPr>
              <w:t>Total</w:t>
            </w:r>
          </w:p>
        </w:tc>
        <w:tc>
          <w:tcPr>
            <w:tcW w:w="2300" w:type="dxa"/>
            <w:vAlign w:val="bottom"/>
            <w:gridSpan w:val="3"/>
          </w:tcPr>
          <w:p>
            <w:pPr>
              <w:jc w:val="center"/>
              <w:spacing w:after="0"/>
              <w:rPr>
                <w:sz w:val="20"/>
                <w:szCs w:val="20"/>
                <w:color w:val="auto"/>
              </w:rPr>
            </w:pPr>
            <w:r>
              <w:rPr>
                <w:rFonts w:ascii="Arial" w:cs="Arial" w:eastAsia="Arial" w:hAnsi="Arial"/>
                <w:sz w:val="20"/>
                <w:szCs w:val="20"/>
                <w:b w:val="1"/>
                <w:bCs w:val="1"/>
                <w:color w:val="auto"/>
                <w:w w:val="91"/>
              </w:rPr>
              <w:t>Pattern Potential Actions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w w:val="91"/>
              </w:rPr>
              <w:t>Total</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2"/>
              </w:rPr>
              <w:t>Number</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5"/>
              </w:rPr>
              <w:t>of</w:t>
            </w:r>
          </w:p>
        </w:tc>
        <w:tc>
          <w:tcPr>
            <w:tcW w:w="1520" w:type="dxa"/>
            <w:vAlign w:val="bottom"/>
            <w:gridSpan w:val="2"/>
          </w:tcPr>
          <w:p>
            <w:pPr>
              <w:ind w:left="100"/>
              <w:spacing w:after="0"/>
              <w:rPr>
                <w:sz w:val="20"/>
                <w:szCs w:val="20"/>
                <w:color w:val="auto"/>
              </w:rPr>
            </w:pPr>
            <w:r>
              <w:rPr>
                <w:rFonts w:ascii="Arial" w:cs="Arial" w:eastAsia="Arial" w:hAnsi="Arial"/>
                <w:sz w:val="20"/>
                <w:szCs w:val="20"/>
                <w:b w:val="1"/>
                <w:bCs w:val="1"/>
                <w:color w:val="auto"/>
                <w:w w:val="90"/>
              </w:rPr>
              <w:t>to have Pending</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104(d)</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101"/>
              <w:spacing w:after="0"/>
              <w:rPr>
                <w:sz w:val="20"/>
                <w:szCs w:val="20"/>
                <w:color w:val="auto"/>
              </w:rPr>
            </w:pPr>
            <w:r>
              <w:rPr>
                <w:rFonts w:ascii="Arial" w:cs="Arial" w:eastAsia="Arial" w:hAnsi="Arial"/>
                <w:sz w:val="20"/>
                <w:szCs w:val="20"/>
                <w:b w:val="1"/>
                <w:bCs w:val="1"/>
                <w:color w:val="auto"/>
                <w:w w:val="95"/>
              </w:rPr>
              <w:t>Dollar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600" w:type="dxa"/>
            <w:vAlign w:val="bottom"/>
            <w:gridSpan w:val="2"/>
          </w:tcPr>
          <w:p>
            <w:pPr>
              <w:spacing w:after="0"/>
              <w:rPr>
                <w:sz w:val="20"/>
                <w:szCs w:val="20"/>
                <w:color w:val="auto"/>
              </w:rPr>
            </w:pPr>
            <w:r>
              <w:rPr>
                <w:rFonts w:ascii="Arial" w:cs="Arial" w:eastAsia="Arial" w:hAnsi="Arial"/>
                <w:sz w:val="20"/>
                <w:szCs w:val="20"/>
                <w:b w:val="1"/>
                <w:bCs w:val="1"/>
                <w:color w:val="auto"/>
                <w:w w:val="99"/>
              </w:rPr>
              <w:t>Violation Pattern</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5"/>
              </w:rPr>
              <w:t>as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r>
      <w:tr>
        <w:trPr>
          <w:trHeight w:val="229"/>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20"/>
                <w:szCs w:val="20"/>
                <w:b w:val="1"/>
                <w:bCs w:val="1"/>
                <w:color w:val="auto"/>
                <w:w w:val="87"/>
              </w:rPr>
              <w:t>Section Section Citations</w:t>
            </w:r>
          </w:p>
        </w:tc>
        <w:tc>
          <w:tcPr>
            <w:tcW w:w="800" w:type="dxa"/>
            <w:vAlign w:val="bottom"/>
          </w:tcPr>
          <w:p>
            <w:pPr>
              <w:ind w:left="120"/>
              <w:spacing w:after="0"/>
              <w:rPr>
                <w:sz w:val="20"/>
                <w:szCs w:val="20"/>
                <w:color w:val="auto"/>
              </w:rPr>
            </w:pPr>
            <w:r>
              <w:rPr>
                <w:rFonts w:ascii="Arial" w:cs="Arial" w:eastAsia="Arial" w:hAnsi="Arial"/>
                <w:sz w:val="20"/>
                <w:szCs w:val="20"/>
                <w:b w:val="1"/>
                <w:bCs w:val="1"/>
                <w:color w:val="auto"/>
                <w:w w:val="91"/>
              </w:rPr>
              <w:t>Section</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91"/>
              </w:rPr>
              <w:t>Section</w:t>
            </w:r>
          </w:p>
        </w:tc>
        <w:tc>
          <w:tcPr>
            <w:tcW w:w="180" w:type="dxa"/>
            <w:vAlign w:val="bottom"/>
          </w:tcPr>
          <w:p>
            <w:pPr>
              <w:spacing w:after="0"/>
              <w:rPr>
                <w:sz w:val="19"/>
                <w:szCs w:val="19"/>
                <w:color w:val="auto"/>
              </w:rPr>
            </w:pPr>
          </w:p>
        </w:tc>
        <w:tc>
          <w:tcPr>
            <w:tcW w:w="940" w:type="dxa"/>
            <w:vAlign w:val="bottom"/>
          </w:tcPr>
          <w:p>
            <w:pPr>
              <w:jc w:val="center"/>
              <w:ind w:right="101"/>
              <w:spacing w:after="0"/>
              <w:rPr>
                <w:sz w:val="20"/>
                <w:szCs w:val="20"/>
                <w:color w:val="auto"/>
              </w:rPr>
            </w:pPr>
            <w:r>
              <w:rPr>
                <w:rFonts w:ascii="Arial" w:cs="Arial" w:eastAsia="Arial" w:hAnsi="Arial"/>
                <w:sz w:val="20"/>
                <w:szCs w:val="20"/>
                <w:b w:val="1"/>
                <w:bCs w:val="1"/>
                <w:color w:val="auto"/>
                <w:w w:val="89"/>
              </w:rPr>
              <w:t>Value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6"/>
              </w:rPr>
              <w:t>Mining</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2"/>
              </w:rPr>
              <w:t>Last</w:t>
            </w:r>
          </w:p>
        </w:tc>
        <w:tc>
          <w:tcPr>
            <w:tcW w:w="164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Instituted Resolved</w:t>
            </w:r>
          </w:p>
        </w:tc>
      </w:tr>
      <w:tr>
        <w:trPr>
          <w:trHeight w:val="230"/>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and</w:t>
            </w:r>
          </w:p>
        </w:tc>
        <w:tc>
          <w:tcPr>
            <w:tcW w:w="1520" w:type="dxa"/>
            <w:vAlign w:val="bottom"/>
            <w:gridSpan w:val="2"/>
          </w:tcPr>
          <w:p>
            <w:pPr>
              <w:jc w:val="right"/>
              <w:spacing w:after="0"/>
              <w:rPr>
                <w:sz w:val="20"/>
                <w:szCs w:val="20"/>
                <w:color w:val="auto"/>
              </w:rPr>
            </w:pPr>
            <w:r>
              <w:rPr>
                <w:rFonts w:ascii="Arial" w:cs="Arial" w:eastAsia="Arial" w:hAnsi="Arial"/>
                <w:sz w:val="20"/>
                <w:szCs w:val="20"/>
                <w:b w:val="1"/>
                <w:bCs w:val="1"/>
                <w:color w:val="auto"/>
                <w:w w:val="96"/>
              </w:rPr>
              <w:t>110(b)(2) 107(a)</w:t>
            </w:r>
          </w:p>
        </w:tc>
        <w:tc>
          <w:tcPr>
            <w:tcW w:w="180" w:type="dxa"/>
            <w:vAlign w:val="bottom"/>
          </w:tcPr>
          <w:p>
            <w:pPr>
              <w:spacing w:after="0"/>
              <w:rPr>
                <w:sz w:val="19"/>
                <w:szCs w:val="19"/>
                <w:color w:val="auto"/>
              </w:rPr>
            </w:pPr>
          </w:p>
        </w:tc>
        <w:tc>
          <w:tcPr>
            <w:tcW w:w="940" w:type="dxa"/>
            <w:vAlign w:val="bottom"/>
          </w:tcPr>
          <w:p>
            <w:pPr>
              <w:jc w:val="center"/>
              <w:ind w:right="81"/>
              <w:spacing w:after="0"/>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Related</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2"/>
              </w:rPr>
              <w:t>Section</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1"/>
              </w:rPr>
              <w:t>Day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r>
      <w:tr>
        <w:trPr>
          <w:trHeight w:val="229"/>
        </w:trPr>
        <w:tc>
          <w:tcPr>
            <w:tcW w:w="90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Orders</w:t>
            </w:r>
          </w:p>
        </w:tc>
        <w:tc>
          <w:tcPr>
            <w:tcW w:w="1520" w:type="dxa"/>
            <w:vAlign w:val="bottom"/>
            <w:gridSpan w:val="2"/>
          </w:tcPr>
          <w:p>
            <w:pPr>
              <w:jc w:val="right"/>
              <w:spacing w:after="0"/>
              <w:rPr>
                <w:sz w:val="20"/>
                <w:szCs w:val="20"/>
                <w:color w:val="auto"/>
              </w:rPr>
            </w:pPr>
            <w:r>
              <w:rPr>
                <w:rFonts w:ascii="Arial" w:cs="Arial" w:eastAsia="Arial" w:hAnsi="Arial"/>
                <w:sz w:val="20"/>
                <w:szCs w:val="20"/>
                <w:b w:val="1"/>
                <w:bCs w:val="1"/>
                <w:color w:val="auto"/>
                <w:w w:val="87"/>
              </w:rPr>
              <w:t>Violations Orders</w:t>
            </w:r>
          </w:p>
        </w:tc>
        <w:tc>
          <w:tcPr>
            <w:tcW w:w="1940" w:type="dxa"/>
            <w:vAlign w:val="bottom"/>
            <w:gridSpan w:val="3"/>
          </w:tcPr>
          <w:p>
            <w:pPr>
              <w:ind w:left="40"/>
              <w:spacing w:after="0"/>
              <w:rPr>
                <w:sz w:val="20"/>
                <w:szCs w:val="20"/>
                <w:color w:val="auto"/>
              </w:rPr>
            </w:pPr>
            <w:r>
              <w:rPr>
                <w:rFonts w:ascii="Arial" w:cs="Arial" w:eastAsia="Arial" w:hAnsi="Arial"/>
                <w:sz w:val="20"/>
                <w:szCs w:val="20"/>
                <w:b w:val="1"/>
                <w:bCs w:val="1"/>
                <w:color w:val="auto"/>
                <w:w w:val="87"/>
              </w:rPr>
              <w:t>Assessment/ Fatalities</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6"/>
              </w:rPr>
              <w:t>104(e)</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r>
      <w:tr>
        <w:trPr>
          <w:trHeight w:val="252"/>
        </w:trPr>
        <w:tc>
          <w:tcPr>
            <w:tcW w:w="900" w:type="dxa"/>
            <w:vAlign w:val="bottom"/>
          </w:tcPr>
          <w:p>
            <w:pPr>
              <w:ind w:left="80"/>
              <w:spacing w:after="0"/>
              <w:rPr>
                <w:sz w:val="20"/>
                <w:szCs w:val="20"/>
                <w:color w:val="auto"/>
              </w:rPr>
            </w:pPr>
            <w:r>
              <w:rPr>
                <w:rFonts w:ascii="Arial" w:cs="Arial" w:eastAsia="Arial" w:hAnsi="Arial"/>
                <w:sz w:val="20"/>
                <w:szCs w:val="20"/>
                <w:b w:val="1"/>
                <w:bCs w:val="1"/>
                <w:color w:val="auto"/>
                <w:w w:val="95"/>
              </w:rPr>
              <w:t>Location</w:t>
            </w:r>
          </w:p>
        </w:tc>
        <w:tc>
          <w:tcPr>
            <w:tcW w:w="720" w:type="dxa"/>
            <w:vAlign w:val="bottom"/>
          </w:tcPr>
          <w:p>
            <w:pPr>
              <w:jc w:val="right"/>
              <w:ind w:right="161"/>
              <w:spacing w:after="0"/>
              <w:rPr>
                <w:sz w:val="20"/>
                <w:szCs w:val="20"/>
                <w:color w:val="auto"/>
              </w:rPr>
            </w:pPr>
            <w:r>
              <w:rPr>
                <w:rFonts w:ascii="Arial" w:cs="Arial" w:eastAsia="Arial" w:hAnsi="Arial"/>
                <w:sz w:val="20"/>
                <w:szCs w:val="20"/>
                <w:b w:val="1"/>
                <w:bCs w:val="1"/>
                <w:color w:val="auto"/>
              </w:rPr>
              <w:t>ID</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120" w:type="dxa"/>
            <w:vAlign w:val="bottom"/>
            <w:gridSpan w:val="2"/>
          </w:tcPr>
          <w:p>
            <w:pPr>
              <w:jc w:val="center"/>
              <w:spacing w:after="0"/>
              <w:rPr>
                <w:sz w:val="20"/>
                <w:szCs w:val="20"/>
                <w:color w:val="auto"/>
              </w:rPr>
            </w:pPr>
            <w:r>
              <w:rPr>
                <w:rFonts w:ascii="Arial" w:cs="Arial" w:eastAsia="Arial" w:hAnsi="Arial"/>
                <w:sz w:val="20"/>
                <w:szCs w:val="20"/>
                <w:b w:val="1"/>
                <w:bCs w:val="1"/>
                <w:color w:val="auto"/>
                <w:w w:val="85"/>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r>
      <w:tr>
        <w:trPr>
          <w:trHeight w:val="226"/>
        </w:trPr>
        <w:tc>
          <w:tcPr>
            <w:tcW w:w="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7"/>
              </w:rPr>
              <w:t>Alexander</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3101636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tcPr>
          <w:p>
            <w:pPr>
              <w:spacing w:after="0" w:line="227" w:lineRule="exact"/>
              <w:rPr>
                <w:sz w:val="20"/>
                <w:szCs w:val="20"/>
                <w:color w:val="auto"/>
              </w:rPr>
            </w:pPr>
            <w:r>
              <w:rPr>
                <w:rFonts w:ascii="Arial" w:cs="Arial" w:eastAsia="Arial" w:hAnsi="Arial"/>
                <w:sz w:val="20"/>
                <w:szCs w:val="20"/>
                <w:color w:val="auto"/>
              </w:rPr>
              <w:t>Amelia</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4407372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American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Stone</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3100189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tcPr>
          <w:p>
            <w:pPr>
              <w:spacing w:after="0" w:line="227" w:lineRule="exact"/>
              <w:rPr>
                <w:sz w:val="20"/>
                <w:szCs w:val="20"/>
                <w:color w:val="auto"/>
              </w:rPr>
            </w:pPr>
            <w:r>
              <w:rPr>
                <w:rFonts w:ascii="Arial" w:cs="Arial" w:eastAsia="Arial" w:hAnsi="Arial"/>
                <w:sz w:val="20"/>
                <w:szCs w:val="20"/>
                <w:color w:val="auto"/>
              </w:rPr>
              <w:t>Anderson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00" w:type="dxa"/>
            <w:vAlign w:val="bottom"/>
          </w:tcPr>
          <w:p>
            <w:pPr>
              <w:spacing w:after="0"/>
              <w:rPr>
                <w:sz w:val="20"/>
                <w:szCs w:val="20"/>
                <w:color w:val="auto"/>
              </w:rPr>
            </w:pPr>
            <w:r>
              <w:rPr>
                <w:rFonts w:ascii="Arial" w:cs="Arial" w:eastAsia="Arial" w:hAnsi="Arial"/>
                <w:sz w:val="20"/>
                <w:szCs w:val="20"/>
                <w:color w:val="auto"/>
              </w:rPr>
              <w:t>Creek</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4402963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Appling</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0901083</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tcPr>
          <w:p>
            <w:pPr>
              <w:spacing w:after="0" w:line="227" w:lineRule="exact"/>
              <w:rPr>
                <w:sz w:val="20"/>
                <w:szCs w:val="20"/>
                <w:color w:val="auto"/>
              </w:rPr>
            </w:pPr>
            <w:r>
              <w:rPr>
                <w:rFonts w:ascii="Arial" w:cs="Arial" w:eastAsia="Arial" w:hAnsi="Arial"/>
                <w:sz w:val="20"/>
                <w:szCs w:val="20"/>
                <w:color w:val="auto"/>
              </w:rPr>
              <w:t>Arrowood</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3100059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Asheboro</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tcPr>
          <w:p>
            <w:pPr>
              <w:spacing w:after="0" w:line="227" w:lineRule="exact"/>
              <w:rPr>
                <w:sz w:val="20"/>
                <w:szCs w:val="20"/>
                <w:color w:val="auto"/>
              </w:rPr>
            </w:pPr>
            <w:r>
              <w:rPr>
                <w:rFonts w:ascii="Arial" w:cs="Arial" w:eastAsia="Arial" w:hAnsi="Arial"/>
                <w:sz w:val="20"/>
                <w:szCs w:val="20"/>
                <w:color w:val="auto"/>
              </w:rPr>
              <w:t>Auburn Al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0100006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Auburn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GA</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0900436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tcPr>
          <w:p>
            <w:pPr>
              <w:spacing w:after="0" w:line="227" w:lineRule="exact"/>
              <w:rPr>
                <w:sz w:val="20"/>
                <w:szCs w:val="20"/>
                <w:color w:val="auto"/>
              </w:rPr>
            </w:pPr>
            <w:r>
              <w:rPr>
                <w:rFonts w:ascii="Arial" w:cs="Arial" w:eastAsia="Arial" w:hAnsi="Arial"/>
                <w:sz w:val="20"/>
                <w:szCs w:val="20"/>
                <w:color w:val="auto"/>
              </w:rPr>
              <w:t>Augusta</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00" w:type="dxa"/>
            <w:vAlign w:val="bottom"/>
          </w:tcPr>
          <w:p>
            <w:pPr>
              <w:spacing w:after="0"/>
              <w:rPr>
                <w:sz w:val="20"/>
                <w:szCs w:val="20"/>
                <w:color w:val="auto"/>
              </w:rPr>
            </w:pPr>
            <w:r>
              <w:rPr>
                <w:rFonts w:ascii="Arial" w:cs="Arial" w:eastAsia="Arial" w:hAnsi="Arial"/>
                <w:sz w:val="20"/>
                <w:szCs w:val="20"/>
                <w:color w:val="auto"/>
              </w:rPr>
              <w:t>GA</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0900065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Bakers</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3100071</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tcPr>
          <w:p>
            <w:pPr>
              <w:spacing w:after="0" w:line="227" w:lineRule="exact"/>
              <w:rPr>
                <w:sz w:val="20"/>
                <w:szCs w:val="20"/>
                <w:color w:val="auto"/>
              </w:rPr>
            </w:pPr>
            <w:r>
              <w:rPr>
                <w:rFonts w:ascii="Arial" w:cs="Arial" w:eastAsia="Arial" w:hAnsi="Arial"/>
                <w:sz w:val="20"/>
                <w:szCs w:val="20"/>
                <w:color w:val="auto"/>
              </w:rPr>
              <w:t>Ball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r>
              <w:rPr>
                <w:rFonts w:ascii="Arial" w:cs="Arial" w:eastAsia="Arial" w:hAnsi="Arial"/>
                <w:sz w:val="20"/>
                <w:szCs w:val="20"/>
                <w:color w:val="auto"/>
              </w:rPr>
              <w:t>Ground</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0900955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Belgrade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3100064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123</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tcPr>
          <w:p>
            <w:pPr>
              <w:spacing w:after="0" w:line="227" w:lineRule="exact"/>
              <w:rPr>
                <w:sz w:val="20"/>
                <w:szCs w:val="20"/>
                <w:color w:val="auto"/>
              </w:rPr>
            </w:pPr>
            <w:r>
              <w:rPr>
                <w:rFonts w:ascii="Arial" w:cs="Arial" w:eastAsia="Arial" w:hAnsi="Arial"/>
                <w:sz w:val="20"/>
                <w:szCs w:val="20"/>
                <w:color w:val="auto"/>
              </w:rPr>
              <w:t>Benson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3101979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Berkeley</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3800072</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tcPr>
          <w:p>
            <w:pPr>
              <w:spacing w:after="0" w:line="227" w:lineRule="exact"/>
              <w:rPr>
                <w:sz w:val="20"/>
                <w:szCs w:val="20"/>
                <w:color w:val="auto"/>
              </w:rPr>
            </w:pPr>
            <w:r>
              <w:rPr>
                <w:rFonts w:ascii="Arial" w:cs="Arial" w:eastAsia="Arial" w:hAnsi="Arial"/>
                <w:sz w:val="20"/>
                <w:szCs w:val="20"/>
                <w:color w:val="auto"/>
                <w:w w:val="97"/>
              </w:rPr>
              <w:t>Bessemer</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00" w:type="dxa"/>
            <w:vAlign w:val="bottom"/>
          </w:tcPr>
          <w:p>
            <w:pPr>
              <w:spacing w:after="0"/>
              <w:rPr>
                <w:sz w:val="20"/>
                <w:szCs w:val="20"/>
                <w:color w:val="auto"/>
              </w:rPr>
            </w:pPr>
            <w:r>
              <w:rPr>
                <w:rFonts w:ascii="Arial" w:cs="Arial" w:eastAsia="Arial" w:hAnsi="Arial"/>
                <w:sz w:val="20"/>
                <w:szCs w:val="20"/>
                <w:color w:val="auto"/>
              </w:rPr>
              <w:t>City</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3101105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Black</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9"/>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Ankle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3102220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tcPr>
          <w:p>
            <w:pPr>
              <w:spacing w:after="0" w:line="227" w:lineRule="exact"/>
              <w:rPr>
                <w:sz w:val="20"/>
                <w:szCs w:val="20"/>
                <w:color w:val="auto"/>
              </w:rPr>
            </w:pPr>
            <w:r>
              <w:rPr>
                <w:rFonts w:ascii="Arial" w:cs="Arial" w:eastAsia="Arial" w:hAnsi="Arial"/>
                <w:sz w:val="20"/>
                <w:szCs w:val="20"/>
                <w:color w:val="auto"/>
              </w:rPr>
              <w:t>Bonds</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3101963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0"/>
              </w:rPr>
              <w:t>Boonsboro</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1800024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tcPr>
          <w:p>
            <w:pPr>
              <w:spacing w:after="0" w:line="227" w:lineRule="exact"/>
              <w:rPr>
                <w:sz w:val="20"/>
                <w:szCs w:val="20"/>
                <w:color w:val="auto"/>
              </w:rPr>
            </w:pPr>
            <w:r>
              <w:rPr>
                <w:rFonts w:ascii="Arial" w:cs="Arial" w:eastAsia="Arial" w:hAnsi="Arial"/>
                <w:sz w:val="20"/>
                <w:szCs w:val="20"/>
                <w:color w:val="auto"/>
                <w:w w:val="97"/>
              </w:rPr>
              <w:t>Burlington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3100042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Caldwell</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3101869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tcPr>
          <w:p>
            <w:pPr>
              <w:spacing w:after="0" w:line="227" w:lineRule="exact"/>
              <w:rPr>
                <w:sz w:val="20"/>
                <w:szCs w:val="20"/>
                <w:color w:val="auto"/>
              </w:rPr>
            </w:pPr>
            <w:r>
              <w:rPr>
                <w:rFonts w:ascii="Arial" w:cs="Arial" w:eastAsia="Arial" w:hAnsi="Arial"/>
                <w:sz w:val="20"/>
                <w:szCs w:val="20"/>
                <w:color w:val="auto"/>
              </w:rPr>
              <w:t>Calhoun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4003395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Calhoun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3800716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tcPr>
          <w:p>
            <w:pPr>
              <w:spacing w:after="0" w:line="227" w:lineRule="exact"/>
              <w:rPr>
                <w:sz w:val="20"/>
                <w:szCs w:val="20"/>
                <w:color w:val="auto"/>
              </w:rPr>
            </w:pPr>
            <w:r>
              <w:rPr>
                <w:rFonts w:ascii="Arial" w:cs="Arial" w:eastAsia="Arial" w:hAnsi="Arial"/>
                <w:sz w:val="20"/>
                <w:szCs w:val="20"/>
                <w:color w:val="auto"/>
              </w:rPr>
              <w:t>Castle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r>
              <w:rPr>
                <w:rFonts w:ascii="Arial" w:cs="Arial" w:eastAsia="Arial" w:hAnsi="Arial"/>
                <w:sz w:val="20"/>
                <w:szCs w:val="20"/>
                <w:color w:val="auto"/>
              </w:rPr>
              <w:t>Hayne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3"/>
        </w:trPr>
        <w:tc>
          <w:tcPr>
            <w:tcW w:w="900" w:type="dxa"/>
            <w:vAlign w:val="bottom"/>
            <w:shd w:val="clear" w:color="auto" w:fill="CFF0FC"/>
          </w:tcPr>
          <w:p>
            <w:pPr>
              <w:spacing w:after="0"/>
              <w:rPr>
                <w:sz w:val="20"/>
                <w:szCs w:val="20"/>
                <w:color w:val="auto"/>
              </w:rPr>
            </w:pPr>
            <w:r>
              <w:rPr>
                <w:rFonts w:ascii="Arial" w:cs="Arial" w:eastAsia="Arial" w:hAnsi="Arial"/>
                <w:sz w:val="20"/>
                <w:szCs w:val="20"/>
                <w:color w:val="auto"/>
              </w:rPr>
              <w:t>Cayce</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3800016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0"/>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00" w:type="dxa"/>
            <w:vAlign w:val="bottom"/>
          </w:tcPr>
          <w:p>
            <w:pPr>
              <w:spacing w:after="0" w:line="227" w:lineRule="exact"/>
              <w:rPr>
                <w:sz w:val="20"/>
                <w:szCs w:val="20"/>
                <w:color w:val="auto"/>
              </w:rPr>
            </w:pPr>
            <w:r>
              <w:rPr>
                <w:rFonts w:ascii="Arial" w:cs="Arial" w:eastAsia="Arial" w:hAnsi="Arial"/>
                <w:sz w:val="20"/>
                <w:szCs w:val="20"/>
                <w:color w:val="auto"/>
              </w:rPr>
              <w:t>Central</w:t>
            </w:r>
          </w:p>
        </w:tc>
        <w:tc>
          <w:tcPr>
            <w:tcW w:w="720" w:type="dxa"/>
            <w:vAlign w:val="bottom"/>
          </w:tcPr>
          <w:p>
            <w:pPr>
              <w:jc w:val="right"/>
              <w:spacing w:after="0" w:line="227" w:lineRule="exact"/>
              <w:rPr>
                <w:sz w:val="20"/>
                <w:szCs w:val="20"/>
                <w:color w:val="auto"/>
              </w:rPr>
            </w:pPr>
            <w:r>
              <w:rPr>
                <w:rFonts w:ascii="Arial" w:cs="Arial" w:eastAsia="Arial" w:hAnsi="Arial"/>
                <w:sz w:val="20"/>
                <w:szCs w:val="20"/>
                <w:color w:val="auto"/>
                <w:w w:val="87"/>
              </w:rPr>
              <w:t>3100050</w:t>
            </w:r>
          </w:p>
        </w:tc>
        <w:tc>
          <w:tcPr>
            <w:tcW w:w="740" w:type="dxa"/>
            <w:vAlign w:val="bottom"/>
          </w:tcPr>
          <w:p>
            <w:pPr>
              <w:jc w:val="center"/>
              <w:spacing w:after="0" w:line="227" w:lineRule="exact"/>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line="227" w:lineRule="exact"/>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line="227" w:lineRule="exact"/>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line="227" w:lineRule="exact"/>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line="227" w:lineRule="exact"/>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line="227"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27" w:lineRule="exact"/>
              <w:rPr>
                <w:sz w:val="20"/>
                <w:szCs w:val="20"/>
                <w:color w:val="auto"/>
              </w:rPr>
            </w:pPr>
            <w:r>
              <w:rPr>
                <w:rFonts w:ascii="Arial" w:cs="Arial" w:eastAsia="Arial" w:hAnsi="Arial"/>
                <w:sz w:val="20"/>
                <w:szCs w:val="20"/>
                <w:color w:val="auto"/>
              </w:rPr>
              <w:t>-</w:t>
            </w:r>
          </w:p>
        </w:tc>
        <w:tc>
          <w:tcPr>
            <w:tcW w:w="820" w:type="dxa"/>
            <w:vAlign w:val="bottom"/>
          </w:tcPr>
          <w:p>
            <w:pPr>
              <w:jc w:val="center"/>
              <w:spacing w:after="0" w:line="227" w:lineRule="exact"/>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line="227" w:lineRule="exact"/>
              <w:rPr>
                <w:sz w:val="20"/>
                <w:szCs w:val="20"/>
                <w:color w:val="auto"/>
              </w:rPr>
            </w:pPr>
            <w:r>
              <w:rPr>
                <w:rFonts w:ascii="Arial" w:cs="Arial" w:eastAsia="Arial" w:hAnsi="Arial"/>
                <w:sz w:val="20"/>
                <w:szCs w:val="20"/>
                <w:color w:val="auto"/>
                <w:w w:val="80"/>
              </w:rPr>
              <w:t>no</w:t>
            </w:r>
          </w:p>
        </w:tc>
        <w:tc>
          <w:tcPr>
            <w:tcW w:w="820" w:type="dxa"/>
            <w:vAlign w:val="bottom"/>
          </w:tcPr>
          <w:p>
            <w:pPr>
              <w:jc w:val="center"/>
              <w:spacing w:after="0" w:line="227" w:lineRule="exact"/>
              <w:rPr>
                <w:sz w:val="20"/>
                <w:szCs w:val="20"/>
                <w:color w:val="auto"/>
              </w:rPr>
            </w:pPr>
            <w:r>
              <w:rPr>
                <w:rFonts w:ascii="Arial" w:cs="Arial" w:eastAsia="Arial" w:hAnsi="Arial"/>
                <w:sz w:val="20"/>
                <w:szCs w:val="20"/>
                <w:color w:val="auto"/>
                <w:w w:val="89"/>
              </w:rPr>
              <w:t>no</w:t>
            </w:r>
          </w:p>
        </w:tc>
        <w:tc>
          <w:tcPr>
            <w:tcW w:w="700" w:type="dxa"/>
            <w:vAlign w:val="bottom"/>
          </w:tcPr>
          <w:p>
            <w:pPr>
              <w:jc w:val="center"/>
              <w:spacing w:after="0" w:line="227" w:lineRule="exact"/>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line="227" w:lineRule="exact"/>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line="227" w:lineRule="exact"/>
              <w:rPr>
                <w:sz w:val="20"/>
                <w:szCs w:val="20"/>
                <w:color w:val="auto"/>
              </w:rPr>
            </w:pPr>
            <w:r>
              <w:rPr>
                <w:rFonts w:ascii="Arial" w:cs="Arial" w:eastAsia="Arial" w:hAnsi="Arial"/>
                <w:sz w:val="20"/>
                <w:szCs w:val="20"/>
                <w:color w:val="auto"/>
                <w:w w:val="89"/>
              </w:rPr>
              <w:t>0</w:t>
            </w:r>
          </w:p>
        </w:tc>
      </w:t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Rock</w:t>
            </w: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ectPr>
          <w:pgSz w:w="11900" w:h="16838" w:orient="portrait"/>
          <w:cols w:equalWidth="0" w:num="1">
            <w:col w:w="11240"/>
          </w:cols>
          <w:pgMar w:left="320" w:top="122" w:right="339" w:bottom="0" w:gutter="0" w:footer="0" w:header="0"/>
        </w:sectPr>
      </w:pPr>
    </w:p>
    <w:bookmarkStart w:id="70" w:name="page71"/>
    <w:bookmarkEnd w:id="70"/>
    <w:p>
      <w:pPr>
        <w:spacing w:after="0"/>
        <w:rPr>
          <w:sz w:val="20"/>
          <w:szCs w:val="20"/>
          <w:color w:val="auto"/>
        </w:rPr>
      </w:pPr>
      <w:r>
        <w:rPr>
          <w:rFonts w:ascii="Arial" w:cs="Arial" w:eastAsia="Arial" w:hAnsi="Arial"/>
          <w:sz w:val="20"/>
          <w:szCs w:val="20"/>
          <w:color w:val="auto"/>
        </w:rPr>
        <w:t>Quarry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300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20"/>
                <w:szCs w:val="20"/>
                <w:color w:val="auto"/>
                <w:w w:val="98"/>
              </w:rPr>
              <w:t>Charlotte</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50"/>
        </w:trPr>
        <w:tc>
          <w:tcPr>
            <w:tcW w:w="820" w:type="dxa"/>
            <w:vAlign w:val="bottom"/>
          </w:tcPr>
          <w:p>
            <w:pPr>
              <w:spacing w:after="0"/>
              <w:rPr>
                <w:sz w:val="20"/>
                <w:szCs w:val="20"/>
                <w:color w:val="auto"/>
              </w:rPr>
            </w:pPr>
            <w:r>
              <w:rPr>
                <w:rFonts w:ascii="Arial" w:cs="Arial" w:eastAsia="Arial" w:hAnsi="Arial"/>
                <w:sz w:val="20"/>
                <w:szCs w:val="20"/>
                <w:color w:val="auto"/>
              </w:rPr>
              <w:t>Quarry</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w w:val="97"/>
              </w:rPr>
              <w:t>3100057</w:t>
            </w:r>
          </w:p>
        </w:tc>
        <w:tc>
          <w:tcPr>
            <w:tcW w:w="5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80" w:type="dxa"/>
            <w:vAlign w:val="bottom"/>
          </w:tcPr>
          <w:p>
            <w:pPr>
              <w:jc w:val="right"/>
              <w:ind w:right="281"/>
              <w:spacing w:after="0"/>
              <w:rPr>
                <w:sz w:val="20"/>
                <w:szCs w:val="20"/>
                <w:color w:val="auto"/>
              </w:rPr>
            </w:pPr>
            <w:r>
              <w:rPr>
                <w:rFonts w:ascii="Arial" w:cs="Arial" w:eastAsia="Arial" w:hAnsi="Arial"/>
                <w:sz w:val="20"/>
                <w:szCs w:val="20"/>
                <w:color w:val="auto"/>
              </w:rPr>
              <w:t>0</w:t>
            </w:r>
          </w:p>
        </w:tc>
        <w:tc>
          <w:tcPr>
            <w:tcW w:w="78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60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820" w:type="dxa"/>
            <w:vAlign w:val="bottom"/>
          </w:tcPr>
          <w:p>
            <w:pPr>
              <w:ind w:left="3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80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460" w:type="dxa"/>
            <w:vAlign w:val="bottom"/>
          </w:tcPr>
          <w:p>
            <w:pPr>
              <w:jc w:val="right"/>
              <w:spacing w:after="0"/>
              <w:rPr>
                <w:sz w:val="20"/>
                <w:szCs w:val="20"/>
                <w:color w:val="auto"/>
              </w:rPr>
            </w:pPr>
            <w:r>
              <w:rPr>
                <w:rFonts w:ascii="Arial" w:cs="Arial" w:eastAsia="Arial" w:hAnsi="Arial"/>
                <w:sz w:val="20"/>
                <w:szCs w:val="20"/>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320" w:top="122" w:right="6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2"/>
        </w:trPr>
        <w:tc>
          <w:tcPr>
            <w:tcW w:w="2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2140" w:type="dxa"/>
            <w:vAlign w:val="bottom"/>
          </w:tcPr>
          <w:p>
            <w:pPr>
              <w:spacing w:after="0"/>
              <w:rPr>
                <w:sz w:val="20"/>
                <w:szCs w:val="20"/>
                <w:color w:val="auto"/>
              </w:rPr>
            </w:pPr>
            <w:r>
              <w:rPr>
                <w:rFonts w:ascii="Arial" w:cs="Arial" w:eastAsia="Arial" w:hAnsi="Arial"/>
                <w:sz w:val="20"/>
                <w:szCs w:val="20"/>
                <w:color w:val="auto"/>
              </w:rPr>
              <w:t>Chattanooga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4003159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Churchville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1800012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Clarks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3102009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Cumberland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3102237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Cumming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0900460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Denver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3101971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Doswell Quarry VA</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4400045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Douglasville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0900024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East Alamance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3102021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Edgefield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3800738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250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Edmund Sand</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3800662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Fountain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3100065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Franklin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3102130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Frederick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1800013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Fuquay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3102055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Garner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3100072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Georgetown II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3800525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w w:val="98"/>
              </w:rPr>
              <w:t>Greensboro Portable Plt</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3102336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w w:val="91"/>
              </w:rPr>
              <w:t>Greensboro Portable Plt II</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3102335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Hickory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3100043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Hicone</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3102088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Jamestown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3100051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***Jefferson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0901106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Junction City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0901029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Kannapolis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3100070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Kent Sand &amp; Gravel</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1800745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250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Kings Mountain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3100047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Lemon Springs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3101104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Lithonia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0900023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Loamy Sand Gravel</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3800721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Maiden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3102125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Mallard Creek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3102006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Matthews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3102084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Maylene Quarry</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2"/>
              </w:rPr>
              <w:t>0100634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140" w:type="dxa"/>
            <w:vAlign w:val="bottom"/>
          </w:tcPr>
          <w:p>
            <w:pPr>
              <w:spacing w:after="0"/>
              <w:rPr>
                <w:sz w:val="20"/>
                <w:szCs w:val="20"/>
                <w:color w:val="auto"/>
              </w:rPr>
            </w:pPr>
            <w:r>
              <w:rPr>
                <w:rFonts w:ascii="Arial" w:cs="Arial" w:eastAsia="Arial" w:hAnsi="Arial"/>
                <w:sz w:val="20"/>
                <w:szCs w:val="20"/>
                <w:color w:val="auto"/>
              </w:rPr>
              <w:t>Medford Quarry</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w w:val="92"/>
              </w:rPr>
              <w:t>1800035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0"/>
        </w:trPr>
        <w:tc>
          <w:tcPr>
            <w:tcW w:w="2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2"/>
        </w:trPr>
        <w:tc>
          <w:tcPr>
            <w:tcW w:w="2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Midlothian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4403767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w w:val="94"/>
              </w:rPr>
              <w:t>Misc Greensboro District</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B8611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Morgan County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0901126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1,104</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Newton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0900899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North Columbia</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3800146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North East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1800417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375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Old Charleston Sand</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3800702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O'Neal Plant  Co 19</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0103076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Onslow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3102120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Paulding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0901107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0801083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Pinesburg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1800021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Pomona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3100052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w w:val="98"/>
              </w:rPr>
              <w:t>Raleigh Durham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3101941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Red Hill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4400072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Red Oak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0900069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Reidsville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3100068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Rock Hill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3800026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0900074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Salem Stone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3102038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Six Mile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0901144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w w:val="91"/>
              </w:rPr>
              <w:t>St. Marys Sand Company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0901199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Statesville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3100055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Texas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1800009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Thomasville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3101475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Tyrone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0900306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Vance Quarry  Co 19</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0103022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Warfordsburg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3600168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Warrenton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0900580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Wilmington Sand</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3101308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Wilson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3102230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Woodleaf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3100069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172</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(45) North Indianapolis</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1200002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100" w:type="dxa"/>
            <w:vAlign w:val="bottom"/>
          </w:tcPr>
          <w:p>
            <w:pPr>
              <w:spacing w:after="0"/>
              <w:rPr>
                <w:sz w:val="20"/>
                <w:szCs w:val="20"/>
                <w:color w:val="auto"/>
              </w:rPr>
            </w:pPr>
            <w:r>
              <w:rPr>
                <w:rFonts w:ascii="Arial" w:cs="Arial" w:eastAsia="Arial" w:hAnsi="Arial"/>
                <w:sz w:val="20"/>
                <w:szCs w:val="20"/>
                <w:color w:val="auto"/>
                <w:w w:val="98"/>
              </w:rPr>
              <w:t>Alden Portable Plant #2</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1302033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0"/>
        </w:trPr>
        <w:tc>
          <w:tcPr>
            <w:tcW w:w="2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52"/>
        </w:trPr>
        <w:tc>
          <w:tcPr>
            <w:tcW w:w="2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Alden Portable Sand</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1302037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Alden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1300228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Ames Mine</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1300014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475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Apple Grove S G</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3301676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Belmont Sand</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1201911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20" w:type="dxa"/>
            <w:vAlign w:val="bottom"/>
          </w:tcPr>
          <w:p>
            <w:pPr>
              <w:spacing w:after="0" w:line="227" w:lineRule="exact"/>
              <w:rPr>
                <w:sz w:val="20"/>
                <w:szCs w:val="20"/>
                <w:color w:val="auto"/>
              </w:rPr>
            </w:pPr>
            <w:r>
              <w:rPr>
                <w:rFonts w:ascii="Arial" w:cs="Arial" w:eastAsia="Arial" w:hAnsi="Arial"/>
                <w:sz w:val="20"/>
                <w:szCs w:val="20"/>
                <w:color w:val="auto"/>
              </w:rPr>
              <w:t>Bowling Green North</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20" w:type="dxa"/>
            <w:vAlign w:val="bottom"/>
          </w:tcPr>
          <w:p>
            <w:pPr>
              <w:spacing w:after="0"/>
              <w:rPr>
                <w:sz w:val="20"/>
                <w:szCs w:val="20"/>
                <w:color w:val="auto"/>
              </w:rPr>
            </w:pPr>
            <w:r>
              <w:rPr>
                <w:rFonts w:ascii="Arial" w:cs="Arial" w:eastAsia="Arial" w:hAnsi="Arial"/>
                <w:sz w:val="20"/>
                <w:szCs w:val="20"/>
                <w:color w:val="auto"/>
              </w:rPr>
              <w:t>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1500065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2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Bowling Green South</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1500025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Burning Springs Mine</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4608862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Carmel Sand</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1202124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Cedar Rapids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1300122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Cedarville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3304072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Cloverdale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1201744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Cumberland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1500037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Des Moines Portable</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1300150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98"/>
              </w:rPr>
              <w:t>Des Moines Portable #2</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1300932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Dubois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2501046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Durham Mine</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1301225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E Town Sand Gravel</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3304279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Earlham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1302123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**Elk River Wash Plant</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2101218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Fairfield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3301396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382</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Ferguson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1300124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Fort Dodge Mine</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1300032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Fort Calhoun</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2501300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375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w w:val="94"/>
              </w:rPr>
              <w:t>Greenwood Quarry  New</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2300141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Harlan Quarry</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1500071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Hartford Quarry</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1500095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Inactive Iowa Grading</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1302126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Iowa Grading</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1302316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Kentucky Ave Mine</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1201762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Kokomo Mine</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1202105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Kokomo Sand</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1202203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Kokomo Stone</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1200142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20"/>
                <w:szCs w:val="20"/>
                <w:color w:val="auto"/>
              </w:rPr>
              <w:t>Linn County Sand</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w w:val="95"/>
              </w:rPr>
              <w:t>1302208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20"/>
                <w:szCs w:val="20"/>
                <w:color w:val="auto"/>
              </w:rPr>
              <w:t>Malcom Mine</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5"/>
              </w:rPr>
              <w:t>1300112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7"/>
        </w:trPr>
        <w:tc>
          <w:tcPr>
            <w:tcW w:w="2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52"/>
        </w:trPr>
        <w:tc>
          <w:tcPr>
            <w:tcW w:w="2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2100" w:type="dxa"/>
            <w:vAlign w:val="bottom"/>
          </w:tcPr>
          <w:p>
            <w:pPr>
              <w:spacing w:after="0"/>
              <w:rPr>
                <w:sz w:val="20"/>
                <w:szCs w:val="20"/>
                <w:color w:val="auto"/>
              </w:rPr>
            </w:pPr>
            <w:r>
              <w:rPr>
                <w:rFonts w:ascii="Arial" w:cs="Arial" w:eastAsia="Arial" w:hAnsi="Arial"/>
                <w:sz w:val="20"/>
                <w:szCs w:val="20"/>
                <w:color w:val="auto"/>
              </w:rPr>
              <w:t>Marshalltown Sand</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1300718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Midwest Division OH</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A2354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Moore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1302188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New Harvey Sand</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1301778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Noblesville Sand</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1201994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Noblesville Stone</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1202176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40" w:type="dxa"/>
            <w:vAlign w:val="bottom"/>
            <w:gridSpan w:val="2"/>
          </w:tcPr>
          <w:p>
            <w:pPr>
              <w:spacing w:after="0"/>
              <w:rPr>
                <w:sz w:val="20"/>
                <w:szCs w:val="20"/>
                <w:color w:val="auto"/>
              </w:rPr>
            </w:pPr>
            <w:r>
              <w:rPr>
                <w:rFonts w:ascii="Arial" w:cs="Arial" w:eastAsia="Arial" w:hAnsi="Arial"/>
                <w:sz w:val="20"/>
                <w:szCs w:val="20"/>
                <w:color w:val="auto"/>
                <w:w w:val="97"/>
              </w:rPr>
              <w:t>North Indianapolis Quarry 1201993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655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North Valley Sand</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2501271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Ottawa Quarry  New</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1401590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375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Pedersen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1302192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250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Petersburg Ky Gravel</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1516895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Phillipsburg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3300006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Portland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1302122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**Portable Mill (Durnin)</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2101110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40" w:type="dxa"/>
            <w:vAlign w:val="bottom"/>
            <w:gridSpan w:val="2"/>
          </w:tcPr>
          <w:p>
            <w:pPr>
              <w:spacing w:after="0"/>
              <w:rPr>
                <w:sz w:val="20"/>
                <w:szCs w:val="20"/>
                <w:color w:val="auto"/>
              </w:rPr>
            </w:pPr>
            <w:r>
              <w:rPr>
                <w:rFonts w:ascii="Arial" w:cs="Arial" w:eastAsia="Arial" w:hAnsi="Arial"/>
                <w:sz w:val="20"/>
                <w:szCs w:val="20"/>
                <w:color w:val="auto"/>
                <w:w w:val="95"/>
              </w:rPr>
              <w:t>**Potable Plant (Sager, G) 2101112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4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8"/>
              </w:rPr>
              <w:t>**Portable Mill (Lindberg) 2103287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**Portble Mill (Spare)</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2103120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**Portable Mill</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(Schenkey)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2103147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00" w:type="dxa"/>
            <w:vAlign w:val="bottom"/>
          </w:tcPr>
          <w:p>
            <w:pPr>
              <w:spacing w:after="0" w:line="227" w:lineRule="exact"/>
              <w:rPr>
                <w:sz w:val="20"/>
                <w:szCs w:val="20"/>
                <w:color w:val="auto"/>
              </w:rPr>
            </w:pPr>
            <w:r>
              <w:rPr>
                <w:rFonts w:ascii="Arial" w:cs="Arial" w:eastAsia="Arial" w:hAnsi="Arial"/>
                <w:sz w:val="20"/>
                <w:szCs w:val="20"/>
                <w:color w:val="auto"/>
              </w:rPr>
              <w:t>**Portable Mill</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00" w:type="dxa"/>
            <w:vAlign w:val="bottom"/>
          </w:tcPr>
          <w:p>
            <w:pPr>
              <w:spacing w:after="0"/>
              <w:rPr>
                <w:sz w:val="20"/>
                <w:szCs w:val="20"/>
                <w:color w:val="auto"/>
              </w:rPr>
            </w:pPr>
            <w:r>
              <w:rPr>
                <w:rFonts w:ascii="Arial" w:cs="Arial" w:eastAsia="Arial" w:hAnsi="Arial"/>
                <w:sz w:val="20"/>
                <w:szCs w:val="20"/>
                <w:color w:val="auto"/>
              </w:rPr>
              <w:t>(Nordmann)</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2103355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4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7"/>
              </w:rPr>
              <w:t>**Portable Mill (Sager, T.) 2101843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**Portable Mill (Popp)</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2101593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Raccoon River Sand</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1302315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Randolph Mine</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2302308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250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Reasnor Sand</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1300814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00" w:type="dxa"/>
            <w:vAlign w:val="bottom"/>
          </w:tcPr>
          <w:p>
            <w:pPr>
              <w:spacing w:after="0" w:line="227" w:lineRule="exact"/>
              <w:rPr>
                <w:sz w:val="20"/>
                <w:szCs w:val="20"/>
                <w:color w:val="auto"/>
              </w:rPr>
            </w:pPr>
            <w:r>
              <w:rPr>
                <w:rFonts w:ascii="Arial" w:cs="Arial" w:eastAsia="Arial" w:hAnsi="Arial"/>
                <w:sz w:val="20"/>
                <w:szCs w:val="20"/>
                <w:color w:val="auto"/>
              </w:rPr>
              <w:t>**Reclamation Crew</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00" w:type="dxa"/>
            <w:vAlign w:val="bottom"/>
          </w:tcPr>
          <w:p>
            <w:pPr>
              <w:spacing w:after="0"/>
              <w:rPr>
                <w:sz w:val="20"/>
                <w:szCs w:val="20"/>
                <w:color w:val="auto"/>
              </w:rPr>
            </w:pPr>
            <w:r>
              <w:rPr>
                <w:rFonts w:ascii="Arial" w:cs="Arial" w:eastAsia="Arial" w:hAnsi="Arial"/>
                <w:sz w:val="20"/>
                <w:szCs w:val="20"/>
                <w:color w:val="auto"/>
              </w:rPr>
              <w:t>(Rowan)</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2103690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Saylorville Sand</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1302290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Shamrock SG</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3304011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4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4"/>
              </w:rPr>
              <w:t>Spring Valley Cook Rd SG 3304534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St Cloud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2100081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Stamper Mine</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2302232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673</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Sully Mine</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1300063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Sunflower Qy  Co 61</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1401556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Troy Gravel</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3301678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Waverly Sand</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1202038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Weeping Water Mine</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2500998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622</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420" w:type="dxa"/>
            <w:vAlign w:val="bottom"/>
          </w:tcPr>
          <w:p>
            <w:pPr>
              <w:jc w:val="right"/>
              <w:spacing w:after="0"/>
              <w:rPr>
                <w:sz w:val="20"/>
                <w:szCs w:val="20"/>
                <w:color w:val="auto"/>
              </w:rPr>
            </w:pPr>
            <w:r>
              <w:rPr>
                <w:rFonts w:ascii="Arial" w:cs="Arial" w:eastAsia="Arial" w:hAnsi="Arial"/>
                <w:sz w:val="20"/>
                <w:szCs w:val="20"/>
                <w:color w:val="auto"/>
              </w:rPr>
              <w:t>2</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540"/>
        </w:trPr>
        <w:tc>
          <w:tcPr>
            <w:tcW w:w="2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51"/>
        </w:trPr>
        <w:tc>
          <w:tcPr>
            <w:tcW w:w="2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West Center Sand</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2501231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159</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Xenia Gravel</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3301393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w w:val="98"/>
              </w:rPr>
              <w:t>Yellow Medicine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2100033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Granite Canyon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4800018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w w:val="96"/>
              </w:rPr>
              <w:t>Greeley 35th Ready Mix</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0504382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40" w:type="dxa"/>
            <w:vAlign w:val="bottom"/>
            <w:gridSpan w:val="2"/>
          </w:tcPr>
          <w:p>
            <w:pPr>
              <w:spacing w:after="0"/>
              <w:rPr>
                <w:sz w:val="20"/>
                <w:szCs w:val="20"/>
                <w:color w:val="auto"/>
              </w:rPr>
            </w:pPr>
            <w:r>
              <w:rPr>
                <w:rFonts w:ascii="Arial" w:cs="Arial" w:eastAsia="Arial" w:hAnsi="Arial"/>
                <w:sz w:val="20"/>
                <w:szCs w:val="20"/>
                <w:color w:val="auto"/>
                <w:w w:val="95"/>
              </w:rPr>
              <w:t>Greeley 35th Sand Gravel 0504613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Guernsey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4800004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Milford Quarry  Utah</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4202177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Pacific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4500844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Parkdale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0504635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Parsons Sand Gravel</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0503215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w w:val="90"/>
              </w:rPr>
              <w:t>Penrose Sand and Gravel</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0504509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Platte Sand &amp; Gravel</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0504418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Portable Crushing</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0503984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1</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0504359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Portable Plant 21</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0504520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Red Canyon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0504136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Riverbend Sand Gravel</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0504841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***Spanish Springs</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Quarry Co 2</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2600803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Spec Agg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0500860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Taft Sand Gravel</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0504526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Taft Shop</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0504735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51 Sand &amp; Gravel</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4105381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Beckmann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4101335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Bedrock Sand Gravel</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4103283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Bells Savoy SG</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4104019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Black Rock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0300011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Black Spur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4104159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Blake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1401584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Bridgeport Stone</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4100007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Broken Bow SG</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3400460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Chico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4103360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Davis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3401299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Garfield SG</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4103909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0"/>
        </w:trPr>
        <w:tc>
          <w:tcPr>
            <w:tcW w:w="2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52"/>
        </w:trPr>
        <w:tc>
          <w:tcPr>
            <w:tcW w:w="2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Garwood Gravel</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4102886</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1</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GMS</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C335</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Gulf Coast Port #2</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4104204</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Hatton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0301614</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Helotes</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4103137</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Highway 211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4103829</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1</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Hondo</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4104708</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Hondo West</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4104090</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Hugo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3400061</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Hunter Cement</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4102820</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771</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38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Hunter Stone</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4105230</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Idabel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3400507</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136</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Jones Mill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0301586</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Koontz McCombs Pit</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4105048</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Medina Rock Rail</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4105170</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Midlothian Cement</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4100071</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1</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1,167</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Mill Creek Limestone</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3401859</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Mill Creek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3401285</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Perryville Aggregates</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1601417</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Poteet Sand</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4101342</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Rio Medina</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4103594</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San Pedro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4101337</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Sawyer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3401634</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98"/>
              </w:rPr>
              <w:t>Smithson Valley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4104108</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Snyder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3401651</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Tin Top SG</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4102852</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Washita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3402049</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Webberville</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4104363</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w w:val="98"/>
              </w:rPr>
              <w:t>Woodworth Aggregates</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1601070</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94"/>
              </w:rPr>
              <w:t>Geology and Exploration</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B7127</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Salisbury Shop</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B9338</w:t>
            </w:r>
          </w:p>
        </w:tc>
        <w:tc>
          <w:tcPr>
            <w:tcW w:w="600" w:type="dxa"/>
            <w:vAlign w:val="bottom"/>
            <w:shd w:val="clear" w:color="auto" w:fill="CFF0FC"/>
          </w:tcPr>
          <w:p>
            <w:pPr>
              <w:jc w:val="center"/>
              <w:ind w:right="61"/>
              <w:spacing w:after="0"/>
              <w:rPr>
                <w:sz w:val="20"/>
                <w:szCs w:val="20"/>
                <w:color w:val="auto"/>
              </w:rPr>
            </w:pPr>
            <w:r>
              <w:rPr>
                <w:rFonts w:ascii="Arial" w:cs="Arial" w:eastAsia="Arial" w:hAnsi="Arial"/>
                <w:sz w:val="20"/>
                <w:szCs w:val="20"/>
                <w:color w:val="auto"/>
                <w:w w:val="71"/>
              </w:rPr>
              <w:t>0</w:t>
            </w:r>
          </w:p>
        </w:tc>
        <w:tc>
          <w:tcPr>
            <w:tcW w:w="6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34"/>
        </w:trPr>
        <w:tc>
          <w:tcPr>
            <w:tcW w:w="2080" w:type="dxa"/>
            <w:vAlign w:val="bottom"/>
          </w:tcPr>
          <w:p>
            <w:pPr>
              <w:spacing w:after="0"/>
              <w:rPr>
                <w:sz w:val="20"/>
                <w:szCs w:val="20"/>
                <w:color w:val="auto"/>
              </w:rPr>
            </w:pPr>
            <w:r>
              <w:rPr>
                <w:rFonts w:ascii="Arial" w:cs="Arial" w:eastAsia="Arial" w:hAnsi="Arial"/>
                <w:sz w:val="20"/>
                <w:szCs w:val="20"/>
                <w:color w:val="auto"/>
              </w:rPr>
              <w:t>Woodville  Stone</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3300156</w:t>
            </w:r>
          </w:p>
        </w:tc>
        <w:tc>
          <w:tcPr>
            <w:tcW w:w="600" w:type="dxa"/>
            <w:vAlign w:val="bottom"/>
          </w:tcPr>
          <w:p>
            <w:pPr>
              <w:jc w:val="center"/>
              <w:ind w:right="61"/>
              <w:spacing w:after="0"/>
              <w:rPr>
                <w:sz w:val="20"/>
                <w:szCs w:val="20"/>
                <w:color w:val="auto"/>
              </w:rPr>
            </w:pPr>
            <w:r>
              <w:rPr>
                <w:rFonts w:ascii="Arial" w:cs="Arial" w:eastAsia="Arial" w:hAnsi="Arial"/>
                <w:sz w:val="20"/>
                <w:szCs w:val="20"/>
                <w:color w:val="auto"/>
                <w:w w:val="71"/>
              </w:rPr>
              <w:t>3</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8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color w:val="auto"/>
              </w:rPr>
              <w:t>565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38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0"/>
                <w:szCs w:val="20"/>
                <w:color w:val="auto"/>
              </w:rPr>
            </w:pPr>
          </w:p>
        </w:tc>
      </w:tr>
      <w:tr>
        <w:trPr>
          <w:trHeight w:val="256"/>
        </w:trPr>
        <w:tc>
          <w:tcPr>
            <w:tcW w:w="208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880" w:type="dxa"/>
            <w:vAlign w:val="bottom"/>
          </w:tcPr>
          <w:p>
            <w:pPr>
              <w:spacing w:after="0"/>
              <w:rPr>
                <w:sz w:val="22"/>
                <w:szCs w:val="22"/>
                <w:color w:val="auto"/>
              </w:rPr>
            </w:pPr>
          </w:p>
        </w:tc>
        <w:tc>
          <w:tcPr>
            <w:tcW w:w="600" w:type="dxa"/>
            <w:vAlign w:val="bottom"/>
          </w:tcPr>
          <w:p>
            <w:pPr>
              <w:jc w:val="center"/>
              <w:ind w:right="61"/>
              <w:spacing w:after="0"/>
              <w:rPr>
                <w:sz w:val="20"/>
                <w:szCs w:val="20"/>
                <w:color w:val="auto"/>
              </w:rPr>
            </w:pPr>
            <w:r>
              <w:rPr>
                <w:rFonts w:ascii="Arial" w:cs="Arial" w:eastAsia="Arial" w:hAnsi="Arial"/>
                <w:sz w:val="20"/>
                <w:szCs w:val="20"/>
                <w:b w:val="1"/>
                <w:bCs w:val="1"/>
                <w:color w:val="auto"/>
                <w:w w:val="89"/>
              </w:rPr>
              <w:t>24</w:t>
            </w:r>
          </w:p>
        </w:tc>
        <w:tc>
          <w:tcPr>
            <w:tcW w:w="660" w:type="dxa"/>
            <w:vAlign w:val="bottom"/>
          </w:tcPr>
          <w:p>
            <w:pPr>
              <w:jc w:val="right"/>
              <w:ind w:right="201"/>
              <w:spacing w:after="0"/>
              <w:rPr>
                <w:sz w:val="20"/>
                <w:szCs w:val="20"/>
                <w:color w:val="auto"/>
              </w:rPr>
            </w:pPr>
            <w:r>
              <w:rPr>
                <w:rFonts w:ascii="Arial" w:cs="Arial" w:eastAsia="Arial" w:hAnsi="Arial"/>
                <w:sz w:val="20"/>
                <w:szCs w:val="20"/>
                <w:b w:val="1"/>
                <w:bCs w:val="1"/>
                <w:color w:val="auto"/>
              </w:rPr>
              <w:t>1</w:t>
            </w:r>
          </w:p>
        </w:tc>
        <w:tc>
          <w:tcPr>
            <w:tcW w:w="660" w:type="dxa"/>
            <w:vAlign w:val="bottom"/>
          </w:tcPr>
          <w:p>
            <w:pPr>
              <w:jc w:val="right"/>
              <w:ind w:right="181"/>
              <w:spacing w:after="0"/>
              <w:rPr>
                <w:sz w:val="20"/>
                <w:szCs w:val="20"/>
                <w:color w:val="auto"/>
              </w:rPr>
            </w:pPr>
            <w:r>
              <w:rPr>
                <w:rFonts w:ascii="Arial" w:cs="Arial" w:eastAsia="Arial" w:hAnsi="Arial"/>
                <w:sz w:val="20"/>
                <w:szCs w:val="20"/>
                <w:b w:val="1"/>
                <w:bCs w:val="1"/>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b w:val="1"/>
                <w:bCs w:val="1"/>
                <w:color w:val="auto"/>
              </w:rPr>
              <w:t>0</w:t>
            </w:r>
          </w:p>
        </w:tc>
        <w:tc>
          <w:tcPr>
            <w:tcW w:w="580" w:type="dxa"/>
            <w:vAlign w:val="bottom"/>
          </w:tcPr>
          <w:p>
            <w:pPr>
              <w:jc w:val="right"/>
              <w:ind w:right="121"/>
              <w:spacing w:after="0"/>
              <w:rPr>
                <w:sz w:val="20"/>
                <w:szCs w:val="20"/>
                <w:color w:val="auto"/>
              </w:rPr>
            </w:pPr>
            <w:r>
              <w:rPr>
                <w:rFonts w:ascii="Arial" w:cs="Arial" w:eastAsia="Arial" w:hAnsi="Arial"/>
                <w:sz w:val="20"/>
                <w:szCs w:val="20"/>
                <w:b w:val="1"/>
                <w:bCs w:val="1"/>
                <w:color w:val="auto"/>
              </w:rPr>
              <w:t>0</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20" w:type="dxa"/>
            <w:vAlign w:val="bottom"/>
          </w:tcPr>
          <w:p>
            <w:pPr>
              <w:jc w:val="right"/>
              <w:ind w:right="61"/>
              <w:spacing w:after="0"/>
              <w:rPr>
                <w:sz w:val="20"/>
                <w:szCs w:val="20"/>
                <w:color w:val="auto"/>
              </w:rPr>
            </w:pPr>
            <w:r>
              <w:rPr>
                <w:rFonts w:ascii="Arial" w:cs="Arial" w:eastAsia="Arial" w:hAnsi="Arial"/>
                <w:sz w:val="20"/>
                <w:szCs w:val="20"/>
                <w:b w:val="1"/>
                <w:bCs w:val="1"/>
                <w:color w:val="auto"/>
                <w:w w:val="88"/>
              </w:rPr>
              <w:t>11,504</w:t>
            </w:r>
          </w:p>
        </w:tc>
        <w:tc>
          <w:tcPr>
            <w:tcW w:w="520" w:type="dxa"/>
            <w:vAlign w:val="bottom"/>
          </w:tcPr>
          <w:p>
            <w:pPr>
              <w:jc w:val="right"/>
              <w:ind w:right="161"/>
              <w:spacing w:after="0"/>
              <w:rPr>
                <w:sz w:val="20"/>
                <w:szCs w:val="20"/>
                <w:color w:val="auto"/>
              </w:rPr>
            </w:pPr>
            <w:r>
              <w:rPr>
                <w:rFonts w:ascii="Arial" w:cs="Arial" w:eastAsia="Arial" w:hAnsi="Arial"/>
                <w:sz w:val="20"/>
                <w:szCs w:val="20"/>
                <w:b w:val="1"/>
                <w:bCs w:val="1"/>
                <w:color w:val="auto"/>
              </w:rPr>
              <w:t>0</w:t>
            </w: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11</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8</w:t>
            </w:r>
          </w:p>
        </w:tc>
        <w:tc>
          <w:tcPr>
            <w:tcW w:w="940" w:type="dxa"/>
            <w:vAlign w:val="bottom"/>
          </w:tcPr>
          <w:p>
            <w:pPr>
              <w:jc w:val="right"/>
              <w:ind w:right="201"/>
              <w:spacing w:after="0"/>
              <w:rPr>
                <w:sz w:val="20"/>
                <w:szCs w:val="20"/>
                <w:color w:val="auto"/>
              </w:rPr>
            </w:pPr>
            <w:r>
              <w:rPr>
                <w:rFonts w:ascii="Arial" w:cs="Arial" w:eastAsia="Arial" w:hAnsi="Arial"/>
                <w:sz w:val="20"/>
                <w:szCs w:val="20"/>
                <w:b w:val="1"/>
                <w:bCs w:val="1"/>
                <w:color w:val="auto"/>
              </w:rPr>
              <w:t>2</w:t>
            </w:r>
          </w:p>
        </w:tc>
        <w:tc>
          <w:tcPr>
            <w:tcW w:w="20" w:type="dxa"/>
            <w:vAlign w:val="bottom"/>
          </w:tcPr>
          <w:p>
            <w:pPr>
              <w:spacing w:after="0"/>
              <w:rPr>
                <w:sz w:val="22"/>
                <w:szCs w:val="22"/>
                <w:color w:val="auto"/>
              </w:rPr>
            </w:pPr>
          </w:p>
        </w:tc>
      </w:tr>
      <w:tr>
        <w:trPr>
          <w:trHeight w:val="543"/>
        </w:trPr>
        <w:tc>
          <w:tcPr>
            <w:tcW w:w="20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color w:val="auto"/>
        </w:rPr>
        <w:t>Appendix 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8"/>
        <w:spacing w:after="0" w:line="260" w:lineRule="auto"/>
        <w:tabs>
          <w:tab w:leader="none" w:pos="166" w:val="left"/>
        </w:tabs>
        <w:numPr>
          <w:ilvl w:val="0"/>
          <w:numId w:val="28"/>
        </w:numPr>
        <w:rPr>
          <w:rFonts w:ascii="Arial" w:cs="Arial" w:eastAsia="Arial" w:hAnsi="Arial"/>
          <w:sz w:val="19"/>
          <w:szCs w:val="19"/>
          <w:color w:val="auto"/>
        </w:rPr>
      </w:pPr>
      <w:r>
        <w:rPr>
          <w:rFonts w:ascii="Arial" w:cs="Arial" w:eastAsia="Arial" w:hAnsi="Arial"/>
          <w:sz w:val="19"/>
          <w:szCs w:val="19"/>
          <w:color w:val="auto"/>
        </w:rPr>
        <w:t>Of the 11 legal actions pending on June 30, 2021, four were contests of citations or orders referenced in Subpart B of CFR Part 2700, which includes contests of citations and orders issued under Section 104 of the Mine Act and contests of imminent danger orders under Section 107 of the Mine Act and five were contests of proposed penalties referenced in Subpart C of 29 CFR Part 2700, which are administrative proceedings before the Commission challenging a civil penalty that MSHA has proposed for the violation contained in a citation or order, and two were a contest of an order issued under section 103 (K) of the Mine Act.</w:t>
      </w:r>
    </w:p>
    <w:p>
      <w:pPr>
        <w:spacing w:after="0" w:line="15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**Sites acquired by the Company on April 30, 2020 as part of the acquisition of assets from Tiller-MPLS. Represents citations, orders, violations, assessments, etc. with respect to the period of ownership by the Company from May 1 through June 30, 2021.</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***Sites sold by the Company on February 8, 2021 and June 1,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7"/>
    </w:lvl>
  </w:abstractNum>
  <w:abstractNum w:abstractNumId="6">
    <w:nsid w:val="519B500D"/>
    <w:multiLevelType w:val="hybridMultilevel"/>
    <w:lvl w:ilvl="0">
      <w:lvlJc w:val="left"/>
      <w:lvlText w:val="%1."/>
      <w:numFmt w:val="decimal"/>
      <w:start w:val="8"/>
    </w:lvl>
  </w:abstractNum>
  <w:abstractNum w:abstractNumId="7">
    <w:nsid w:val="431BD7B7"/>
    <w:multiLevelType w:val="hybridMultilevel"/>
    <w:lvl w:ilvl="0">
      <w:lvlJc w:val="left"/>
      <w:lvlText w:val="%1."/>
      <w:numFmt w:val="decimal"/>
      <w:start w:val="10"/>
    </w:lvl>
  </w:abstractNum>
  <w:abstractNum w:abstractNumId="8">
    <w:nsid w:val="3F2DBA31"/>
    <w:multiLevelType w:val="hybridMultilevel"/>
    <w:lvl w:ilvl="0">
      <w:lvlJc w:val="left"/>
      <w:lvlText w:val="%1."/>
      <w:numFmt w:val="decimal"/>
      <w:start w:val="11"/>
    </w:lvl>
  </w:abstractNum>
  <w:abstractNum w:abstractNumId="9">
    <w:nsid w:val="7C83E458"/>
    <w:multiLevelType w:val="hybridMultilevel"/>
    <w:lvl w:ilvl="0">
      <w:lvlJc w:val="left"/>
      <w:lvlText w:val="%1."/>
      <w:numFmt w:val="decimal"/>
      <w:start w:val="12"/>
    </w:lvl>
  </w:abstractNum>
  <w:abstractNum w:abstractNumId="10">
    <w:nsid w:val="257130A3"/>
    <w:multiLevelType w:val="hybridMultilevel"/>
    <w:lvl w:ilvl="0">
      <w:lvlJc w:val="left"/>
      <w:lvlText w:val="%1."/>
      <w:numFmt w:val="decimal"/>
      <w:start w:val="14"/>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95"/>
    </w:lvl>
  </w:abstractNum>
  <w:abstractNum w:abstractNumId="18">
    <w:nsid w:val="6763845E"/>
    <w:multiLevelType w:val="hybridMultilevel"/>
    <w:lvl w:ilvl="0">
      <w:lvlJc w:val="left"/>
      <w:lvlText w:val="1"/>
      <w:numFmt w:val="bullet"/>
      <w:start w:val="1"/>
    </w:lvl>
  </w:abstractNum>
  <w:abstractNum w:abstractNumId="19">
    <w:nsid w:val="75A2A8D4"/>
    <w:multiLevelType w:val="hybridMultilevel"/>
    <w:lvl w:ilvl="0">
      <w:lvlJc w:val="left"/>
      <w:lvlText w:val="%1."/>
      <w:numFmt w:val="decimal"/>
      <w:start w:val="1"/>
    </w:lvl>
    <w:lvl w:ilvl="1">
      <w:lvlJc w:val="left"/>
      <w:lvlText w:val="%2."/>
      <w:numFmt w:val="lowerLetter"/>
      <w:start w:val="1"/>
    </w:lvl>
  </w:abstractNum>
  <w:abstractNum w:abstractNumId="20">
    <w:nsid w:val="8EDBDAB"/>
    <w:multiLevelType w:val="hybridMultilevel"/>
    <w:lvl w:ilvl="0">
      <w:lvlJc w:val="left"/>
      <w:lvlText w:val="%1."/>
      <w:numFmt w:val="decimal"/>
      <w:start w:val="5"/>
    </w:lvl>
    <w:lvl w:ilvl="1">
      <w:lvlJc w:val="left"/>
      <w:lvlText w:val="%2."/>
      <w:numFmt w:val="lowerLetter"/>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abstractNum>
  <w:abstractNum w:abstractNumId="22">
    <w:nsid w:val="4353D0CD"/>
    <w:multiLevelType w:val="hybridMultilevel"/>
    <w:lvl w:ilvl="0">
      <w:lvlJc w:val="left"/>
      <w:lvlText w:val="%1."/>
      <w:numFmt w:val="decimal"/>
      <w:start w:val="5"/>
    </w:lvl>
    <w:lvl w:ilvl="1">
      <w:lvlJc w:val="left"/>
      <w:lvlText w:val="%2."/>
      <w:numFmt w:val="lowerLetter"/>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65" Type="http://schemas.openxmlformats.org/officeDocument/2006/relationships/hyperlink" Target="http://www.sec.gov/Archives/edgar/data/0000916076/000095015721000559/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2021-07-29T14:55:30Z</dcterms:created>
  <dcterms:modified xsi:type="dcterms:W3CDTF">2021-07-29T14:55:30Z</dcterms:modified>
</cp:coreProperties>
</file>