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153035</wp:posOffset>
            </wp:positionH>
            <wp:positionV relativeFrom="page">
              <wp:posOffset>281305</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305435</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-122555</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-122555</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3780" w:right="1960" w:hanging="3779"/>
        <w:spacing w:after="0" w:line="238" w:lineRule="auto"/>
        <w:tabs>
          <w:tab w:leader="none" w:pos="516"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75" w:lineRule="exact"/>
        <w:rPr>
          <w:sz w:val="24"/>
          <w:szCs w:val="24"/>
          <w:color w:val="auto"/>
        </w:rPr>
      </w:pPr>
    </w:p>
    <w:p>
      <w:pPr>
        <w:ind w:left="520" w:hanging="519"/>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60"/>
          </w:cols>
          <w:pgMar w:left="240" w:top="568" w:right="199" w:bottom="1440" w:gutter="0" w:footer="0" w:header="0"/>
        </w:sectPr>
      </w:pPr>
    </w:p>
    <w:p>
      <w:pPr>
        <w:spacing w:after="0" w:line="21" w:lineRule="exact"/>
        <w:rPr>
          <w:sz w:val="24"/>
          <w:szCs w:val="24"/>
          <w:color w:val="auto"/>
        </w:rPr>
      </w:pPr>
    </w:p>
    <w:p>
      <w:pPr>
        <w:jc w:val="right"/>
        <w:ind w:right="4500"/>
        <w:spacing w:after="0"/>
        <w:tabs>
          <w:tab w:leader="none" w:pos="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jc w:val="right"/>
        <w:ind w:right="4460"/>
        <w:spacing w:after="0"/>
        <w:rPr>
          <w:sz w:val="20"/>
          <w:szCs w:val="20"/>
          <w:color w:val="auto"/>
        </w:rPr>
      </w:pPr>
      <w:r>
        <w:rPr>
          <w:rFonts w:ascii="Arial" w:cs="Arial" w:eastAsia="Arial" w:hAnsi="Arial"/>
          <w:sz w:val="18"/>
          <w:szCs w:val="18"/>
          <w:b w:val="1"/>
          <w:bCs w:val="1"/>
          <w:color w:val="auto"/>
        </w:rPr>
        <w:t>Commission File Number 1-12744</w:t>
      </w:r>
    </w:p>
    <w:p>
      <w:pPr>
        <w:sectPr>
          <w:pgSz w:w="11900" w:h="16838" w:orient="portrait"/>
          <w:cols w:equalWidth="0" w:num="1">
            <w:col w:w="11460"/>
          </w:cols>
          <w:pgMar w:left="240" w:top="568" w:right="199" w:bottom="1440" w:gutter="0" w:footer="0" w:header="0"/>
          <w:type w:val="continuous"/>
        </w:sectPr>
      </w:pP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-122555</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9" w:lineRule="exact"/>
        <w:rPr>
          <w:sz w:val="24"/>
          <w:szCs w:val="24"/>
          <w:color w:val="auto"/>
        </w:rPr>
      </w:pPr>
    </w:p>
    <w:tbl>
      <w:tblPr>
        <w:tblLayout w:type="fixed"/>
        <w:tblInd w:w="1340" w:type="dxa"/>
        <w:tblCellMar>
          <w:top w:w="0" w:type="dxa"/>
          <w:left w:w="0" w:type="dxa"/>
          <w:bottom w:w="0" w:type="dxa"/>
          <w:right w:w="0" w:type="dxa"/>
        </w:tblCellMar>
      </w:tblPr>
      <w:tr>
        <w:trPr>
          <w:trHeight w:val="188"/>
        </w:trPr>
        <w:tc>
          <w:tcPr>
            <w:tcW w:w="3220" w:type="dxa"/>
            <w:vAlign w:val="bottom"/>
          </w:tcPr>
          <w:p>
            <w:pPr>
              <w:jc w:val="center"/>
              <w:ind w:right="172"/>
              <w:spacing w:after="0" w:line="189" w:lineRule="exact"/>
              <w:rPr>
                <w:sz w:val="20"/>
                <w:szCs w:val="20"/>
                <w:color w:val="auto"/>
              </w:rPr>
            </w:pPr>
            <w:r>
              <w:rPr>
                <w:rFonts w:ascii="Arial" w:cs="Arial" w:eastAsia="Arial" w:hAnsi="Arial"/>
                <w:sz w:val="18"/>
                <w:szCs w:val="18"/>
                <w:b w:val="1"/>
                <w:bCs w:val="1"/>
                <w:color w:val="auto"/>
                <w:w w:val="92"/>
              </w:rPr>
              <w:t>North Carolina</w:t>
            </w:r>
          </w:p>
        </w:tc>
        <w:tc>
          <w:tcPr>
            <w:tcW w:w="2300" w:type="dxa"/>
            <w:vAlign w:val="bottom"/>
            <w:tcBorders>
              <w:top w:val="single" w:sz="8" w:color="auto"/>
            </w:tcBorders>
          </w:tcPr>
          <w:p>
            <w:pPr>
              <w:spacing w:after="0"/>
              <w:rPr>
                <w:sz w:val="16"/>
                <w:szCs w:val="16"/>
                <w:color w:val="auto"/>
              </w:rPr>
            </w:pPr>
          </w:p>
        </w:tc>
        <w:tc>
          <w:tcPr>
            <w:tcW w:w="2640" w:type="dxa"/>
            <w:vAlign w:val="bottom"/>
          </w:tcPr>
          <w:p>
            <w:pPr>
              <w:jc w:val="center"/>
              <w:ind w:left="812"/>
              <w:spacing w:after="0" w:line="189" w:lineRule="exact"/>
              <w:rPr>
                <w:sz w:val="20"/>
                <w:szCs w:val="20"/>
                <w:color w:val="auto"/>
              </w:rPr>
            </w:pPr>
            <w:r>
              <w:rPr>
                <w:rFonts w:ascii="Arial" w:cs="Arial" w:eastAsia="Arial" w:hAnsi="Arial"/>
                <w:sz w:val="18"/>
                <w:szCs w:val="18"/>
                <w:b w:val="1"/>
                <w:bCs w:val="1"/>
                <w:color w:val="auto"/>
                <w:w w:val="89"/>
              </w:rPr>
              <w:t>56-1848578</w:t>
            </w:r>
          </w:p>
        </w:tc>
      </w:tr>
      <w:tr>
        <w:trPr>
          <w:trHeight w:val="202"/>
        </w:trPr>
        <w:tc>
          <w:tcPr>
            <w:tcW w:w="3220" w:type="dxa"/>
            <w:vAlign w:val="bottom"/>
          </w:tcPr>
          <w:p>
            <w:pPr>
              <w:jc w:val="center"/>
              <w:ind w:right="212"/>
              <w:spacing w:after="0" w:line="201" w:lineRule="exact"/>
              <w:rPr>
                <w:sz w:val="20"/>
                <w:szCs w:val="20"/>
                <w:color w:val="auto"/>
              </w:rPr>
            </w:pPr>
            <w:r>
              <w:rPr>
                <w:rFonts w:ascii="Arial" w:cs="Arial" w:eastAsia="Arial" w:hAnsi="Arial"/>
                <w:sz w:val="18"/>
                <w:szCs w:val="18"/>
                <w:b w:val="1"/>
                <w:bCs w:val="1"/>
                <w:color w:val="auto"/>
                <w:w w:val="89"/>
              </w:rPr>
              <w:t>(State or other jurisdiction of</w:t>
            </w:r>
          </w:p>
        </w:tc>
        <w:tc>
          <w:tcPr>
            <w:tcW w:w="2300" w:type="dxa"/>
            <w:vAlign w:val="bottom"/>
          </w:tcPr>
          <w:p>
            <w:pPr>
              <w:spacing w:after="0"/>
              <w:rPr>
                <w:sz w:val="17"/>
                <w:szCs w:val="17"/>
                <w:color w:val="auto"/>
              </w:rPr>
            </w:pPr>
          </w:p>
        </w:tc>
        <w:tc>
          <w:tcPr>
            <w:tcW w:w="2640" w:type="dxa"/>
            <w:vAlign w:val="bottom"/>
          </w:tcPr>
          <w:p>
            <w:pPr>
              <w:jc w:val="center"/>
              <w:ind w:left="832"/>
              <w:spacing w:after="0" w:line="201" w:lineRule="exact"/>
              <w:rPr>
                <w:sz w:val="20"/>
                <w:szCs w:val="20"/>
                <w:color w:val="auto"/>
              </w:rPr>
            </w:pPr>
            <w:r>
              <w:rPr>
                <w:rFonts w:ascii="Arial" w:cs="Arial" w:eastAsia="Arial" w:hAnsi="Arial"/>
                <w:sz w:val="18"/>
                <w:szCs w:val="18"/>
                <w:b w:val="1"/>
                <w:bCs w:val="1"/>
                <w:color w:val="auto"/>
                <w:w w:val="92"/>
              </w:rPr>
              <w:t>(I.R.S. Employer</w:t>
            </w:r>
          </w:p>
        </w:tc>
      </w:tr>
      <w:tr>
        <w:trPr>
          <w:trHeight w:val="229"/>
        </w:trPr>
        <w:tc>
          <w:tcPr>
            <w:tcW w:w="3220" w:type="dxa"/>
            <w:vAlign w:val="bottom"/>
          </w:tcPr>
          <w:p>
            <w:pPr>
              <w:jc w:val="center"/>
              <w:ind w:right="212"/>
              <w:spacing w:after="0"/>
              <w:rPr>
                <w:sz w:val="20"/>
                <w:szCs w:val="20"/>
                <w:color w:val="auto"/>
              </w:rPr>
            </w:pPr>
            <w:r>
              <w:rPr>
                <w:rFonts w:ascii="Arial" w:cs="Arial" w:eastAsia="Arial" w:hAnsi="Arial"/>
                <w:sz w:val="18"/>
                <w:szCs w:val="18"/>
                <w:b w:val="1"/>
                <w:bCs w:val="1"/>
                <w:color w:val="auto"/>
                <w:w w:val="90"/>
              </w:rPr>
              <w:t>incorporation or organization)</w:t>
            </w:r>
          </w:p>
        </w:tc>
        <w:tc>
          <w:tcPr>
            <w:tcW w:w="2300" w:type="dxa"/>
            <w:vAlign w:val="bottom"/>
          </w:tcPr>
          <w:p>
            <w:pPr>
              <w:spacing w:after="0"/>
              <w:rPr>
                <w:sz w:val="19"/>
                <w:szCs w:val="19"/>
                <w:color w:val="auto"/>
              </w:rPr>
            </w:pPr>
          </w:p>
        </w:tc>
        <w:tc>
          <w:tcPr>
            <w:tcW w:w="2640" w:type="dxa"/>
            <w:vAlign w:val="bottom"/>
          </w:tcPr>
          <w:p>
            <w:pPr>
              <w:jc w:val="center"/>
              <w:ind w:left="812"/>
              <w:spacing w:after="0"/>
              <w:rPr>
                <w:sz w:val="20"/>
                <w:szCs w:val="20"/>
                <w:color w:val="auto"/>
              </w:rPr>
            </w:pPr>
            <w:r>
              <w:rPr>
                <w:rFonts w:ascii="Arial" w:cs="Arial" w:eastAsia="Arial" w:hAnsi="Arial"/>
                <w:sz w:val="18"/>
                <w:szCs w:val="18"/>
                <w:b w:val="1"/>
                <w:bCs w:val="1"/>
                <w:color w:val="auto"/>
                <w:w w:val="91"/>
              </w:rPr>
              <w:t>Identification Number)</w:t>
            </w:r>
          </w:p>
        </w:tc>
      </w:tr>
      <w:tr>
        <w:trPr>
          <w:trHeight w:val="389"/>
        </w:trPr>
        <w:tc>
          <w:tcPr>
            <w:tcW w:w="3220" w:type="dxa"/>
            <w:vAlign w:val="bottom"/>
          </w:tcPr>
          <w:p>
            <w:pPr>
              <w:jc w:val="center"/>
              <w:ind w:right="212"/>
              <w:spacing w:after="0"/>
              <w:rPr>
                <w:sz w:val="20"/>
                <w:szCs w:val="20"/>
                <w:color w:val="auto"/>
              </w:rPr>
            </w:pPr>
            <w:r>
              <w:rPr>
                <w:rFonts w:ascii="Arial" w:cs="Arial" w:eastAsia="Arial" w:hAnsi="Arial"/>
                <w:sz w:val="18"/>
                <w:szCs w:val="18"/>
                <w:b w:val="1"/>
                <w:bCs w:val="1"/>
                <w:color w:val="auto"/>
                <w:w w:val="90"/>
              </w:rPr>
              <w:t>2710 Wycliff Road, Raleigh, NC</w:t>
            </w:r>
          </w:p>
        </w:tc>
        <w:tc>
          <w:tcPr>
            <w:tcW w:w="4940" w:type="dxa"/>
            <w:vAlign w:val="bottom"/>
            <w:gridSpan w:val="2"/>
          </w:tcPr>
          <w:p>
            <w:pPr>
              <w:jc w:val="center"/>
              <w:ind w:left="3112"/>
              <w:spacing w:after="0"/>
              <w:rPr>
                <w:sz w:val="20"/>
                <w:szCs w:val="20"/>
                <w:color w:val="auto"/>
              </w:rPr>
            </w:pPr>
            <w:r>
              <w:rPr>
                <w:rFonts w:ascii="Arial" w:cs="Arial" w:eastAsia="Arial" w:hAnsi="Arial"/>
                <w:sz w:val="18"/>
                <w:szCs w:val="18"/>
                <w:b w:val="1"/>
                <w:bCs w:val="1"/>
                <w:color w:val="auto"/>
                <w:w w:val="89"/>
              </w:rPr>
              <w:t>27607-3033</w:t>
            </w:r>
          </w:p>
        </w:tc>
      </w:tr>
      <w:tr>
        <w:trPr>
          <w:trHeight w:val="222"/>
        </w:trPr>
        <w:tc>
          <w:tcPr>
            <w:tcW w:w="3220" w:type="dxa"/>
            <w:vAlign w:val="bottom"/>
          </w:tcPr>
          <w:p>
            <w:pPr>
              <w:jc w:val="center"/>
              <w:ind w:right="21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300" w:type="dxa"/>
            <w:vAlign w:val="bottom"/>
          </w:tcPr>
          <w:p>
            <w:pPr>
              <w:spacing w:after="0"/>
              <w:rPr>
                <w:sz w:val="19"/>
                <w:szCs w:val="19"/>
                <w:color w:val="auto"/>
              </w:rPr>
            </w:pPr>
          </w:p>
        </w:tc>
        <w:tc>
          <w:tcPr>
            <w:tcW w:w="2640" w:type="dxa"/>
            <w:vAlign w:val="bottom"/>
          </w:tcPr>
          <w:p>
            <w:pPr>
              <w:jc w:val="center"/>
              <w:ind w:left="812"/>
              <w:spacing w:after="0"/>
              <w:rPr>
                <w:sz w:val="20"/>
                <w:szCs w:val="20"/>
                <w:color w:val="auto"/>
              </w:rPr>
            </w:pPr>
            <w:r>
              <w:rPr>
                <w:rFonts w:ascii="Arial" w:cs="Arial" w:eastAsia="Arial" w:hAnsi="Arial"/>
                <w:sz w:val="18"/>
                <w:szCs w:val="18"/>
                <w:b w:val="1"/>
                <w:bCs w:val="1"/>
                <w:color w:val="auto"/>
                <w:w w:val="92"/>
              </w:rPr>
              <w:t>(Zip Code)</w:t>
            </w:r>
          </w:p>
        </w:tc>
      </w:tr>
    </w:tbl>
    <w:p>
      <w:pPr>
        <w:jc w:val="center"/>
        <w:ind w:right="40"/>
        <w:spacing w:after="0" w:line="233" w:lineRule="auto"/>
        <w:rPr>
          <w:sz w:val="20"/>
          <w:szCs w:val="20"/>
          <w:color w:val="auto"/>
        </w:rPr>
      </w:pPr>
      <w:r>
        <w:rPr>
          <w:rFonts w:ascii="Arial" w:cs="Arial" w:eastAsia="Arial" w:hAnsi="Arial"/>
          <w:sz w:val="18"/>
          <w:szCs w:val="18"/>
          <w:b w:val="1"/>
          <w:bCs w:val="1"/>
          <w:color w:val="auto"/>
        </w:rPr>
        <w:t>Registrant’s telephone number, including area code 919-781-4550</w:t>
      </w:r>
    </w:p>
    <w:p>
      <w:pPr>
        <w:jc w:val="center"/>
        <w:ind w:right="40"/>
        <w:spacing w:after="0" w:line="234" w:lineRule="auto"/>
        <w:rPr>
          <w:sz w:val="20"/>
          <w:szCs w:val="20"/>
          <w:color w:val="auto"/>
        </w:rPr>
      </w:pPr>
      <w:r>
        <w:rPr>
          <w:rFonts w:ascii="Arial" w:cs="Arial" w:eastAsia="Arial" w:hAnsi="Arial"/>
          <w:sz w:val="18"/>
          <w:szCs w:val="18"/>
          <w:b w:val="1"/>
          <w:bCs w:val="1"/>
          <w:color w:val="auto"/>
        </w:rPr>
        <w:t>Former name: None</w:t>
      </w:r>
    </w:p>
    <w:p>
      <w:pPr>
        <w:jc w:val="center"/>
        <w:ind w:right="40"/>
        <w:spacing w:after="0" w:line="234" w:lineRule="auto"/>
        <w:rPr>
          <w:sz w:val="20"/>
          <w:szCs w:val="20"/>
          <w:color w:val="auto"/>
        </w:rPr>
      </w:pPr>
      <w:r>
        <w:rPr>
          <w:rFonts w:ascii="Arial" w:cs="Arial" w:eastAsia="Arial" w:hAnsi="Arial"/>
          <w:sz w:val="18"/>
          <w:szCs w:val="18"/>
          <w:b w:val="1"/>
          <w:bCs w:val="1"/>
          <w:color w:val="auto"/>
        </w:rPr>
        <w:t>Former name, former address and former fiscal year, if changes since last report.</w:t>
      </w:r>
    </w:p>
    <w:p>
      <w:pPr>
        <w:spacing w:after="0" w:line="1" w:lineRule="exact"/>
        <w:rPr>
          <w:sz w:val="24"/>
          <w:szCs w:val="24"/>
          <w:color w:val="auto"/>
        </w:rPr>
      </w:pPr>
    </w:p>
    <w:p>
      <w:pPr>
        <w:jc w:val="both"/>
        <w:ind w:right="40"/>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40"/>
        <w:spacing w:after="0" w:line="204"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ab/>
        <w:t xml:space="preserve">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40"/>
        <w:spacing w:after="0" w:line="23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40"/>
        <w:spacing w:after="0" w:line="204"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ab/>
        <w:t xml:space="preserve">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4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640" w:type="dxa"/>
            <w:vAlign w:val="bottom"/>
          </w:tcPr>
          <w:p>
            <w:pPr>
              <w:ind w:left="40"/>
              <w:spacing w:after="0"/>
              <w:rPr>
                <w:sz w:val="20"/>
                <w:szCs w:val="20"/>
                <w:color w:val="auto"/>
              </w:rPr>
            </w:pPr>
            <w:r>
              <w:rPr>
                <w:rFonts w:ascii="Arial" w:cs="Arial" w:eastAsia="Arial" w:hAnsi="Arial"/>
                <w:sz w:val="18"/>
                <w:szCs w:val="18"/>
                <w:color w:val="auto"/>
                <w:w w:val="88"/>
              </w:rPr>
              <w:t>Large accelerated filer</w:t>
            </w:r>
          </w:p>
        </w:tc>
        <w:tc>
          <w:tcPr>
            <w:tcW w:w="4080" w:type="dxa"/>
            <w:vAlign w:val="bottom"/>
            <w:gridSpan w:val="2"/>
          </w:tcPr>
          <w:p>
            <w:pPr>
              <w:ind w:left="1900"/>
              <w:spacing w:after="0" w:line="171" w:lineRule="exact"/>
              <w:rPr>
                <w:sz w:val="20"/>
                <w:szCs w:val="20"/>
                <w:color w:val="auto"/>
              </w:rPr>
            </w:pPr>
            <w:r>
              <w:rPr>
                <w:rFonts w:ascii="MS PGothic" w:cs="MS PGothic" w:eastAsia="MS PGothic" w:hAnsi="MS PGothic"/>
                <w:sz w:val="17"/>
                <w:szCs w:val="17"/>
                <w:color w:val="auto"/>
              </w:rPr>
              <w:t>☑</w:t>
            </w:r>
          </w:p>
        </w:tc>
        <w:tc>
          <w:tcPr>
            <w:tcW w:w="120" w:type="dxa"/>
            <w:vAlign w:val="bottom"/>
          </w:tcPr>
          <w:p>
            <w:pPr>
              <w:spacing w:after="0"/>
              <w:rPr>
                <w:sz w:val="22"/>
                <w:szCs w:val="22"/>
                <w:color w:val="auto"/>
              </w:rPr>
            </w:pPr>
          </w:p>
        </w:tc>
        <w:tc>
          <w:tcPr>
            <w:tcW w:w="4740" w:type="dxa"/>
            <w:vAlign w:val="bottom"/>
          </w:tcPr>
          <w:p>
            <w:pPr>
              <w:ind w:left="18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0" w:type="dxa"/>
            <w:vAlign w:val="bottom"/>
          </w:tcPr>
          <w:p>
            <w:pPr>
              <w:spacing w:after="0"/>
              <w:rPr>
                <w:sz w:val="22"/>
                <w:szCs w:val="22"/>
                <w:color w:val="auto"/>
              </w:rPr>
            </w:pPr>
          </w:p>
        </w:tc>
      </w:tr>
      <w:tr>
        <w:trPr>
          <w:trHeight w:val="36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4080" w:type="dxa"/>
            <w:vAlign w:val="bottom"/>
            <w:gridSpan w:val="2"/>
          </w:tcPr>
          <w:p>
            <w:pPr>
              <w:ind w:left="1900"/>
              <w:spacing w:after="0" w:line="171" w:lineRule="exact"/>
              <w:rPr>
                <w:sz w:val="20"/>
                <w:szCs w:val="20"/>
                <w:color w:val="auto"/>
              </w:rPr>
            </w:pPr>
            <w:r>
              <w:rPr>
                <w:rFonts w:ascii="MS PGothic" w:cs="MS PGothic" w:eastAsia="MS PGothic" w:hAnsi="MS PGothic"/>
                <w:sz w:val="17"/>
                <w:szCs w:val="17"/>
                <w:color w:val="auto"/>
              </w:rPr>
              <w:t>☐</w:t>
            </w:r>
          </w:p>
        </w:tc>
        <w:tc>
          <w:tcPr>
            <w:tcW w:w="120" w:type="dxa"/>
            <w:vAlign w:val="bottom"/>
          </w:tcPr>
          <w:p>
            <w:pPr>
              <w:spacing w:after="0"/>
              <w:rPr>
                <w:sz w:val="24"/>
                <w:szCs w:val="24"/>
                <w:color w:val="auto"/>
              </w:rPr>
            </w:pPr>
          </w:p>
        </w:tc>
        <w:tc>
          <w:tcPr>
            <w:tcW w:w="4740" w:type="dxa"/>
            <w:vAlign w:val="bottom"/>
          </w:tcPr>
          <w:p>
            <w:pPr>
              <w:jc w:val="center"/>
              <w:ind w:left="752"/>
              <w:spacing w:after="0"/>
              <w:rPr>
                <w:sz w:val="20"/>
                <w:szCs w:val="20"/>
                <w:color w:val="auto"/>
              </w:rPr>
            </w:pPr>
            <w:r>
              <w:rPr>
                <w:rFonts w:ascii="Arial" w:cs="Arial" w:eastAsia="Arial" w:hAnsi="Arial"/>
                <w:sz w:val="18"/>
                <w:szCs w:val="18"/>
                <w:color w:val="auto"/>
                <w:w w:val="90"/>
              </w:rPr>
              <w:t>Smaller reporting company</w:t>
            </w:r>
          </w:p>
        </w:tc>
        <w:tc>
          <w:tcPr>
            <w:tcW w:w="8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0" w:type="dxa"/>
            <w:vAlign w:val="bottom"/>
          </w:tcPr>
          <w:p>
            <w:pPr>
              <w:spacing w:after="0"/>
              <w:rPr>
                <w:sz w:val="24"/>
                <w:szCs w:val="24"/>
                <w:color w:val="auto"/>
              </w:rPr>
            </w:pPr>
          </w:p>
        </w:tc>
      </w:tr>
      <w:tr>
        <w:trPr>
          <w:trHeight w:val="177"/>
        </w:trPr>
        <w:tc>
          <w:tcPr>
            <w:tcW w:w="10580" w:type="dxa"/>
            <w:vAlign w:val="bottom"/>
            <w:gridSpan w:val="5"/>
          </w:tcPr>
          <w:p>
            <w:pPr>
              <w:spacing w:after="0" w:line="17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6"/>
        </w:trPr>
        <w:tc>
          <w:tcPr>
            <w:tcW w:w="1640" w:type="dxa"/>
            <w:vAlign w:val="bottom"/>
          </w:tcPr>
          <w:p>
            <w:pPr>
              <w:spacing w:after="0"/>
              <w:rPr>
                <w:sz w:val="19"/>
                <w:szCs w:val="19"/>
                <w:color w:val="auto"/>
              </w:rPr>
            </w:pPr>
          </w:p>
        </w:tc>
        <w:tc>
          <w:tcPr>
            <w:tcW w:w="4080" w:type="dxa"/>
            <w:vAlign w:val="bottom"/>
            <w:gridSpan w:val="2"/>
          </w:tcPr>
          <w:p>
            <w:pPr>
              <w:ind w:left="34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p>
        </w:tc>
        <w:tc>
          <w:tcPr>
            <w:tcW w:w="48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6"/>
                <w:szCs w:val="16"/>
                <w:color w:val="auto"/>
              </w:rPr>
              <w:t>☑</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1058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5"/>
        </w:trPr>
        <w:tc>
          <w:tcPr>
            <w:tcW w:w="1640" w:type="dxa"/>
            <w:vAlign w:val="bottom"/>
          </w:tcPr>
          <w:p>
            <w:pPr>
              <w:spacing w:after="0"/>
              <w:rPr>
                <w:sz w:val="24"/>
                <w:szCs w:val="24"/>
                <w:color w:val="auto"/>
              </w:rPr>
            </w:pPr>
          </w:p>
        </w:tc>
        <w:tc>
          <w:tcPr>
            <w:tcW w:w="408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24"/>
                <w:szCs w:val="24"/>
                <w:color w:val="auto"/>
              </w:rPr>
            </w:pPr>
          </w:p>
        </w:tc>
        <w:tc>
          <w:tcPr>
            <w:tcW w:w="474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Outstanding as of October 28, 2016</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64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jc w:val="center"/>
              <w:ind w:right="1553"/>
              <w:spacing w:after="0"/>
              <w:rPr>
                <w:sz w:val="20"/>
                <w:szCs w:val="20"/>
                <w:color w:val="auto"/>
              </w:rPr>
            </w:pPr>
            <w:r>
              <w:rPr>
                <w:rFonts w:ascii="Arial" w:cs="Arial" w:eastAsia="Arial" w:hAnsi="Arial"/>
                <w:sz w:val="18"/>
                <w:szCs w:val="18"/>
                <w:color w:val="auto"/>
                <w:w w:val="88"/>
              </w:rPr>
              <w:t>Common Stock, $0.01 par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Borders>
              <w:top w:val="single" w:sz="8" w:color="auto"/>
            </w:tcBorders>
          </w:tcPr>
          <w:p>
            <w:pPr>
              <w:jc w:val="center"/>
              <w:ind w:left="772"/>
              <w:spacing w:after="0"/>
              <w:rPr>
                <w:sz w:val="20"/>
                <w:szCs w:val="20"/>
                <w:color w:val="auto"/>
              </w:rPr>
            </w:pPr>
            <w:r>
              <w:rPr>
                <w:rFonts w:ascii="Arial" w:cs="Arial" w:eastAsia="Arial" w:hAnsi="Arial"/>
                <w:sz w:val="18"/>
                <w:szCs w:val="18"/>
                <w:color w:val="auto"/>
                <w:w w:val="88"/>
              </w:rPr>
              <w:t>63,466,170</w:t>
            </w: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42"/>
        </w:trPr>
        <w:tc>
          <w:tcPr>
            <w:tcW w:w="1640" w:type="dxa"/>
            <w:vAlign w:val="bottom"/>
            <w:tcBorders>
              <w:bottom w:val="single" w:sz="8" w:color="auto"/>
            </w:tcBorders>
          </w:tcPr>
          <w:p>
            <w:pPr>
              <w:spacing w:after="0"/>
              <w:rPr>
                <w:sz w:val="12"/>
                <w:szCs w:val="12"/>
                <w:color w:val="auto"/>
              </w:rPr>
            </w:pPr>
          </w:p>
        </w:tc>
        <w:tc>
          <w:tcPr>
            <w:tcW w:w="3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30"/>
        </w:trPr>
        <w:tc>
          <w:tcPr>
            <w:tcW w:w="1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045"/>
        </w:trPr>
        <w:tc>
          <w:tcPr>
            <w:tcW w:w="16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568" w:right="1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860" w:type="dxa"/>
            <w:vAlign w:val="bottom"/>
            <w:gridSpan w:val="19"/>
            <w:vMerge w:val="restart"/>
          </w:tcPr>
          <w:p>
            <w:pPr>
              <w:spacing w:after="0"/>
              <w:rPr>
                <w:sz w:val="20"/>
                <w:szCs w:val="20"/>
                <w:color w:val="auto"/>
              </w:rPr>
            </w:pPr>
            <w:r>
              <w:rPr>
                <w:rFonts w:ascii="Arial" w:cs="Arial" w:eastAsia="Arial" w:hAnsi="Arial"/>
                <w:sz w:val="18"/>
                <w:szCs w:val="18"/>
                <w:color w:val="auto"/>
              </w:rPr>
              <w:t>Part I. Financial Information:</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1"/>
        </w:trPr>
        <w:tc>
          <w:tcPr>
            <w:tcW w:w="10860" w:type="dxa"/>
            <w:vAlign w:val="bottom"/>
            <w:gridSpan w:val="19"/>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0" w:type="dxa"/>
            <w:vAlign w:val="bottom"/>
          </w:tcPr>
          <w:p>
            <w:pPr>
              <w:spacing w:after="0"/>
              <w:rPr>
                <w:sz w:val="24"/>
                <w:szCs w:val="24"/>
                <w:color w:val="auto"/>
              </w:rPr>
            </w:pPr>
          </w:p>
        </w:tc>
        <w:tc>
          <w:tcPr>
            <w:tcW w:w="106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r>
              <w:rPr>
                <w:rFonts w:ascii="Arial" w:cs="Arial" w:eastAsia="Arial" w:hAnsi="Arial"/>
                <w:sz w:val="18"/>
                <w:szCs w:val="18"/>
                <w:color w:val="000000"/>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September 30, 2016, December 31, 2015 and September 30, 2015</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17"/>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Earnings and Comprehensive Earnings – Three and Nine Months Ended September 30, 2016 and 2015</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80" w:type="dxa"/>
            <w:vAlign w:val="bottom"/>
            <w:tcBorders>
              <w:top w:val="single" w:sz="8" w:color="0000EE"/>
            </w:tcBorders>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Nine Months Ended September 30, 2016 and 2015</w:t>
              </w:r>
            </w:hyperlink>
          </w:p>
        </w:tc>
        <w:tc>
          <w:tcPr>
            <w:tcW w:w="7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Total Equity - Nine Months Ended September 30, 2016</w:t>
              </w:r>
            </w:hyperlink>
          </w:p>
        </w:tc>
        <w:tc>
          <w:tcPr>
            <w:tcW w:w="35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Notes to Consolidated Financial Statements</w:t>
              </w:r>
            </w:hyperlink>
          </w:p>
        </w:tc>
        <w:tc>
          <w:tcPr>
            <w:tcW w:w="2860" w:type="dxa"/>
            <w:vAlign w:val="bottom"/>
            <w:tcBorders>
              <w:top w:val="single" w:sz="8" w:color="0000EE"/>
            </w:tcBorders>
            <w:gridSpan w:val="3"/>
          </w:tcPr>
          <w:p>
            <w:pPr>
              <w:spacing w:after="0"/>
              <w:rPr>
                <w:sz w:val="24"/>
                <w:szCs w:val="24"/>
                <w:color w:val="auto"/>
              </w:rPr>
            </w:pPr>
          </w:p>
        </w:tc>
        <w:tc>
          <w:tcPr>
            <w:tcW w:w="436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106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r>
              <w:rPr>
                <w:rFonts w:ascii="Arial" w:cs="Arial" w:eastAsia="Arial" w:hAnsi="Arial"/>
                <w:sz w:val="18"/>
                <w:szCs w:val="18"/>
                <w:color w:val="000000"/>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7200" w:type="dxa"/>
            <w:vAlign w:val="bottom"/>
            <w:tcBorders>
              <w:top w:val="single" w:sz="8" w:color="0000EE"/>
            </w:tcBorders>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3. Quantitative and Qualitative Disclosures About Market Risk</w:t>
              </w:r>
            </w:hyperlink>
            <w:r>
              <w:rPr>
                <w:rFonts w:ascii="Arial" w:cs="Arial" w:eastAsia="Arial" w:hAnsi="Arial"/>
                <w:sz w:val="18"/>
                <w:szCs w:val="18"/>
                <w:color w:val="000000"/>
              </w:rPr>
              <w:t>.</w:t>
            </w:r>
          </w:p>
        </w:tc>
        <w:tc>
          <w:tcPr>
            <w:tcW w:w="34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5040" w:type="dxa"/>
            <w:vAlign w:val="bottom"/>
            <w:tcBorders>
              <w:top w:val="single" w:sz="8" w:color="0000EE"/>
            </w:tcBorders>
            <w:gridSpan w:val="1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4. Controls and Procedures</w:t>
              </w:r>
            </w:hyperlink>
            <w:r>
              <w:rPr>
                <w:rFonts w:ascii="Arial" w:cs="Arial" w:eastAsia="Arial" w:hAnsi="Arial"/>
                <w:sz w:val="18"/>
                <w:szCs w:val="18"/>
                <w:color w:val="000000"/>
              </w:rPr>
              <w:t>.</w:t>
            </w:r>
          </w:p>
        </w:tc>
        <w:tc>
          <w:tcPr>
            <w:tcW w:w="56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10860" w:type="dxa"/>
            <w:vAlign w:val="bottom"/>
            <w:gridSpan w:val="19"/>
          </w:tcPr>
          <w:p>
            <w:pPr>
              <w:spacing w:after="0"/>
              <w:rPr>
                <w:sz w:val="20"/>
                <w:szCs w:val="20"/>
                <w:color w:val="auto"/>
              </w:rPr>
            </w:pPr>
            <w:r>
              <w:rPr>
                <w:rFonts w:ascii="Arial" w:cs="Arial" w:eastAsia="Arial" w:hAnsi="Arial"/>
                <w:sz w:val="18"/>
                <w:szCs w:val="18"/>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1.</w:t>
              </w:r>
            </w:hyperlink>
          </w:p>
        </w:tc>
        <w:tc>
          <w:tcPr>
            <w:tcW w:w="10120" w:type="dxa"/>
            <w:vAlign w:val="bottom"/>
            <w:gridSpan w:val="16"/>
          </w:tcPr>
          <w:p>
            <w:pPr>
              <w:ind w:left="40"/>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r>
              <w:rPr>
                <w:rFonts w:ascii="Arial" w:cs="Arial" w:eastAsia="Arial" w:hAnsi="Arial"/>
                <w:sz w:val="18"/>
                <w:szCs w:val="18"/>
                <w:color w:val="000000"/>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1A. Risk Factors</w:t>
              </w:r>
            </w:hyperlink>
            <w:r>
              <w:rPr>
                <w:rFonts w:ascii="Arial" w:cs="Arial" w:eastAsia="Arial" w:hAnsi="Arial"/>
                <w:sz w:val="18"/>
                <w:szCs w:val="18"/>
                <w:color w:val="000000"/>
              </w:rPr>
              <w:t>.</w:t>
            </w:r>
          </w:p>
        </w:tc>
        <w:tc>
          <w:tcPr>
            <w:tcW w:w="87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2.</w:t>
              </w:r>
            </w:hyperlink>
          </w:p>
        </w:tc>
        <w:tc>
          <w:tcPr>
            <w:tcW w:w="10120" w:type="dxa"/>
            <w:vAlign w:val="bottom"/>
            <w:gridSpan w:val="16"/>
          </w:tcPr>
          <w:p>
            <w:pPr>
              <w:ind w:left="40"/>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4.</w:t>
              </w:r>
            </w:hyperlink>
          </w:p>
        </w:tc>
        <w:tc>
          <w:tcPr>
            <w:tcW w:w="4540" w:type="dxa"/>
            <w:vAlign w:val="bottom"/>
            <w:tcBorders>
              <w:top w:val="single" w:sz="8" w:color="0000EE"/>
            </w:tcBorders>
            <w:gridSpan w:val="10"/>
          </w:tcPr>
          <w:p>
            <w:pPr>
              <w:ind w:left="40"/>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55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6.</w:t>
              </w:r>
            </w:hyperlink>
          </w:p>
        </w:tc>
        <w:tc>
          <w:tcPr>
            <w:tcW w:w="1840" w:type="dxa"/>
            <w:vAlign w:val="bottom"/>
            <w:tcBorders>
              <w:top w:val="single" w:sz="8" w:color="0000EE"/>
            </w:tcBorders>
            <w:gridSpan w:val="7"/>
          </w:tcPr>
          <w:p>
            <w:pPr>
              <w:ind w:left="40"/>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r>
              <w:rPr>
                <w:rFonts w:ascii="Arial" w:cs="Arial" w:eastAsia="Arial" w:hAnsi="Arial"/>
                <w:sz w:val="18"/>
                <w:szCs w:val="18"/>
                <w:color w:val="000000"/>
              </w:rPr>
              <w:t>.</w:t>
            </w:r>
          </w:p>
        </w:tc>
        <w:tc>
          <w:tcPr>
            <w:tcW w:w="82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8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86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2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Exhibit Index</w:t>
              </w:r>
            </w:hyperlink>
          </w:p>
        </w:tc>
        <w:tc>
          <w:tcPr>
            <w:tcW w:w="98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PART I. FINANCIAL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BALANCE SHEETS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5"/>
                <w:szCs w:val="15"/>
                <w:color w:val="auto"/>
              </w:rPr>
              <w:t>September 30,</w:t>
            </w:r>
          </w:p>
        </w:tc>
        <w:tc>
          <w:tcPr>
            <w:tcW w:w="240" w:type="dxa"/>
            <w:vAlign w:val="bottom"/>
          </w:tcPr>
          <w:p>
            <w:pPr>
              <w:spacing w:after="0"/>
              <w:rPr>
                <w:sz w:val="16"/>
                <w:szCs w:val="16"/>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5"/>
                <w:szCs w:val="15"/>
                <w:color w:val="auto"/>
                <w:w w:val="89"/>
              </w:rPr>
              <w:t>December 31,</w:t>
            </w:r>
          </w:p>
        </w:tc>
        <w:tc>
          <w:tcPr>
            <w:tcW w:w="36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5"/>
                <w:szCs w:val="15"/>
                <w:color w:val="auto"/>
                <w:w w:val="89"/>
              </w:rPr>
              <w:t>September 30,</w:t>
            </w:r>
          </w:p>
        </w:tc>
        <w:tc>
          <w:tcPr>
            <w:tcW w:w="0" w:type="dxa"/>
            <w:vAlign w:val="bottom"/>
          </w:tcPr>
          <w:p>
            <w:pPr>
              <w:spacing w:after="0"/>
              <w:rPr>
                <w:sz w:val="1"/>
                <w:szCs w:val="1"/>
                <w:color w:val="auto"/>
              </w:rPr>
            </w:pPr>
          </w:p>
        </w:tc>
      </w:tr>
      <w:tr>
        <w:trPr>
          <w:trHeight w:val="205"/>
        </w:trPr>
        <w:tc>
          <w:tcPr>
            <w:tcW w:w="5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color w:val="auto"/>
                <w:w w:val="89"/>
              </w:rPr>
              <w:t>2015</w:t>
            </w: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60" w:type="dxa"/>
            <w:vAlign w:val="bottom"/>
            <w:gridSpan w:val="6"/>
          </w:tcPr>
          <w:p>
            <w:pPr>
              <w:jc w:val="center"/>
              <w:ind w:left="964"/>
              <w:spacing w:after="0"/>
              <w:rPr>
                <w:sz w:val="20"/>
                <w:szCs w:val="20"/>
                <w:color w:val="auto"/>
              </w:rPr>
            </w:pPr>
            <w:r>
              <w:rPr>
                <w:rFonts w:ascii="Arial" w:cs="Arial" w:eastAsia="Arial" w:hAnsi="Arial"/>
                <w:sz w:val="15"/>
                <w:szCs w:val="15"/>
                <w:i w:val="1"/>
                <w:iCs w:val="1"/>
                <w:color w:val="auto"/>
                <w:w w:val="92"/>
              </w:rPr>
              <w:t>(Dollars in Thousands, Except Per Share Data)</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Current Assets: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60,684</w:t>
            </w:r>
          </w:p>
        </w:tc>
        <w:tc>
          <w:tcPr>
            <w:tcW w:w="2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168,409</w:t>
            </w:r>
          </w:p>
        </w:tc>
        <w:tc>
          <w:tcPr>
            <w:tcW w:w="28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436,429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Accounts receivable, net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566,425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410,921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577,424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Inventories, net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508,199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469,141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464,525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56,217</w:t>
            </w: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33,164</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37,427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Total Current Assets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1,191,525</w:t>
            </w:r>
          </w:p>
        </w:tc>
        <w:tc>
          <w:tcPr>
            <w:tcW w:w="2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1,081,635</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1,515,805</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Property, plant and equipment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6,013,084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5,613,198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5,488,744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Allowances for depreciation, depletion and amortization</w:t>
            </w: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(2,633,471)</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(2,457,198)</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(2,415,210)</w:t>
            </w:r>
          </w:p>
        </w:tc>
        <w:tc>
          <w:tcPr>
            <w:tcW w:w="0" w:type="dxa"/>
            <w:vAlign w:val="bottom"/>
          </w:tcPr>
          <w:p>
            <w:pPr>
              <w:spacing w:after="0"/>
              <w:rPr>
                <w:sz w:val="1"/>
                <w:szCs w:val="1"/>
                <w:color w:val="auto"/>
              </w:rPr>
            </w:pPr>
          </w:p>
        </w:tc>
      </w:tr>
      <w:tr>
        <w:trPr>
          <w:trHeight w:val="191"/>
        </w:trPr>
        <w:tc>
          <w:tcPr>
            <w:tcW w:w="5860" w:type="dxa"/>
            <w:vAlign w:val="bottom"/>
          </w:tcPr>
          <w:p>
            <w:pPr>
              <w:spacing w:after="0"/>
              <w:rPr>
                <w:sz w:val="20"/>
                <w:szCs w:val="20"/>
                <w:color w:val="auto"/>
              </w:rPr>
            </w:pPr>
            <w:r>
              <w:rPr>
                <w:rFonts w:ascii="Arial" w:cs="Arial" w:eastAsia="Arial" w:hAnsi="Arial"/>
                <w:sz w:val="15"/>
                <w:szCs w:val="15"/>
                <w:color w:val="auto"/>
              </w:rPr>
              <w:t>Net property, plant and equipment</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3,379,613</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3,156,000</w:t>
            </w:r>
          </w:p>
        </w:tc>
        <w:tc>
          <w:tcPr>
            <w:tcW w:w="2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3,073,534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2,160,605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2,068,235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2,065,644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Operating permits, net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444,123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444,725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445,855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Other intangibles, net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70,927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65,827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126,408</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141,189</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142,040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7,373,201</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6,957,611</w:t>
            </w: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7,308,434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Bank overdraft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10,235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Accounts payable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192,738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164,718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226,837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Accrued salaries, benefits and payroll taxes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33,463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30,939</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Pension and postretirement benefits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9,658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8,168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Accrued insurance and other taxes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67,822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62,781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70,509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Current maturities of long-term debt and short-term facilities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228,025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18,713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147,003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Accrued interest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23,060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16,156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50,143</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54,948</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69,208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604,909</w:t>
            </w:r>
          </w:p>
        </w:tc>
        <w:tc>
          <w:tcPr>
            <w:tcW w:w="2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366,658</w:t>
            </w:r>
          </w:p>
        </w:tc>
        <w:tc>
          <w:tcPr>
            <w:tcW w:w="2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574,859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Long-term debt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1,536,810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1,550,061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1,553,768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Pension, postretirement and postemployment benefits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200,152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224,538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229,042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Deferred income taxes, net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676,144</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583,459</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540,079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196,788</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172,718</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158,106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3,214,803</w:t>
            </w:r>
          </w:p>
        </w:tc>
        <w:tc>
          <w:tcPr>
            <w:tcW w:w="2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2,897,434</w:t>
            </w:r>
          </w:p>
        </w:tc>
        <w:tc>
          <w:tcPr>
            <w:tcW w:w="2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3,055,854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Equity:</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Common stock, par value $0.01 per share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Preferred stock, par value $0.01 per share</w:t>
            </w: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3,326,531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3,287,827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3,283,200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(104,511)</w:t>
            </w:r>
          </w:p>
        </w:tc>
        <w:tc>
          <w:tcPr>
            <w:tcW w:w="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(105,622)</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(112,742)</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Retained earnings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932,679</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874,436</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1,079,764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Total Shareholders' Equity</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4,155,332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4,057,284</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4,250,882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Noncontrolling interests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3,066</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2,893</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Total Equity</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4,158,398</w:t>
            </w: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4,060,177</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4,252,580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240"/>
              <w:spacing w:after="0"/>
              <w:rPr>
                <w:sz w:val="20"/>
                <w:szCs w:val="20"/>
                <w:color w:val="auto"/>
              </w:rPr>
            </w:pPr>
            <w:r>
              <w:rPr>
                <w:rFonts w:ascii="Arial" w:cs="Arial" w:eastAsia="Arial" w:hAnsi="Arial"/>
                <w:sz w:val="15"/>
                <w:szCs w:val="15"/>
                <w:color w:val="auto"/>
              </w:rPr>
              <w:t>Total Liabilities and Equity</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7,373,201</w:t>
            </w:r>
          </w:p>
        </w:tc>
        <w:tc>
          <w:tcPr>
            <w:tcW w:w="280" w:type="dxa"/>
            <w:vAlign w:val="bottom"/>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6,957,611</w:t>
            </w:r>
          </w:p>
        </w:tc>
        <w:tc>
          <w:tcPr>
            <w:tcW w:w="28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7,308,434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STATEMENTS OF EARNINGS AND COMPREHENSIVE EARNINGS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7"/>
                <w:szCs w:val="17"/>
                <w:color w:val="auto"/>
                <w:w w:val="89"/>
              </w:rPr>
              <w:t>Three Months Ended</w:t>
            </w:r>
          </w:p>
        </w:tc>
        <w:tc>
          <w:tcPr>
            <w:tcW w:w="16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7"/>
                <w:szCs w:val="17"/>
                <w:color w:val="auto"/>
                <w:w w:val="91"/>
              </w:rPr>
              <w:t>Nine Months Ended</w:t>
            </w:r>
          </w:p>
        </w:tc>
        <w:tc>
          <w:tcPr>
            <w:tcW w:w="0" w:type="dxa"/>
            <w:vAlign w:val="bottom"/>
          </w:tcPr>
          <w:p>
            <w:pPr>
              <w:spacing w:after="0"/>
              <w:rPr>
                <w:sz w:val="1"/>
                <w:szCs w:val="1"/>
                <w:color w:val="auto"/>
              </w:rPr>
            </w:pPr>
          </w:p>
        </w:tc>
      </w:tr>
      <w:tr>
        <w:trPr>
          <w:trHeight w:val="215"/>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left="556"/>
              <w:spacing w:after="0"/>
              <w:rPr>
                <w:sz w:val="20"/>
                <w:szCs w:val="20"/>
                <w:color w:val="auto"/>
              </w:rPr>
            </w:pPr>
            <w:r>
              <w:rPr>
                <w:rFonts w:ascii="Arial" w:cs="Arial" w:eastAsia="Arial" w:hAnsi="Arial"/>
                <w:sz w:val="17"/>
                <w:szCs w:val="17"/>
                <w:color w:val="auto"/>
                <w:w w:val="87"/>
              </w:rPr>
              <w:t>September 30,</w:t>
            </w: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7"/>
                <w:szCs w:val="17"/>
                <w:color w:val="auto"/>
                <w:w w:val="86"/>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w w:val="95"/>
              </w:rPr>
              <w:t>2015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w w:val="95"/>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7"/>
                <w:szCs w:val="17"/>
                <w:i w:val="1"/>
                <w:iCs w:val="1"/>
                <w:color w:val="auto"/>
                <w:w w:val="88"/>
              </w:rPr>
              <w:t>(In Thousands, Except Per Share</w:t>
            </w:r>
          </w:p>
        </w:tc>
        <w:tc>
          <w:tcPr>
            <w:tcW w:w="160" w:type="dxa"/>
            <w:vAlign w:val="bottom"/>
          </w:tcPr>
          <w:p>
            <w:pPr>
              <w:spacing w:after="0"/>
              <w:rPr>
                <w:sz w:val="16"/>
                <w:szCs w:val="16"/>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7"/>
                <w:szCs w:val="17"/>
                <w:i w:val="1"/>
                <w:iCs w:val="1"/>
                <w:color w:val="auto"/>
                <w:w w:val="88"/>
              </w:rPr>
              <w:t>(In Thousands, Except Per Share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4"/>
          </w:tcPr>
          <w:p>
            <w:pPr>
              <w:jc w:val="center"/>
              <w:ind w:left="556"/>
              <w:spacing w:after="0"/>
              <w:rPr>
                <w:sz w:val="20"/>
                <w:szCs w:val="20"/>
                <w:color w:val="auto"/>
              </w:rPr>
            </w:pPr>
            <w:r>
              <w:rPr>
                <w:rFonts w:ascii="Arial" w:cs="Arial" w:eastAsia="Arial" w:hAnsi="Arial"/>
                <w:sz w:val="17"/>
                <w:szCs w:val="17"/>
                <w:i w:val="1"/>
                <w:iCs w:val="1"/>
                <w:color w:val="auto"/>
                <w:w w:val="91"/>
              </w:rPr>
              <w:t>Data)</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left="876"/>
              <w:spacing w:after="0"/>
              <w:rPr>
                <w:sz w:val="20"/>
                <w:szCs w:val="20"/>
                <w:color w:val="auto"/>
              </w:rPr>
            </w:pPr>
            <w:r>
              <w:rPr>
                <w:rFonts w:ascii="Arial" w:cs="Arial" w:eastAsia="Arial" w:hAnsi="Arial"/>
                <w:sz w:val="17"/>
                <w:szCs w:val="17"/>
                <w:i w:val="1"/>
                <w:iCs w:val="1"/>
                <w:color w:val="auto"/>
                <w:w w:val="96"/>
              </w:rPr>
              <w:t>Data)</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7"/>
                <w:szCs w:val="17"/>
                <w:color w:val="auto"/>
              </w:rPr>
              <w:t>Net Sales</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1,038,344</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1,005,218</w:t>
            </w:r>
          </w:p>
        </w:tc>
        <w:tc>
          <w:tcPr>
            <w:tcW w:w="2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2,687,740</w:t>
            </w:r>
          </w:p>
        </w:tc>
        <w:tc>
          <w:tcPr>
            <w:tcW w:w="26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2,487,342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Freight and delivery revenues</w:t>
            </w:r>
          </w:p>
        </w:tc>
        <w:tc>
          <w:tcPr>
            <w:tcW w:w="7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65,557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77,031</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182,194</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revenues</w:t>
            </w:r>
          </w:p>
        </w:tc>
        <w:tc>
          <w:tcPr>
            <w:tcW w:w="7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1,103,901</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1,082,249</w:t>
            </w: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2,869,934</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2,695,014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Cost of sales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745,776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742,713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2,003,837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1,950,424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Freight and delivery costs</w:t>
            </w:r>
          </w:p>
        </w:tc>
        <w:tc>
          <w:tcPr>
            <w:tcW w:w="7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65,557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77,031</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182,194</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cost of revenues</w:t>
            </w:r>
          </w:p>
        </w:tc>
        <w:tc>
          <w:tcPr>
            <w:tcW w:w="7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811,333</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819,744</w:t>
            </w: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2,186,031</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2,158,096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Gross Profit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292,568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262,505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683,903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536,918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Selling, general &amp; administrative expenses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56,348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54,887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177,718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161,120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Acquisition-related expenses, net</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Other operating (income) and expenses,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(4,441)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26,033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(7,309)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Earnings from Operations</w:t>
            </w:r>
          </w:p>
        </w:tc>
        <w:tc>
          <w:tcPr>
            <w:tcW w:w="7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240,355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179,498</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511,867</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342,052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18,926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60,896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Other nonoperating income,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(10,560)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(4,489)</w:t>
            </w: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(19,690)</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(6,607)</w:t>
            </w:r>
          </w:p>
        </w:tc>
        <w:tc>
          <w:tcPr>
            <w:tcW w:w="0" w:type="dxa"/>
            <w:vAlign w:val="bottom"/>
          </w:tcPr>
          <w:p>
            <w:pPr>
              <w:spacing w:after="0"/>
              <w:rPr>
                <w:sz w:val="1"/>
                <w:szCs w:val="1"/>
                <w:color w:val="auto"/>
              </w:rPr>
            </w:pPr>
          </w:p>
        </w:tc>
      </w:tr>
      <w:tr>
        <w:trPr>
          <w:trHeight w:val="207"/>
        </w:trPr>
        <w:tc>
          <w:tcPr>
            <w:tcW w:w="5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Earnings before taxes on income</w:t>
            </w:r>
          </w:p>
        </w:tc>
        <w:tc>
          <w:tcPr>
            <w:tcW w:w="7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230,347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165,061</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470,661</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291,315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Taxes on income</w:t>
            </w:r>
          </w:p>
        </w:tc>
        <w:tc>
          <w:tcPr>
            <w:tcW w:w="7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70,869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47,483</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144,014</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Consolidated net earnings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159,478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117,578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326,647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205,715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Less: Net (loss) earnings attributable to noncontrolling interests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Earnings Attributable to Martin Marietta Materials, Inc.</w:t>
            </w:r>
          </w:p>
        </w:tc>
        <w:tc>
          <w:tcPr>
            <w:tcW w:w="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vMerge w:val="continue"/>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159,479</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117,544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326,526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205,607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Consolidated Comprehensive Earnings: (See Note 1)</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40"/>
              <w:spacing w:after="0"/>
              <w:rPr>
                <w:sz w:val="20"/>
                <w:szCs w:val="20"/>
                <w:color w:val="auto"/>
              </w:rPr>
            </w:pPr>
            <w:r>
              <w:rPr>
                <w:rFonts w:ascii="Arial" w:cs="Arial" w:eastAsia="Arial" w:hAnsi="Arial"/>
                <w:sz w:val="17"/>
                <w:szCs w:val="17"/>
                <w:color w:val="auto"/>
              </w:rPr>
              <w:t>Earnings attributable to Martin Marietta Materials, Inc.</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161,036</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117,616</w:t>
            </w:r>
          </w:p>
        </w:tc>
        <w:tc>
          <w:tcPr>
            <w:tcW w:w="2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327,637</w:t>
            </w:r>
          </w:p>
        </w:tc>
        <w:tc>
          <w:tcPr>
            <w:tcW w:w="26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199,024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Earnings attributable to noncontrolling interests</w:t>
            </w:r>
          </w:p>
        </w:tc>
        <w:tc>
          <w:tcPr>
            <w:tcW w:w="7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161,055</w:t>
            </w:r>
          </w:p>
        </w:tc>
        <w:tc>
          <w:tcPr>
            <w:tcW w:w="1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117,653</w:t>
            </w:r>
          </w:p>
        </w:tc>
        <w:tc>
          <w:tcPr>
            <w:tcW w:w="28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327,810</w:t>
            </w:r>
          </w:p>
        </w:tc>
        <w:tc>
          <w:tcPr>
            <w:tcW w:w="260" w:type="dxa"/>
            <w:vAlign w:val="bottom"/>
          </w:tcPr>
          <w:p>
            <w:pPr>
              <w:spacing w:after="0"/>
              <w:rPr>
                <w:sz w:val="21"/>
                <w:szCs w:val="21"/>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199,140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020" w:type="dxa"/>
            <w:vAlign w:val="bottom"/>
            <w:tcBorders>
              <w:top w:val="single" w:sz="8" w:color="CFF0FC"/>
            </w:tcBorders>
            <w:shd w:val="clear" w:color="auto" w:fill="CFF0FC"/>
          </w:tcPr>
          <w:p>
            <w:pPr>
              <w:spacing w:after="0" w:line="192" w:lineRule="exact"/>
              <w:rPr>
                <w:sz w:val="20"/>
                <w:szCs w:val="20"/>
                <w:color w:val="auto"/>
              </w:rPr>
            </w:pPr>
            <w:r>
              <w:rPr>
                <w:rFonts w:ascii="Arial" w:cs="Arial" w:eastAsia="Arial" w:hAnsi="Arial"/>
                <w:sz w:val="17"/>
                <w:szCs w:val="17"/>
                <w:color w:val="auto"/>
              </w:rPr>
              <w:t>Net Earnings Attributable to Martin Marietta Materials, Inc.</w:t>
            </w:r>
          </w:p>
        </w:tc>
        <w:tc>
          <w:tcPr>
            <w:tcW w:w="7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40"/>
              <w:spacing w:after="0"/>
              <w:rPr>
                <w:sz w:val="20"/>
                <w:szCs w:val="20"/>
                <w:color w:val="auto"/>
              </w:rPr>
            </w:pPr>
            <w:r>
              <w:rPr>
                <w:rFonts w:ascii="Arial" w:cs="Arial" w:eastAsia="Arial" w:hAnsi="Arial"/>
                <w:sz w:val="17"/>
                <w:szCs w:val="17"/>
                <w:color w:val="auto"/>
              </w:rPr>
              <w:t>Per Common Share: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Basic attributable to common shareholders</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ind w:left="460"/>
              <w:spacing w:after="0"/>
              <w:rPr>
                <w:sz w:val="20"/>
                <w:szCs w:val="20"/>
                <w:color w:val="auto"/>
              </w:rPr>
            </w:pPr>
            <w:r>
              <w:rPr>
                <w:rFonts w:ascii="Arial" w:cs="Arial" w:eastAsia="Arial" w:hAnsi="Arial"/>
                <w:sz w:val="17"/>
                <w:szCs w:val="17"/>
                <w:color w:val="auto"/>
              </w:rPr>
              <w:t>Diluted attributable to common shareholders</w:t>
            </w:r>
          </w:p>
        </w:tc>
        <w:tc>
          <w:tcPr>
            <w:tcW w:w="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20" w:type="dxa"/>
            <w:vAlign w:val="bottom"/>
            <w:vMerge w:val="continue"/>
          </w:tcPr>
          <w:p>
            <w:pPr>
              <w:spacing w:after="0"/>
              <w:rPr>
                <w:sz w:val="20"/>
                <w:szCs w:val="20"/>
                <w:color w:val="auto"/>
              </w:rPr>
            </w:pP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93" w:lineRule="exact"/>
              <w:rPr>
                <w:sz w:val="20"/>
                <w:szCs w:val="20"/>
                <w:color w:val="auto"/>
              </w:rPr>
            </w:pPr>
            <w:r>
              <w:rPr>
                <w:rFonts w:ascii="Arial" w:cs="Arial" w:eastAsia="Arial" w:hAnsi="Arial"/>
                <w:sz w:val="17"/>
                <w:szCs w:val="17"/>
                <w:color w:val="auto"/>
              </w:rPr>
              <w:t>2.49</w:t>
            </w:r>
          </w:p>
        </w:tc>
        <w:tc>
          <w:tcPr>
            <w:tcW w:w="160" w:type="dxa"/>
            <w:vAlign w:val="bottom"/>
          </w:tcPr>
          <w:p>
            <w:pPr>
              <w:spacing w:after="0"/>
              <w:rPr>
                <w:sz w:val="20"/>
                <w:szCs w:val="20"/>
                <w:color w:val="auto"/>
              </w:rPr>
            </w:pPr>
          </w:p>
        </w:tc>
        <w:tc>
          <w:tcPr>
            <w:tcW w:w="440" w:type="dxa"/>
            <w:vAlign w:val="bottom"/>
            <w:gridSpan w:val="2"/>
          </w:tcPr>
          <w:p>
            <w:pPr>
              <w:jc w:val="right"/>
              <w:ind w:right="260"/>
              <w:spacing w:after="0" w:line="193"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93" w:lineRule="exact"/>
              <w:rPr>
                <w:sz w:val="20"/>
                <w:szCs w:val="20"/>
                <w:color w:val="auto"/>
              </w:rPr>
            </w:pPr>
            <w:r>
              <w:rPr>
                <w:rFonts w:ascii="Arial" w:cs="Arial" w:eastAsia="Arial" w:hAnsi="Arial"/>
                <w:sz w:val="17"/>
                <w:szCs w:val="17"/>
                <w:color w:val="auto"/>
              </w:rPr>
              <w:t>1.74</w:t>
            </w:r>
          </w:p>
        </w:tc>
        <w:tc>
          <w:tcPr>
            <w:tcW w:w="28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3" w:lineRule="exact"/>
              <w:rPr>
                <w:sz w:val="20"/>
                <w:szCs w:val="20"/>
                <w:color w:val="auto"/>
              </w:rPr>
            </w:pPr>
            <w:r>
              <w:rPr>
                <w:rFonts w:ascii="Arial" w:cs="Arial" w:eastAsia="Arial" w:hAnsi="Arial"/>
                <w:sz w:val="17"/>
                <w:szCs w:val="17"/>
                <w:color w:val="auto"/>
              </w:rPr>
              <w:t>5.08</w:t>
            </w:r>
          </w:p>
        </w:tc>
        <w:tc>
          <w:tcPr>
            <w:tcW w:w="260" w:type="dxa"/>
            <w:vAlign w:val="bottom"/>
          </w:tcPr>
          <w:p>
            <w:pPr>
              <w:spacing w:after="0"/>
              <w:rPr>
                <w:sz w:val="20"/>
                <w:szCs w:val="20"/>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3" w:lineRule="exact"/>
              <w:rPr>
                <w:sz w:val="20"/>
                <w:szCs w:val="20"/>
                <w:color w:val="auto"/>
              </w:rPr>
            </w:pPr>
            <w:r>
              <w:rPr>
                <w:rFonts w:ascii="Arial" w:cs="Arial" w:eastAsia="Arial" w:hAnsi="Arial"/>
                <w:sz w:val="17"/>
                <w:szCs w:val="17"/>
                <w:color w:val="auto"/>
              </w:rPr>
              <w:t>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02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Weighted-Average Common Shares Outstanding:</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7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63,452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66,830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63,713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67,203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240"/>
              <w:spacing w:after="0"/>
              <w:rPr>
                <w:sz w:val="20"/>
                <w:szCs w:val="20"/>
                <w:color w:val="auto"/>
              </w:rPr>
            </w:pPr>
            <w:r>
              <w:rPr>
                <w:rFonts w:ascii="Arial" w:cs="Arial" w:eastAsia="Arial" w:hAnsi="Arial"/>
                <w:sz w:val="17"/>
                <w:szCs w:val="17"/>
                <w:color w:val="auto"/>
              </w:rPr>
              <w:t>Diluted</w:t>
            </w: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20" w:type="dxa"/>
            <w:vAlign w:val="bottom"/>
            <w:tcBorders>
              <w:bottom w:val="single" w:sz="8" w:color="CFF0FC"/>
            </w:tcBorders>
            <w:vMerge w:val="continue"/>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63,723</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67,108</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63,967</w:t>
            </w:r>
          </w:p>
        </w:tc>
        <w:tc>
          <w:tcPr>
            <w:tcW w:w="2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67,470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0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Cash Dividends Per Common Share</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0.42</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0.40</w:t>
            </w:r>
          </w:p>
        </w:tc>
        <w:tc>
          <w:tcPr>
            <w:tcW w:w="2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1.22</w:t>
            </w:r>
          </w:p>
        </w:tc>
        <w:tc>
          <w:tcPr>
            <w:tcW w:w="26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7"/>
                <w:szCs w:val="17"/>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i w:val="1"/>
                <w:iCs w:val="1"/>
                <w:color w:val="auto"/>
                <w:w w:val="92"/>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Consolidated net earnings</w:t>
            </w:r>
          </w:p>
        </w:tc>
        <w:tc>
          <w:tcPr>
            <w:tcW w:w="2320" w:type="dxa"/>
            <w:vAlign w:val="bottom"/>
            <w:gridSpan w:val="2"/>
          </w:tcPr>
          <w:p>
            <w:pPr>
              <w:jc w:val="right"/>
              <w:ind w:right="901"/>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326,647</w:t>
            </w:r>
          </w:p>
        </w:tc>
        <w:tc>
          <w:tcPr>
            <w:tcW w:w="300" w:type="dxa"/>
            <w:vAlign w:val="bottom"/>
          </w:tcPr>
          <w:p>
            <w:pPr>
              <w:spacing w:after="0"/>
              <w:rPr>
                <w:sz w:val="17"/>
                <w:szCs w:val="17"/>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205,715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Adjustments to reconcile consolidated net earnings to net cash</w:t>
            </w:r>
          </w:p>
        </w:tc>
        <w:tc>
          <w:tcPr>
            <w:tcW w:w="1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provided by operating activities: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211,997</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199,935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Stock-based compensation expense</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17,167</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Loss on divestitures and sales of assets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158</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27,568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income taxes</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59,834</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43,286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Excess tax benefits from stock-based compensation transactions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(5,010)</w:t>
            </w:r>
          </w:p>
        </w:tc>
        <w:tc>
          <w:tcPr>
            <w:tcW w:w="6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items, net</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(17,797)</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(6,554)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ind w:left="220"/>
              <w:spacing w:after="0" w:line="189" w:lineRule="exact"/>
              <w:rPr>
                <w:sz w:val="20"/>
                <w:szCs w:val="20"/>
                <w:color w:val="auto"/>
              </w:rPr>
            </w:pPr>
            <w:r>
              <w:rPr>
                <w:rFonts w:ascii="Arial" w:cs="Arial" w:eastAsia="Arial" w:hAnsi="Arial"/>
                <w:sz w:val="17"/>
                <w:szCs w:val="17"/>
                <w:color w:val="auto"/>
              </w:rPr>
              <w:t>Changes in operating assets and liabilities, net of effects of acquisitions</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7"/>
                <w:szCs w:val="17"/>
                <w:color w:val="auto"/>
              </w:rPr>
              <w:t>and divestitures: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440"/>
              <w:spacing w:after="0"/>
              <w:rPr>
                <w:sz w:val="20"/>
                <w:szCs w:val="20"/>
                <w:color w:val="auto"/>
              </w:rPr>
            </w:pPr>
            <w:r>
              <w:rPr>
                <w:rFonts w:ascii="Arial" w:cs="Arial" w:eastAsia="Arial" w:hAnsi="Arial"/>
                <w:sz w:val="17"/>
                <w:szCs w:val="17"/>
                <w:color w:val="auto"/>
              </w:rPr>
              <w:t>Accounts receivable, net</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(133,848)</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(155,054)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440"/>
              <w:spacing w:after="0"/>
              <w:rPr>
                <w:sz w:val="20"/>
                <w:szCs w:val="20"/>
                <w:color w:val="auto"/>
              </w:rPr>
            </w:pPr>
            <w:r>
              <w:rPr>
                <w:rFonts w:ascii="Arial" w:cs="Arial" w:eastAsia="Arial" w:hAnsi="Arial"/>
                <w:sz w:val="17"/>
                <w:szCs w:val="17"/>
                <w:color w:val="auto"/>
              </w:rPr>
              <w:t>Inventories, net</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(33,956)</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(17,650)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440"/>
              <w:spacing w:after="0"/>
              <w:rPr>
                <w:sz w:val="20"/>
                <w:szCs w:val="20"/>
                <w:color w:val="auto"/>
              </w:rPr>
            </w:pPr>
            <w:r>
              <w:rPr>
                <w:rFonts w:ascii="Arial" w:cs="Arial" w:eastAsia="Arial" w:hAnsi="Arial"/>
                <w:sz w:val="17"/>
                <w:szCs w:val="17"/>
                <w:color w:val="auto"/>
              </w:rPr>
              <w:t>Accounts payable</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12,422</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440"/>
              <w:spacing w:after="0"/>
              <w:rPr>
                <w:sz w:val="20"/>
                <w:szCs w:val="20"/>
                <w:color w:val="auto"/>
              </w:rPr>
            </w:pPr>
            <w:r>
              <w:rPr>
                <w:rFonts w:ascii="Arial" w:cs="Arial" w:eastAsia="Arial" w:hAnsi="Arial"/>
                <w:sz w:val="17"/>
                <w:szCs w:val="17"/>
                <w:color w:val="auto"/>
              </w:rPr>
              <w:t>Other assets and liabilities, net</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(23,546)</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(10,575)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6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Net Cash Provided by Operating Activities</w:t>
            </w:r>
          </w:p>
        </w:tc>
        <w:tc>
          <w:tcPr>
            <w:tcW w:w="126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bottom w:val="single" w:sz="8" w:color="auto"/>
            </w:tcBorders>
            <w:shd w:val="clear" w:color="auto" w:fill="CFF0FC"/>
          </w:tcPr>
          <w:p>
            <w:pPr>
              <w:spacing w:after="0"/>
              <w:rPr>
                <w:sz w:val="16"/>
                <w:szCs w:val="16"/>
                <w:color w:val="auto"/>
              </w:rPr>
            </w:pPr>
          </w:p>
        </w:tc>
        <w:tc>
          <w:tcPr>
            <w:tcW w:w="68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7"/>
                <w:szCs w:val="17"/>
                <w:color w:val="auto"/>
              </w:rPr>
              <w:t>414,068</w:t>
            </w:r>
          </w:p>
        </w:tc>
        <w:tc>
          <w:tcPr>
            <w:tcW w:w="30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auto"/>
            </w:tcBorders>
            <w:shd w:val="clear" w:color="auto" w:fill="CFF0FC"/>
          </w:tcPr>
          <w:p>
            <w:pPr>
              <w:spacing w:after="0"/>
              <w:rPr>
                <w:sz w:val="16"/>
                <w:szCs w:val="16"/>
                <w:color w:val="auto"/>
              </w:rPr>
            </w:pPr>
          </w:p>
        </w:tc>
        <w:tc>
          <w:tcPr>
            <w:tcW w:w="108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7"/>
                <w:szCs w:val="17"/>
                <w:color w:val="auto"/>
              </w:rPr>
              <w:t>319,579</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Investing Activities:</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(285,481)</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(212,447)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Acquisitions, net</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(178,689)</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Cash received in acquisition</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4,246</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Proceeds from divestitures and sales of assets</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5,216</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422,045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Repayments from affiliate</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Payment of railcar construction advances</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(37,370)</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Reimbursement of railcar construction advances</w:t>
            </w:r>
          </w:p>
        </w:tc>
        <w:tc>
          <w:tcPr>
            <w:tcW w:w="126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37,370</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25,234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6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Net Cash (Used for) Provided by Investing Activities</w:t>
            </w:r>
          </w:p>
        </w:tc>
        <w:tc>
          <w:tcPr>
            <w:tcW w:w="1260" w:type="dxa"/>
            <w:vAlign w:val="bottom"/>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7"/>
                <w:szCs w:val="17"/>
                <w:color w:val="auto"/>
                <w:w w:val="90"/>
              </w:rPr>
              <w:t>(454,708)</w:t>
            </w:r>
          </w:p>
        </w:tc>
        <w:tc>
          <w:tcPr>
            <w:tcW w:w="300" w:type="dxa"/>
            <w:vAlign w:val="bottom"/>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7"/>
                <w:szCs w:val="17"/>
                <w:color w:val="auto"/>
              </w:rPr>
              <w:t>200,551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Borrowings of debt</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360,000</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Repayments of debt</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(168,267)</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(111,384)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Payments on capital lease obligations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(2,463)</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(5,784)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Debt issuance costs</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(213)</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Change in bank overdraft</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(10,235)</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Dividends paid</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(78,295)</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(81,219)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Issuances of common stock</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17,378</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Repurchases of common stock</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(190,000)</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(257,674)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Excess tax benefits from stock-based compensation transactions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5,010</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6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Net Cash Used for Financing Activities</w:t>
            </w:r>
          </w:p>
        </w:tc>
        <w:tc>
          <w:tcPr>
            <w:tcW w:w="126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bottom w:val="single" w:sz="8" w:color="auto"/>
            </w:tcBorders>
            <w:shd w:val="clear" w:color="auto" w:fill="CFF0FC"/>
          </w:tcPr>
          <w:p>
            <w:pPr>
              <w:spacing w:after="0"/>
              <w:rPr>
                <w:sz w:val="16"/>
                <w:szCs w:val="16"/>
                <w:color w:val="auto"/>
              </w:rPr>
            </w:pPr>
          </w:p>
        </w:tc>
        <w:tc>
          <w:tcPr>
            <w:tcW w:w="68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7"/>
                <w:szCs w:val="17"/>
                <w:color w:val="auto"/>
              </w:rPr>
              <w:t>(67,085)</w:t>
            </w:r>
          </w:p>
        </w:tc>
        <w:tc>
          <w:tcPr>
            <w:tcW w:w="30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auto"/>
            </w:tcBorders>
            <w:shd w:val="clear" w:color="auto" w:fill="CFF0FC"/>
          </w:tcPr>
          <w:p>
            <w:pPr>
              <w:spacing w:after="0"/>
              <w:rPr>
                <w:sz w:val="16"/>
                <w:szCs w:val="16"/>
                <w:color w:val="auto"/>
              </w:rPr>
            </w:pPr>
          </w:p>
        </w:tc>
        <w:tc>
          <w:tcPr>
            <w:tcW w:w="108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7"/>
                <w:szCs w:val="17"/>
                <w:color w:val="auto"/>
              </w:rPr>
              <w:t>(192,352)</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80" w:type="dxa"/>
            <w:vAlign w:val="bottom"/>
            <w:gridSpan w:val="2"/>
          </w:tcPr>
          <w:p>
            <w:pPr>
              <w:spacing w:after="0" w:line="194" w:lineRule="exact"/>
              <w:rPr>
                <w:sz w:val="20"/>
                <w:szCs w:val="20"/>
                <w:color w:val="auto"/>
              </w:rPr>
            </w:pPr>
            <w:r>
              <w:rPr>
                <w:rFonts w:ascii="Arial" w:cs="Arial" w:eastAsia="Arial" w:hAnsi="Arial"/>
                <w:sz w:val="17"/>
                <w:szCs w:val="17"/>
                <w:color w:val="auto"/>
              </w:rPr>
              <w:t>Net (Decrease) Increase in Cash and Cash Equivalents</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w w:val="90"/>
              </w:rPr>
              <w:t>(107,725)</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327,778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beginning of period</w:t>
            </w:r>
          </w:p>
        </w:tc>
        <w:tc>
          <w:tcPr>
            <w:tcW w:w="1260" w:type="dxa"/>
            <w:vAlign w:val="bottom"/>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168,409</w:t>
            </w:r>
          </w:p>
        </w:tc>
        <w:tc>
          <w:tcPr>
            <w:tcW w:w="300" w:type="dxa"/>
            <w:vAlign w:val="bottom"/>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108,651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line="194" w:lineRule="exact"/>
              <w:rPr>
                <w:sz w:val="20"/>
                <w:szCs w:val="20"/>
                <w:color w:val="auto"/>
              </w:rPr>
            </w:pPr>
            <w:r>
              <w:rPr>
                <w:rFonts w:ascii="Arial" w:cs="Arial" w:eastAsia="Arial" w:hAnsi="Arial"/>
                <w:sz w:val="17"/>
                <w:szCs w:val="17"/>
                <w:color w:val="auto"/>
              </w:rPr>
              <w:t>Cash and Cash Equivalents, end of period</w:t>
            </w:r>
          </w:p>
        </w:tc>
        <w:tc>
          <w:tcPr>
            <w:tcW w:w="1260" w:type="dxa"/>
            <w:vAlign w:val="bottom"/>
          </w:tcPr>
          <w:p>
            <w:pPr>
              <w:spacing w:after="0"/>
              <w:rPr>
                <w:sz w:val="20"/>
                <w:szCs w:val="20"/>
                <w:color w:val="auto"/>
              </w:rPr>
            </w:pPr>
          </w:p>
        </w:tc>
        <w:tc>
          <w:tcPr>
            <w:tcW w:w="1060" w:type="dxa"/>
            <w:vAlign w:val="bottom"/>
            <w:tcBorders>
              <w:bottom w:val="single" w:sz="8" w:color="auto"/>
            </w:tcBorders>
          </w:tcPr>
          <w:p>
            <w:pPr>
              <w:jc w:val="right"/>
              <w:ind w:right="90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60,684</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436,429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tcBorders>
              <w:top w:val="single" w:sz="8" w:color="CFF0FC"/>
            </w:tcBorders>
            <w:shd w:val="clear" w:color="auto" w:fill="CFF0FC"/>
          </w:tcPr>
          <w:p>
            <w:pPr>
              <w:spacing w:after="0" w:line="179" w:lineRule="exact"/>
              <w:rPr>
                <w:sz w:val="20"/>
                <w:szCs w:val="20"/>
                <w:color w:val="auto"/>
              </w:rPr>
            </w:pPr>
            <w:r>
              <w:rPr>
                <w:rFonts w:ascii="Arial" w:cs="Arial" w:eastAsia="Arial" w:hAnsi="Arial"/>
                <w:sz w:val="17"/>
                <w:szCs w:val="17"/>
                <w:color w:val="auto"/>
              </w:rPr>
              <w:t>Supplemental Disclosures of Cash Flow Information:</w:t>
            </w:r>
          </w:p>
        </w:tc>
        <w:tc>
          <w:tcPr>
            <w:tcW w:w="1260" w:type="dxa"/>
            <w:vAlign w:val="bottom"/>
            <w:tcBorders>
              <w:top w:val="single" w:sz="8" w:color="CFF0FC"/>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ind w:left="220"/>
              <w:spacing w:after="0"/>
              <w:rPr>
                <w:sz w:val="20"/>
                <w:szCs w:val="20"/>
                <w:color w:val="auto"/>
              </w:rPr>
            </w:pPr>
            <w:r>
              <w:rPr>
                <w:rFonts w:ascii="Arial" w:cs="Arial" w:eastAsia="Arial" w:hAnsi="Arial"/>
                <w:sz w:val="17"/>
                <w:szCs w:val="17"/>
                <w:color w:val="auto"/>
              </w:rPr>
              <w:t>Cash paid for interest</w:t>
            </w:r>
          </w:p>
        </w:tc>
        <w:tc>
          <w:tcPr>
            <w:tcW w:w="2320" w:type="dxa"/>
            <w:vAlign w:val="bottom"/>
            <w:gridSpan w:val="2"/>
          </w:tcPr>
          <w:p>
            <w:pPr>
              <w:jc w:val="right"/>
              <w:ind w:right="901"/>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48,813</w:t>
            </w:r>
          </w:p>
        </w:tc>
        <w:tc>
          <w:tcPr>
            <w:tcW w:w="300" w:type="dxa"/>
            <w:vAlign w:val="bottom"/>
          </w:tcPr>
          <w:p>
            <w:pPr>
              <w:spacing w:after="0"/>
              <w:rPr>
                <w:sz w:val="17"/>
                <w:szCs w:val="17"/>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47,069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paid for income taxes</w:t>
            </w:r>
          </w:p>
        </w:tc>
        <w:tc>
          <w:tcPr>
            <w:tcW w:w="2320" w:type="dxa"/>
            <w:vAlign w:val="bottom"/>
            <w:gridSpan w:val="2"/>
            <w:shd w:val="clear" w:color="auto" w:fill="CFF0FC"/>
          </w:tcPr>
          <w:p>
            <w:pPr>
              <w:jc w:val="right"/>
              <w:ind w:right="901"/>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81,589</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STATEMENT OF TOTAL EQUITY</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Shares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Additional</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Common</w:t>
            </w:r>
          </w:p>
        </w:tc>
        <w:tc>
          <w:tcPr>
            <w:tcW w:w="60" w:type="dxa"/>
            <w:vAlign w:val="bottom"/>
          </w:tcPr>
          <w:p>
            <w:pPr>
              <w:spacing w:after="0"/>
              <w:rPr>
                <w:sz w:val="17"/>
                <w:szCs w:val="17"/>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7"/>
                <w:szCs w:val="17"/>
                <w:color w:val="auto"/>
                <w:w w:val="95"/>
              </w:rPr>
              <w:t>Common</w:t>
            </w:r>
          </w:p>
        </w:tc>
        <w:tc>
          <w:tcPr>
            <w:tcW w:w="820" w:type="dxa"/>
            <w:vAlign w:val="bottom"/>
          </w:tcPr>
          <w:p>
            <w:pPr>
              <w:jc w:val="center"/>
              <w:spacing w:after="0"/>
              <w:rPr>
                <w:sz w:val="20"/>
                <w:szCs w:val="20"/>
                <w:color w:val="auto"/>
              </w:rPr>
            </w:pPr>
            <w:r>
              <w:rPr>
                <w:rFonts w:ascii="Arial" w:cs="Arial" w:eastAsia="Arial" w:hAnsi="Arial"/>
                <w:sz w:val="17"/>
                <w:szCs w:val="17"/>
                <w:color w:val="auto"/>
                <w:w w:val="90"/>
              </w:rPr>
              <w:t>Paid-</w:t>
            </w:r>
          </w:p>
        </w:tc>
        <w:tc>
          <w:tcPr>
            <w:tcW w:w="180" w:type="dxa"/>
            <w:vAlign w:val="bottom"/>
          </w:tcPr>
          <w:p>
            <w:pPr>
              <w:spacing w:after="0"/>
              <w:rPr>
                <w:sz w:val="17"/>
                <w:szCs w:val="17"/>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7"/>
                <w:szCs w:val="17"/>
                <w:color w:val="auto"/>
                <w:w w:val="93"/>
              </w:rPr>
              <w:t>Accumulated Other</w:t>
            </w: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w w:val="85"/>
              </w:rPr>
              <w:t>Retained</w:t>
            </w:r>
          </w:p>
        </w:tc>
        <w:tc>
          <w:tcPr>
            <w:tcW w:w="1180" w:type="dxa"/>
            <w:vAlign w:val="bottom"/>
            <w:gridSpan w:val="4"/>
          </w:tcPr>
          <w:p>
            <w:pPr>
              <w:ind w:left="80"/>
              <w:spacing w:after="0"/>
              <w:rPr>
                <w:sz w:val="20"/>
                <w:szCs w:val="20"/>
                <w:color w:val="auto"/>
              </w:rPr>
            </w:pPr>
            <w:r>
              <w:rPr>
                <w:rFonts w:ascii="Arial" w:cs="Arial" w:eastAsia="Arial" w:hAnsi="Arial"/>
                <w:sz w:val="17"/>
                <w:szCs w:val="17"/>
                <w:color w:val="auto"/>
              </w:rPr>
              <w:t>Shareholders'</w:t>
            </w:r>
          </w:p>
        </w:tc>
        <w:tc>
          <w:tcPr>
            <w:tcW w:w="1040" w:type="dxa"/>
            <w:vAlign w:val="bottom"/>
            <w:gridSpan w:val="2"/>
          </w:tcPr>
          <w:p>
            <w:pPr>
              <w:spacing w:after="0"/>
              <w:rPr>
                <w:sz w:val="20"/>
                <w:szCs w:val="20"/>
                <w:color w:val="auto"/>
              </w:rPr>
            </w:pPr>
            <w:r>
              <w:rPr>
                <w:rFonts w:ascii="Arial" w:cs="Arial" w:eastAsia="Arial" w:hAnsi="Arial"/>
                <w:sz w:val="17"/>
                <w:szCs w:val="17"/>
                <w:color w:val="auto"/>
                <w:w w:val="93"/>
              </w:rPr>
              <w:t>Noncontrolling</w:t>
            </w:r>
          </w:p>
        </w:tc>
        <w:tc>
          <w:tcPr>
            <w:tcW w:w="38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Total</w:t>
            </w:r>
          </w:p>
        </w:tc>
      </w:tr>
      <w:tr>
        <w:trPr>
          <w:trHeight w:val="214"/>
        </w:trPr>
        <w:tc>
          <w:tcPr>
            <w:tcW w:w="23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Stock</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93"/>
              </w:rPr>
              <w:t>Stock</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in Capital</w:t>
            </w:r>
          </w:p>
        </w:tc>
        <w:tc>
          <w:tcPr>
            <w:tcW w:w="18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Comprehensive Loss</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6"/>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95"/>
              </w:rPr>
              <w:t>Interests</w:t>
            </w:r>
          </w:p>
        </w:tc>
        <w:tc>
          <w:tcPr>
            <w:tcW w:w="380" w:type="dxa"/>
            <w:vAlign w:val="bottom"/>
          </w:tcPr>
          <w:p>
            <w:pPr>
              <w:spacing w:after="0"/>
              <w:rPr>
                <w:sz w:val="18"/>
                <w:szCs w:val="18"/>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Equity</w:t>
            </w:r>
          </w:p>
        </w:tc>
        <w:tc>
          <w:tcPr>
            <w:tcW w:w="100" w:type="dxa"/>
            <w:vAlign w:val="bottom"/>
          </w:tcPr>
          <w:p>
            <w:pPr>
              <w:spacing w:after="0"/>
              <w:rPr>
                <w:sz w:val="18"/>
                <w:szCs w:val="18"/>
                <w:color w:val="auto"/>
              </w:rPr>
            </w:pPr>
          </w:p>
        </w:tc>
      </w:tr>
      <w:tr>
        <w:trPr>
          <w:trHeight w:val="207"/>
        </w:trPr>
        <w:tc>
          <w:tcPr>
            <w:tcW w:w="2500" w:type="dxa"/>
            <w:vAlign w:val="bottom"/>
            <w:gridSpan w:val="2"/>
          </w:tcPr>
          <w:p>
            <w:pPr>
              <w:spacing w:after="0"/>
              <w:rPr>
                <w:sz w:val="20"/>
                <w:szCs w:val="20"/>
                <w:color w:val="auto"/>
              </w:rPr>
            </w:pPr>
            <w:r>
              <w:rPr>
                <w:rFonts w:ascii="Arial" w:cs="Arial" w:eastAsia="Arial" w:hAnsi="Arial"/>
                <w:sz w:val="17"/>
                <w:szCs w:val="17"/>
                <w:color w:val="auto"/>
              </w:rPr>
              <w:t>Balance at December 31, 2015</w:t>
            </w:r>
          </w:p>
        </w:tc>
        <w:tc>
          <w:tcPr>
            <w:tcW w:w="760" w:type="dxa"/>
            <w:vAlign w:val="bottom"/>
          </w:tcPr>
          <w:p>
            <w:pPr>
              <w:jc w:val="right"/>
              <w:spacing w:after="0"/>
              <w:rPr>
                <w:sz w:val="20"/>
                <w:szCs w:val="20"/>
                <w:color w:val="auto"/>
              </w:rPr>
            </w:pPr>
            <w:r>
              <w:rPr>
                <w:rFonts w:ascii="Arial" w:cs="Arial" w:eastAsia="Arial" w:hAnsi="Arial"/>
                <w:sz w:val="17"/>
                <w:szCs w:val="17"/>
                <w:color w:val="auto"/>
              </w:rPr>
              <w:t>64,479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643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86"/>
              </w:rPr>
              <w:t>$ 3,287,827</w:t>
            </w:r>
          </w:p>
        </w:tc>
        <w:tc>
          <w:tcPr>
            <w:tcW w:w="6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(105,622)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874,436</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4,057,284</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2,893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$ 4,060,177</w:t>
            </w:r>
          </w:p>
        </w:tc>
        <w:tc>
          <w:tcPr>
            <w:tcW w:w="100" w:type="dxa"/>
            <w:vAlign w:val="bottom"/>
          </w:tcPr>
          <w:p>
            <w:pPr>
              <w:spacing w:after="0"/>
              <w:rPr>
                <w:sz w:val="18"/>
                <w:szCs w:val="18"/>
                <w:color w:val="auto"/>
              </w:rPr>
            </w:pPr>
          </w:p>
        </w:tc>
      </w:tr>
      <w:tr>
        <w:trPr>
          <w:trHeight w:val="215"/>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Consolidated net earnings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326,526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326,526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326,647</w:t>
            </w:r>
          </w:p>
        </w:tc>
        <w:tc>
          <w:tcPr>
            <w:tcW w:w="100" w:type="dxa"/>
            <w:vAlign w:val="bottom"/>
            <w:shd w:val="clear" w:color="auto" w:fill="CFF0FC"/>
          </w:tcPr>
          <w:p>
            <w:pPr>
              <w:spacing w:after="0"/>
              <w:rPr>
                <w:sz w:val="18"/>
                <w:szCs w:val="18"/>
                <w:color w:val="auto"/>
              </w:rPr>
            </w:pP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Other comprehensive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earnings,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500" w:type="dxa"/>
            <w:vAlign w:val="bottom"/>
            <w:gridSpan w:val="2"/>
          </w:tcPr>
          <w:p>
            <w:pPr>
              <w:ind w:left="440"/>
              <w:spacing w:after="0"/>
              <w:rPr>
                <w:sz w:val="20"/>
                <w:szCs w:val="20"/>
                <w:color w:val="auto"/>
              </w:rPr>
            </w:pPr>
            <w:r>
              <w:rPr>
                <w:rFonts w:ascii="Arial" w:cs="Arial" w:eastAsia="Arial" w:hAnsi="Arial"/>
                <w:sz w:val="17"/>
                <w:szCs w:val="17"/>
                <w:color w:val="auto"/>
              </w:rPr>
              <w:t>net of tax</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1,163</w:t>
            </w:r>
          </w:p>
        </w:tc>
        <w:tc>
          <w:tcPr>
            <w:tcW w:w="100" w:type="dxa"/>
            <w:vAlign w:val="bottom"/>
          </w:tcPr>
          <w:p>
            <w:pPr>
              <w:spacing w:after="0"/>
              <w:rPr>
                <w:sz w:val="18"/>
                <w:szCs w:val="18"/>
                <w:color w:val="auto"/>
              </w:rPr>
            </w:pPr>
          </w:p>
        </w:tc>
      </w:tr>
      <w:tr>
        <w:trPr>
          <w:trHeight w:val="215"/>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Dividends declared</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(78,295)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(78,295)</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(78,295)</w:t>
            </w: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Issuances of common stock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for stock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500" w:type="dxa"/>
            <w:vAlign w:val="bottom"/>
            <w:gridSpan w:val="2"/>
          </w:tcPr>
          <w:p>
            <w:pPr>
              <w:ind w:left="440"/>
              <w:spacing w:after="0"/>
              <w:rPr>
                <w:sz w:val="20"/>
                <w:szCs w:val="20"/>
                <w:color w:val="auto"/>
              </w:rPr>
            </w:pPr>
            <w:r>
              <w:rPr>
                <w:rFonts w:ascii="Arial" w:cs="Arial" w:eastAsia="Arial" w:hAnsi="Arial"/>
                <w:sz w:val="17"/>
                <w:szCs w:val="17"/>
                <w:color w:val="auto"/>
              </w:rPr>
              <w:t>award plans</w:t>
            </w:r>
          </w:p>
        </w:tc>
        <w:tc>
          <w:tcPr>
            <w:tcW w:w="760" w:type="dxa"/>
            <w:vAlign w:val="bottom"/>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21,537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21,539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21,539</w:t>
            </w:r>
          </w:p>
        </w:tc>
        <w:tc>
          <w:tcPr>
            <w:tcW w:w="100" w:type="dxa"/>
            <w:vAlign w:val="bottom"/>
          </w:tcPr>
          <w:p>
            <w:pPr>
              <w:spacing w:after="0"/>
              <w:rPr>
                <w:sz w:val="18"/>
                <w:szCs w:val="18"/>
                <w:color w:val="auto"/>
              </w:rPr>
            </w:pPr>
          </w:p>
        </w:tc>
      </w:tr>
      <w:tr>
        <w:trPr>
          <w:trHeight w:val="215"/>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w w:val="95"/>
              </w:rPr>
              <w:t>Repurchases of common stock</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(1,244)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(189,988)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(190,000)</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(190,000)</w:t>
            </w: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Stock-based compensation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50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expense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17,167</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17,167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17,167</w:t>
            </w:r>
          </w:p>
        </w:tc>
        <w:tc>
          <w:tcPr>
            <w:tcW w:w="100" w:type="dxa"/>
            <w:vAlign w:val="bottom"/>
            <w:tcBorders>
              <w:bottom w:val="single" w:sz="8" w:color="CFF0FC"/>
            </w:tcBorders>
          </w:tcPr>
          <w:p>
            <w:pPr>
              <w:spacing w:after="0"/>
              <w:rPr>
                <w:sz w:val="18"/>
                <w:szCs w:val="18"/>
                <w:color w:val="auto"/>
              </w:rPr>
            </w:pPr>
          </w:p>
        </w:tc>
      </w:tr>
      <w:tr>
        <w:trPr>
          <w:trHeight w:val="207"/>
        </w:trPr>
        <w:tc>
          <w:tcPr>
            <w:tcW w:w="2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 September 30, 2016</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63,466</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633</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6"/>
              </w:rPr>
              <w:t>$ 3,326,531</w:t>
            </w: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(104,511)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932,679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4,155,332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$ 4,158,398</w:t>
            </w:r>
          </w:p>
        </w:tc>
        <w:tc>
          <w:tcPr>
            <w:tcW w:w="100" w:type="dxa"/>
            <w:vAlign w:val="bottom"/>
            <w:shd w:val="clear" w:color="auto" w:fill="CFF0FC"/>
          </w:tcPr>
          <w:p>
            <w:pPr>
              <w:spacing w:after="0"/>
              <w:rPr>
                <w:sz w:val="18"/>
                <w:szCs w:val="18"/>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117" w:lineRule="exact"/>
        <w:rPr>
          <w:sz w:val="20"/>
          <w:szCs w:val="20"/>
          <w:color w:val="auto"/>
        </w:rPr>
      </w:pPr>
    </w:p>
    <w:p>
      <w:pPr>
        <w:ind w:left="380" w:right="8600" w:hanging="379"/>
        <w:spacing w:after="0" w:line="367" w:lineRule="auto"/>
        <w:tabs>
          <w:tab w:leader="none" w:pos="37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Organization</w:t>
      </w:r>
    </w:p>
    <w:p>
      <w:pPr>
        <w:spacing w:after="0" w:line="1" w:lineRule="exact"/>
        <w:rPr>
          <w:rFonts w:ascii="Arial" w:cs="Arial" w:eastAsia="Arial" w:hAnsi="Arial"/>
          <w:sz w:val="18"/>
          <w:szCs w:val="18"/>
          <w:b w:val="1"/>
          <w:bCs w:val="1"/>
          <w:color w:val="auto"/>
        </w:rPr>
      </w:pPr>
    </w:p>
    <w:p>
      <w:pPr>
        <w:jc w:val="both"/>
        <w:ind w:left="3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Martin Marietta Materials, Inc. (the “Corporation” or “Martin Marietta”) is engaged principally in the construction aggregates business. The aggregates product line accounted for 54% of consolidated net sales for the nine months ended September 30, 2016 (55% of full-year 2015 consolidated net sales) and includes crushed stone, sand and gravel, and is used for construction of highways and other infrastructure projects, and in the nonresidential and residential construction industries. Aggregates products are also used in the railroad, agricultural, utility and environmental industries. The Corporation’s aggregates-related downstream product lines, which accounted for 32% of consolidated net sales for the nine months ended September 30, 2016 (27% of full-year 2015 consolidated net sales) include asphalt products, ready mixed concrete and road paving construction services. Aggregates and aggregates-related downstream product lines are sold and shipped from a network of more than 400 quarries, distribution facilities and plants in 26 states, Nova Scotia and the Bahamas. The aggregates and aggregates-related downstream product lines are reported collectively as the “Aggregates business”.</w:t>
      </w:r>
    </w:p>
    <w:p>
      <w:pPr>
        <w:spacing w:after="0" w:line="175"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Corporation currently conducts the Aggregates business through three reportable segments: the Mid-America Group, the Southeast Group and the West Group.</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AGGREGATES BUSINESS</w:t>
      </w:r>
    </w:p>
    <w:p>
      <w:pPr>
        <w:spacing w:after="0" w:line="28"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Reportable Segments</w:t>
            </w:r>
          </w:p>
        </w:tc>
        <w:tc>
          <w:tcPr>
            <w:tcW w:w="29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7"/>
              </w:rPr>
              <w:t>Mid-America Group</w:t>
            </w:r>
          </w:p>
        </w:tc>
        <w:tc>
          <w:tcPr>
            <w:tcW w:w="26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1"/>
              </w:rPr>
              <w:t>Southeast Group</w:t>
            </w: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West Group</w:t>
            </w:r>
          </w:p>
        </w:tc>
      </w:tr>
      <w:tr>
        <w:trPr>
          <w:trHeight w:val="190"/>
        </w:trPr>
        <w:tc>
          <w:tcPr>
            <w:tcW w:w="202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Operating Locations</w:t>
            </w:r>
          </w:p>
        </w:tc>
        <w:tc>
          <w:tcPr>
            <w:tcW w:w="14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Indiana, Iowa,</w:t>
            </w:r>
          </w:p>
        </w:tc>
        <w:tc>
          <w:tcPr>
            <w:tcW w:w="140" w:type="dxa"/>
            <w:vAlign w:val="bottom"/>
          </w:tcPr>
          <w:p>
            <w:pPr>
              <w:spacing w:after="0"/>
              <w:rPr>
                <w:sz w:val="16"/>
                <w:szCs w:val="16"/>
                <w:color w:val="auto"/>
              </w:rPr>
            </w:pPr>
          </w:p>
        </w:tc>
        <w:tc>
          <w:tcPr>
            <w:tcW w:w="250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3"/>
              </w:rPr>
              <w:t>Alabama, Florida, Georgia,</w:t>
            </w:r>
          </w:p>
        </w:tc>
        <w:tc>
          <w:tcPr>
            <w:tcW w:w="12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Arkansas, Colorado, southern</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northern Kansas, Kentucky,</w:t>
            </w:r>
          </w:p>
        </w:tc>
        <w:tc>
          <w:tcPr>
            <w:tcW w:w="2620" w:type="dxa"/>
            <w:vAlign w:val="bottom"/>
            <w:gridSpan w:val="2"/>
          </w:tcPr>
          <w:p>
            <w:pPr>
              <w:ind w:left="820"/>
              <w:spacing w:after="0"/>
              <w:rPr>
                <w:sz w:val="20"/>
                <w:szCs w:val="20"/>
                <w:color w:val="auto"/>
              </w:rPr>
            </w:pPr>
            <w:r>
              <w:rPr>
                <w:rFonts w:ascii="Arial" w:cs="Arial" w:eastAsia="Arial" w:hAnsi="Arial"/>
                <w:sz w:val="18"/>
                <w:szCs w:val="18"/>
                <w:color w:val="auto"/>
              </w:rPr>
              <w:t>Tennessee,</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Kansas,</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Maryland, Minnesota, Missouri,</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Nova Scotia and the Bahamas</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Louisiana, western Nebraska,</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eastern Nebraska, North Carolina,</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Nevada, Oklahoma, Texas, Utah</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Ohio,</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and Wyoming</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South Carolina,</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Virginia, Washington and</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5"/>
        </w:trPr>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West Virginia</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81"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The Corporation has a Cement segment, which accounted for 7% of consolidated net sales for the nine months ended September 30, 2016 (11% of full-year 2015 consolidated net sales which included the operations of a California-based cement plant sold in September 2015). The Cement segment has production facilities located in Midlothian, Texas, south of Dallas-Fort Worth and Hunter, Texas, north of San Antonio, which produce Portland and specialty cements. Similar to the Aggregates business, cement is used in infrastructure projects, nonresidential and residential construction, and the railroad, agricultural, utility and environmental industries. The high calcium limestone reserves, used as a raw material, are owned by the Cement business and are adjacent to each of the plants.</w:t>
      </w:r>
    </w:p>
    <w:p>
      <w:pPr>
        <w:spacing w:after="0" w:line="169"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Corporation has a Magnesia Specialties segment with manufacturing facilities in Manistee, Michigan, and Woodville, Ohio. The Magnesia Specialties segment, which accounted for 7% of consolidated net sales for the nine months ended September 30, 2016 (7% of full-year 2015 consolidated net sales), produces magnesia-based chemicals products used in industrial, agricultural and environmental applications and dolomitic lime sold primarily to customers in the steel industry.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right="7640" w:hanging="379"/>
        <w:spacing w:after="0" w:line="367" w:lineRule="auto"/>
        <w:tabs>
          <w:tab w:leader="none" w:pos="37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Basis of Presentation</w:t>
      </w:r>
    </w:p>
    <w:p>
      <w:pPr>
        <w:spacing w:after="0" w:line="1" w:lineRule="exact"/>
        <w:rPr>
          <w:rFonts w:ascii="Arial" w:cs="Arial" w:eastAsia="Arial" w:hAnsi="Arial"/>
          <w:sz w:val="18"/>
          <w:szCs w:val="18"/>
          <w:b w:val="1"/>
          <w:bCs w:val="1"/>
          <w:color w:val="auto"/>
        </w:rPr>
      </w:pPr>
    </w:p>
    <w:p>
      <w:pPr>
        <w:jc w:val="both"/>
        <w:ind w:left="3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consolidated financial statements of the Corporation have been prepared in accordance with generally accepted accounting principles for interim financial information and with the instructions to the Quarterly Report on Form 10-Q and in Article 10 of Regulation S-X. The Corporation has continued to follow the accounting policies set forth in the audited consolidated financial statements and related notes thereto included in the Corporation’s Annual Report on Form 10-K for the year ended December 31, 2015.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nine months ended September 30, 2016 are not indicative of the results expected for other interim periods or the full year. The consolidated balance sheet at December 31, 2015 has been derived from the audited consolidated financial statements at that date but does not include all disclosures required by accounting principles generally accepted in the United States. These consolidated financial statements should be read in conjunction with the audited consolidated financial statements and notes thereto included in the Corporation’s Annual Report on Form 10-K for the year ended December 31, 2015.</w:t>
      </w:r>
    </w:p>
    <w:p>
      <w:pPr>
        <w:spacing w:after="0" w:line="17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w:t>
      </w:r>
    </w:p>
    <w:p>
      <w:pPr>
        <w:spacing w:after="0" w:line="112" w:lineRule="exact"/>
        <w:rPr>
          <w:rFonts w:ascii="Arial" w:cs="Arial" w:eastAsia="Arial" w:hAnsi="Arial"/>
          <w:sz w:val="18"/>
          <w:szCs w:val="18"/>
          <w:b w:val="1"/>
          <w:bCs w:val="1"/>
          <w:color w:val="auto"/>
        </w:rPr>
      </w:pPr>
    </w:p>
    <w:p>
      <w:pPr>
        <w:jc w:val="both"/>
        <w:ind w:left="3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The Financial Accounting Standards Board (“FASB”) issued Accounting Standard Update (“ASU”) 2015-03, </w:t>
      </w:r>
      <w:r>
        <w:rPr>
          <w:rFonts w:ascii="Arial" w:cs="Arial" w:eastAsia="Arial" w:hAnsi="Arial"/>
          <w:sz w:val="16"/>
          <w:szCs w:val="16"/>
          <w:i w:val="1"/>
          <w:iCs w:val="1"/>
          <w:color w:val="auto"/>
        </w:rPr>
        <w:t>“Simplifying the Presentation of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Issuance Costs” </w:t>
      </w:r>
      <w:r>
        <w:rPr>
          <w:rFonts w:ascii="Arial" w:cs="Arial" w:eastAsia="Arial" w:hAnsi="Arial"/>
          <w:sz w:val="16"/>
          <w:szCs w:val="16"/>
          <w:color w:val="auto"/>
        </w:rPr>
        <w:t>(“ASU 2015-03”), which amends the presentation of debt issuance costs in the financial statements. The ASU requires an entity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 debt issuance costs related to a recognized debt liability in the balance sheet as a direct deduction from the carrying amount of the debt liability, consistent with debt discounts, and does not impact the recognition and measurement guidance for debt issuance costs. The Corporation adopted ASU 2015-03 on January 1, 2016 and has retrospectively adjusted the prior periods presented, resulting in a reclassification of $3,567,000 and $3,848,000 from </w:t>
      </w:r>
      <w:r>
        <w:rPr>
          <w:rFonts w:ascii="Arial" w:cs="Arial" w:eastAsia="Arial" w:hAnsi="Arial"/>
          <w:sz w:val="16"/>
          <w:szCs w:val="16"/>
          <w:i w:val="1"/>
          <w:iCs w:val="1"/>
          <w:color w:val="auto"/>
        </w:rPr>
        <w:t>Other noncurrent assets</w:t>
      </w:r>
      <w:r>
        <w:rPr>
          <w:rFonts w:ascii="Arial" w:cs="Arial" w:eastAsia="Arial" w:hAnsi="Arial"/>
          <w:sz w:val="16"/>
          <w:szCs w:val="16"/>
          <w:color w:val="auto"/>
        </w:rPr>
        <w:t xml:space="preserve"> to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as of December 31, 2015 and September 30, 2015, respectively, and $533,000 from </w:t>
      </w:r>
      <w:r>
        <w:rPr>
          <w:rFonts w:ascii="Arial" w:cs="Arial" w:eastAsia="Arial" w:hAnsi="Arial"/>
          <w:sz w:val="16"/>
          <w:szCs w:val="16"/>
          <w:i w:val="1"/>
          <w:iCs w:val="1"/>
          <w:color w:val="auto"/>
        </w:rPr>
        <w:t xml:space="preserve">Other current assets </w:t>
      </w:r>
      <w:r>
        <w:rPr>
          <w:rFonts w:ascii="Arial" w:cs="Arial" w:eastAsia="Arial" w:hAnsi="Arial"/>
          <w:sz w:val="16"/>
          <w:szCs w:val="16"/>
          <w:color w:val="auto"/>
        </w:rPr>
        <w:t>to</w:t>
      </w:r>
      <w:r>
        <w:rPr>
          <w:rFonts w:ascii="Arial" w:cs="Arial" w:eastAsia="Arial" w:hAnsi="Arial"/>
          <w:sz w:val="16"/>
          <w:szCs w:val="16"/>
          <w:i w:val="1"/>
          <w:iCs w:val="1"/>
          <w:color w:val="auto"/>
        </w:rPr>
        <w:t xml:space="preserve"> Current maturities of long-term debt and short-term maturities </w:t>
      </w:r>
      <w:r>
        <w:rPr>
          <w:rFonts w:ascii="Arial" w:cs="Arial" w:eastAsia="Arial" w:hAnsi="Arial"/>
          <w:sz w:val="16"/>
          <w:szCs w:val="16"/>
          <w:color w:val="auto"/>
        </w:rPr>
        <w:t>as of December 31, 2015 and September 30, 2015.</w:t>
      </w:r>
    </w:p>
    <w:p>
      <w:pPr>
        <w:spacing w:after="0" w:line="14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Standard</w:t>
      </w:r>
    </w:p>
    <w:p>
      <w:pPr>
        <w:spacing w:after="0" w:line="112"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can be applied on a full retrospective or modified retrospective approach. The Corporation will not early adopt this standard. The Corporation is currently evaluating the impact the provisions of the new standard will have on its financial statements and expects to complete its evaluation by the end of 2016.</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right="7640" w:hanging="379"/>
        <w:spacing w:after="0" w:line="367" w:lineRule="auto"/>
        <w:tabs>
          <w:tab w:leader="none" w:pos="37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Lease Standard</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February 2016, the FASB issued a new accounting standard, </w:t>
      </w:r>
      <w:r>
        <w:rPr>
          <w:rFonts w:ascii="Arial" w:cs="Arial" w:eastAsia="Arial" w:hAnsi="Arial"/>
          <w:sz w:val="18"/>
          <w:szCs w:val="18"/>
          <w:i w:val="1"/>
          <w:iCs w:val="1"/>
          <w:color w:val="auto"/>
        </w:rPr>
        <w:t>Accounting Standards Update 2016-2 – Leases,</w:t>
      </w:r>
      <w:r>
        <w:rPr>
          <w:rFonts w:ascii="Arial" w:cs="Arial" w:eastAsia="Arial" w:hAnsi="Arial"/>
          <w:sz w:val="18"/>
          <w:szCs w:val="18"/>
          <w:color w:val="auto"/>
        </w:rPr>
        <w:t xml:space="preserve"> intending to improve financial reporting of leases and to provide more transparency into off-balance sheet leasing obligations. The guidance requires virtually all leases, excluding mineral interest leases, to be recorded on the balance sheet and provides guidance on the recognition of lease expense and income. The new standard is effective January 1, 2019 and must be applied on a modified retrospective approach. The Corporation is currently evaluating the impact the new standard will have on its financial statements.</w:t>
      </w:r>
    </w:p>
    <w:p>
      <w:pPr>
        <w:spacing w:after="0" w:line="6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Standard</w:t>
      </w:r>
    </w:p>
    <w:p>
      <w:pPr>
        <w:spacing w:after="0" w:line="112" w:lineRule="exact"/>
        <w:rPr>
          <w:rFonts w:ascii="Arial" w:cs="Arial" w:eastAsia="Arial" w:hAnsi="Arial"/>
          <w:sz w:val="18"/>
          <w:szCs w:val="18"/>
          <w:b w:val="1"/>
          <w:bCs w:val="1"/>
          <w:color w:val="auto"/>
        </w:rPr>
      </w:pPr>
    </w:p>
    <w:p>
      <w:pPr>
        <w:jc w:val="both"/>
        <w:ind w:left="380"/>
        <w:spacing w:after="0" w:line="287" w:lineRule="auto"/>
        <w:rPr>
          <w:rFonts w:ascii="Arial" w:cs="Arial" w:eastAsia="Arial" w:hAnsi="Arial"/>
          <w:sz w:val="18"/>
          <w:szCs w:val="18"/>
          <w:b w:val="1"/>
          <w:bCs w:val="1"/>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simplifies certain aspects of accounting guidance and requirements for share-based transactions. The ASU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periods beginning January 1, 2017. The Corporation is evaluating the impact of the ASU on its financial statements.</w:t>
      </w:r>
    </w:p>
    <w:p>
      <w:pPr>
        <w:spacing w:after="0" w:line="13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w:t>
      </w:r>
    </w:p>
    <w:p>
      <w:pPr>
        <w:spacing w:after="0" w:line="112"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Consolidated comprehensive earnings/loss for the Corporation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earnings and comprehensive earnings.</w:t>
      </w:r>
    </w:p>
    <w:p>
      <w:pPr>
        <w:spacing w:after="0" w:line="6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Comprehensive earnings attributable to Martin Marietta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5"/>
          </w:tcPr>
          <w:p>
            <w:pPr>
              <w:ind w:left="32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1"/>
        </w:trPr>
        <w:tc>
          <w:tcPr>
            <w:tcW w:w="4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0"/>
        </w:trPr>
        <w:tc>
          <w:tcPr>
            <w:tcW w:w="4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8"/>
                <w:szCs w:val="18"/>
                <w:color w:val="auto"/>
                <w:w w:val="94"/>
              </w:rPr>
              <w:t>2015</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20" w:type="dxa"/>
            <w:vAlign w:val="bottom"/>
            <w:gridSpan w:val="6"/>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940" w:type="dxa"/>
            <w:vAlign w:val="bottom"/>
          </w:tcPr>
          <w:p>
            <w:pPr>
              <w:ind w:left="180"/>
              <w:spacing w:after="0"/>
              <w:rPr>
                <w:sz w:val="20"/>
                <w:szCs w:val="20"/>
                <w:color w:val="auto"/>
              </w:rPr>
            </w:pPr>
            <w:r>
              <w:rPr>
                <w:rFonts w:ascii="Arial" w:cs="Arial" w:eastAsia="Arial" w:hAnsi="Arial"/>
                <w:sz w:val="18"/>
                <w:szCs w:val="18"/>
                <w:color w:val="auto"/>
              </w:rPr>
              <w:t>Materials, 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159,479</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117,544</w:t>
            </w:r>
          </w:p>
        </w:tc>
        <w:tc>
          <w:tcPr>
            <w:tcW w:w="1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326,526</w:t>
            </w:r>
          </w:p>
        </w:tc>
        <w:tc>
          <w:tcPr>
            <w:tcW w:w="26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earnings (loss), net of tax</w:t>
            </w: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360" w:type="dxa"/>
            <w:vAlign w:val="bottom"/>
            <w:shd w:val="clear" w:color="auto" w:fill="CFF0FD"/>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color w:val="auto"/>
              </w:rPr>
              <w:t>Comprehensive earnings attributable to Martin Marietta</w:t>
            </w: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940" w:type="dxa"/>
            <w:vAlign w:val="bottom"/>
          </w:tcPr>
          <w:p>
            <w:pPr>
              <w:ind w:left="240"/>
              <w:spacing w:after="0"/>
              <w:rPr>
                <w:sz w:val="20"/>
                <w:szCs w:val="20"/>
                <w:color w:val="auto"/>
              </w:rPr>
            </w:pPr>
            <w:r>
              <w:rPr>
                <w:rFonts w:ascii="Arial" w:cs="Arial" w:eastAsia="Arial" w:hAnsi="Arial"/>
                <w:sz w:val="18"/>
                <w:szCs w:val="18"/>
                <w:color w:val="auto"/>
              </w:rPr>
              <w:t>Materials, 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161,036</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117,616</w:t>
            </w:r>
          </w:p>
        </w:tc>
        <w:tc>
          <w:tcPr>
            <w:tcW w:w="1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327,637</w:t>
            </w:r>
          </w:p>
        </w:tc>
        <w:tc>
          <w:tcPr>
            <w:tcW w:w="26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 (continued)</w:t>
      </w:r>
    </w:p>
    <w:p>
      <w:pPr>
        <w:spacing w:after="0" w:line="74"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earnings attributable to noncontrolling interests, consisting of net earnings and adjustments for the funded status of pension and postretirement benefit plans,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Pr>
          <w:p>
            <w:pPr>
              <w:spacing w:after="0"/>
              <w:rPr>
                <w:sz w:val="19"/>
                <w:szCs w:val="19"/>
                <w:color w:val="auto"/>
              </w:rPr>
            </w:pPr>
          </w:p>
        </w:tc>
        <w:tc>
          <w:tcPr>
            <w:tcW w:w="2820" w:type="dxa"/>
            <w:vAlign w:val="bottom"/>
            <w:gridSpan w:val="6"/>
          </w:tcPr>
          <w:p>
            <w:pPr>
              <w:ind w:left="5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5"/>
          </w:tcPr>
          <w:p>
            <w:pPr>
              <w:ind w:left="4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1"/>
        </w:trPr>
        <w:tc>
          <w:tcPr>
            <w:tcW w:w="54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September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40" w:type="dxa"/>
            <w:vAlign w:val="bottom"/>
            <w:vMerge w:val="restart"/>
          </w:tcPr>
          <w:p>
            <w:pPr>
              <w:spacing w:after="0"/>
              <w:rPr>
                <w:sz w:val="20"/>
                <w:szCs w:val="20"/>
                <w:color w:val="auto"/>
              </w:rPr>
            </w:pPr>
            <w:r>
              <w:rPr>
                <w:rFonts w:ascii="Arial" w:cs="Arial" w:eastAsia="Arial" w:hAnsi="Arial"/>
                <w:sz w:val="18"/>
                <w:szCs w:val="18"/>
                <w:color w:val="auto"/>
              </w:rPr>
              <w:t>Net (loss) earnings attributable to noncontrolling</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40" w:type="dxa"/>
            <w:vAlign w:val="bottom"/>
            <w:gridSpan w:val="6"/>
          </w:tcPr>
          <w:p>
            <w:pPr>
              <w:ind w:left="160"/>
              <w:spacing w:after="0"/>
              <w:rPr>
                <w:sz w:val="20"/>
                <w:szCs w:val="20"/>
                <w:color w:val="auto"/>
              </w:rPr>
            </w:pPr>
            <w:r>
              <w:rPr>
                <w:rFonts w:ascii="Arial" w:cs="Arial" w:eastAsia="Arial" w:hAnsi="Arial"/>
                <w:sz w:val="18"/>
                <w:szCs w:val="18"/>
                <w:i w:val="1"/>
                <w:iCs w:val="1"/>
                <w:color w:val="auto"/>
              </w:rPr>
              <w:t>(Dollars in Thousands)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44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800" w:type="dxa"/>
            <w:vAlign w:val="bottom"/>
          </w:tcPr>
          <w:p>
            <w:pPr>
              <w:jc w:val="right"/>
              <w:ind w:right="608"/>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22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0"/>
                <w:szCs w:val="20"/>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earnings, net of tax</w:t>
            </w:r>
          </w:p>
        </w:tc>
        <w:tc>
          <w:tcPr>
            <w:tcW w:w="8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Arial" w:cs="Arial" w:eastAsia="Arial" w:hAnsi="Arial"/>
                <w:sz w:val="18"/>
                <w:szCs w:val="18"/>
                <w:color w:val="auto"/>
              </w:rPr>
              <w:t>Comprehensive earnings attributable to noncontrolling</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44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800" w:type="dxa"/>
            <w:vAlign w:val="bottom"/>
          </w:tcPr>
          <w:p>
            <w:pPr>
              <w:jc w:val="right"/>
              <w:ind w:right="608"/>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420" w:type="dxa"/>
            <w:vAlign w:val="bottom"/>
          </w:tcPr>
          <w:p>
            <w:pPr>
              <w:jc w:val="right"/>
              <w:ind w:right="22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0"/>
                <w:szCs w:val="20"/>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Accumulated other comprehensive loss consists of unrealized gains and losses related to the funded status of pension and postretirement benefit plans; foreign currency translation; and the unamortized value of terminated forward starting interest rate swap agreements, and is presented on the Corporation’s consolidated balance sheets.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earnings, net of tax,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i w:val="1"/>
                <w:iCs w:val="1"/>
                <w:color w:val="auto"/>
                <w:w w:val="94"/>
              </w:rPr>
              <w:t>(Dollars in Thousands)</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Unamortized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Value of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Terminated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Accumulated</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Pension and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rPr>
              <w:t>Forward Starting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Postretirement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Interest Rate</w:t>
            </w:r>
          </w:p>
        </w:tc>
        <w:tc>
          <w:tcPr>
            <w:tcW w:w="60" w:type="dxa"/>
            <w:vAlign w:val="bottom"/>
          </w:tcPr>
          <w:p>
            <w:pPr>
              <w:spacing w:after="0"/>
              <w:rPr>
                <w:sz w:val="19"/>
                <w:szCs w:val="19"/>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Comprehensive</w:t>
            </w:r>
          </w:p>
        </w:tc>
      </w:tr>
      <w:tr>
        <w:trPr>
          <w:trHeight w:val="231"/>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Benefit Plans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Currency</w:t>
            </w:r>
          </w:p>
        </w:tc>
        <w:tc>
          <w:tcPr>
            <w:tcW w:w="1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Swap</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Loss</w:t>
            </w:r>
          </w:p>
        </w:tc>
      </w:tr>
      <w:tr>
        <w:trPr>
          <w:trHeight w:val="220"/>
        </w:trPr>
        <w:tc>
          <w:tcPr>
            <w:tcW w:w="5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7"/>
          </w:tcPr>
          <w:p>
            <w:pPr>
              <w:jc w:val="center"/>
              <w:ind w:right="20"/>
              <w:spacing w:after="0"/>
              <w:rPr>
                <w:sz w:val="20"/>
                <w:szCs w:val="20"/>
                <w:color w:val="auto"/>
              </w:rPr>
            </w:pPr>
            <w:r>
              <w:rPr>
                <w:rFonts w:ascii="Arial" w:cs="Arial" w:eastAsia="Arial" w:hAnsi="Arial"/>
                <w:sz w:val="18"/>
                <w:szCs w:val="18"/>
                <w:color w:val="auto"/>
                <w:w w:val="91"/>
              </w:rPr>
              <w:t>Three Months Ended September 30, 2016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(104,114)</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(106,068)</w:t>
            </w:r>
          </w:p>
        </w:tc>
        <w:tc>
          <w:tcPr>
            <w:tcW w:w="100" w:type="dxa"/>
            <w:vAlign w:val="bottom"/>
          </w:tcPr>
          <w:p>
            <w:pPr>
              <w:spacing w:after="0"/>
              <w:rPr>
                <w:sz w:val="19"/>
                <w:szCs w:val="19"/>
                <w:color w:val="auto"/>
              </w:rPr>
            </w:pPr>
          </w:p>
        </w:tc>
      </w:tr>
      <w:tr>
        <w:trPr>
          <w:trHeight w:val="203"/>
        </w:trPr>
        <w:tc>
          <w:tcPr>
            <w:tcW w:w="5420" w:type="dxa"/>
            <w:vAlign w:val="bottom"/>
            <w:tcBorders>
              <w:top w:val="single" w:sz="8" w:color="CFF2FA"/>
            </w:tcBorders>
            <w:shd w:val="clear" w:color="auto" w:fill="CFF2FA"/>
          </w:tcPr>
          <w:p>
            <w:pPr>
              <w:spacing w:after="0" w:line="203" w:lineRule="exact"/>
              <w:rPr>
                <w:sz w:val="20"/>
                <w:szCs w:val="20"/>
                <w:color w:val="auto"/>
              </w:rPr>
            </w:pPr>
            <w:r>
              <w:rPr>
                <w:rFonts w:ascii="Arial" w:cs="Arial" w:eastAsia="Arial" w:hAnsi="Arial"/>
                <w:sz w:val="18"/>
                <w:szCs w:val="18"/>
                <w:color w:val="auto"/>
              </w:rPr>
              <w:t>Other comprehensive earnings (loss) before</w:t>
            </w:r>
          </w:p>
        </w:tc>
        <w:tc>
          <w:tcPr>
            <w:tcW w:w="100" w:type="dxa"/>
            <w:vAlign w:val="bottom"/>
            <w:tcBorders>
              <w:top w:val="single" w:sz="8" w:color="auto"/>
            </w:tcBorders>
            <w:shd w:val="clear" w:color="auto" w:fill="CFF2FA"/>
          </w:tcPr>
          <w:p>
            <w:pPr>
              <w:spacing w:after="0"/>
              <w:rPr>
                <w:sz w:val="17"/>
                <w:szCs w:val="17"/>
                <w:color w:val="auto"/>
              </w:rPr>
            </w:pPr>
          </w:p>
        </w:tc>
        <w:tc>
          <w:tcPr>
            <w:tcW w:w="1180" w:type="dxa"/>
            <w:vAlign w:val="bottom"/>
            <w:tcBorders>
              <w:top w:val="single" w:sz="8" w:color="auto"/>
            </w:tcBorders>
            <w:shd w:val="clear" w:color="auto" w:fill="CFF2FA"/>
          </w:tcPr>
          <w:p>
            <w:pPr>
              <w:spacing w:after="0"/>
              <w:rPr>
                <w:sz w:val="17"/>
                <w:szCs w:val="17"/>
                <w:color w:val="auto"/>
              </w:rPr>
            </w:pPr>
          </w:p>
        </w:tc>
        <w:tc>
          <w:tcPr>
            <w:tcW w:w="80" w:type="dxa"/>
            <w:vAlign w:val="bottom"/>
            <w:tcBorders>
              <w:top w:val="single" w:sz="8" w:color="CFF2FA"/>
            </w:tcBorders>
            <w:shd w:val="clear" w:color="auto" w:fill="CFF2FA"/>
          </w:tcPr>
          <w:p>
            <w:pPr>
              <w:spacing w:after="0"/>
              <w:rPr>
                <w:sz w:val="17"/>
                <w:szCs w:val="17"/>
                <w:color w:val="auto"/>
              </w:rPr>
            </w:pPr>
          </w:p>
        </w:tc>
        <w:tc>
          <w:tcPr>
            <w:tcW w:w="160" w:type="dxa"/>
            <w:vAlign w:val="bottom"/>
            <w:tcBorders>
              <w:top w:val="single" w:sz="8" w:color="CFF2FA"/>
            </w:tcBorders>
            <w:shd w:val="clear" w:color="auto" w:fill="CFF2FA"/>
          </w:tcPr>
          <w:p>
            <w:pPr>
              <w:spacing w:after="0"/>
              <w:rPr>
                <w:sz w:val="17"/>
                <w:szCs w:val="17"/>
                <w:color w:val="auto"/>
              </w:rPr>
            </w:pPr>
          </w:p>
        </w:tc>
        <w:tc>
          <w:tcPr>
            <w:tcW w:w="200" w:type="dxa"/>
            <w:vAlign w:val="bottom"/>
            <w:tcBorders>
              <w:top w:val="single" w:sz="8" w:color="auto"/>
            </w:tcBorders>
            <w:shd w:val="clear" w:color="auto" w:fill="CFF2FA"/>
          </w:tcPr>
          <w:p>
            <w:pPr>
              <w:spacing w:after="0"/>
              <w:rPr>
                <w:sz w:val="17"/>
                <w:szCs w:val="17"/>
                <w:color w:val="auto"/>
              </w:rPr>
            </w:pPr>
          </w:p>
        </w:tc>
        <w:tc>
          <w:tcPr>
            <w:tcW w:w="1100" w:type="dxa"/>
            <w:vAlign w:val="bottom"/>
            <w:tcBorders>
              <w:top w:val="single" w:sz="8" w:color="auto"/>
            </w:tcBorders>
            <w:shd w:val="clear" w:color="auto" w:fill="CFF2FA"/>
          </w:tcPr>
          <w:p>
            <w:pPr>
              <w:spacing w:after="0"/>
              <w:rPr>
                <w:sz w:val="17"/>
                <w:szCs w:val="17"/>
                <w:color w:val="auto"/>
              </w:rPr>
            </w:pPr>
          </w:p>
        </w:tc>
        <w:tc>
          <w:tcPr>
            <w:tcW w:w="240" w:type="dxa"/>
            <w:vAlign w:val="bottom"/>
            <w:tcBorders>
              <w:top w:val="single" w:sz="8" w:color="CFF2FA"/>
            </w:tcBorders>
            <w:shd w:val="clear" w:color="auto" w:fill="CFF2FA"/>
          </w:tcPr>
          <w:p>
            <w:pPr>
              <w:spacing w:after="0"/>
              <w:rPr>
                <w:sz w:val="17"/>
                <w:szCs w:val="17"/>
                <w:color w:val="auto"/>
              </w:rPr>
            </w:pPr>
          </w:p>
        </w:tc>
        <w:tc>
          <w:tcPr>
            <w:tcW w:w="140" w:type="dxa"/>
            <w:vAlign w:val="bottom"/>
            <w:tcBorders>
              <w:top w:val="single" w:sz="8" w:color="auto"/>
            </w:tcBorders>
            <w:shd w:val="clear" w:color="auto" w:fill="CFF2FA"/>
          </w:tcPr>
          <w:p>
            <w:pPr>
              <w:spacing w:after="0"/>
              <w:rPr>
                <w:sz w:val="17"/>
                <w:szCs w:val="17"/>
                <w:color w:val="auto"/>
              </w:rPr>
            </w:pPr>
          </w:p>
        </w:tc>
        <w:tc>
          <w:tcPr>
            <w:tcW w:w="1160" w:type="dxa"/>
            <w:vAlign w:val="bottom"/>
            <w:tcBorders>
              <w:top w:val="single" w:sz="8" w:color="auto"/>
            </w:tcBorders>
            <w:shd w:val="clear" w:color="auto" w:fill="CFF2FA"/>
          </w:tcPr>
          <w:p>
            <w:pPr>
              <w:spacing w:after="0"/>
              <w:rPr>
                <w:sz w:val="17"/>
                <w:szCs w:val="17"/>
                <w:color w:val="auto"/>
              </w:rPr>
            </w:pPr>
          </w:p>
        </w:tc>
        <w:tc>
          <w:tcPr>
            <w:tcW w:w="180" w:type="dxa"/>
            <w:vAlign w:val="bottom"/>
            <w:tcBorders>
              <w:top w:val="single" w:sz="8" w:color="CFF2FA"/>
            </w:tcBorders>
            <w:shd w:val="clear" w:color="auto" w:fill="CFF2FA"/>
          </w:tcPr>
          <w:p>
            <w:pPr>
              <w:spacing w:after="0"/>
              <w:rPr>
                <w:sz w:val="17"/>
                <w:szCs w:val="17"/>
                <w:color w:val="auto"/>
              </w:rPr>
            </w:pPr>
          </w:p>
        </w:tc>
        <w:tc>
          <w:tcPr>
            <w:tcW w:w="60" w:type="dxa"/>
            <w:vAlign w:val="bottom"/>
            <w:tcBorders>
              <w:top w:val="single" w:sz="8" w:color="CFF2FA"/>
            </w:tcBorders>
            <w:shd w:val="clear" w:color="auto" w:fill="CFF2FA"/>
          </w:tcPr>
          <w:p>
            <w:pPr>
              <w:spacing w:after="0"/>
              <w:rPr>
                <w:sz w:val="17"/>
                <w:szCs w:val="17"/>
                <w:color w:val="auto"/>
              </w:rPr>
            </w:pPr>
          </w:p>
        </w:tc>
        <w:tc>
          <w:tcPr>
            <w:tcW w:w="120" w:type="dxa"/>
            <w:vAlign w:val="bottom"/>
            <w:tcBorders>
              <w:top w:val="single" w:sz="8" w:color="auto"/>
            </w:tcBorders>
            <w:shd w:val="clear" w:color="auto" w:fill="CFF2FA"/>
          </w:tcPr>
          <w:p>
            <w:pPr>
              <w:spacing w:after="0"/>
              <w:rPr>
                <w:sz w:val="17"/>
                <w:szCs w:val="17"/>
                <w:color w:val="auto"/>
              </w:rPr>
            </w:pPr>
          </w:p>
        </w:tc>
        <w:tc>
          <w:tcPr>
            <w:tcW w:w="1180" w:type="dxa"/>
            <w:vAlign w:val="bottom"/>
            <w:tcBorders>
              <w:top w:val="single" w:sz="8" w:color="auto"/>
            </w:tcBorders>
            <w:shd w:val="clear" w:color="auto" w:fill="CFF2FA"/>
          </w:tcPr>
          <w:p>
            <w:pPr>
              <w:spacing w:after="0"/>
              <w:rPr>
                <w:sz w:val="17"/>
                <w:szCs w:val="17"/>
                <w:color w:val="auto"/>
              </w:rPr>
            </w:pPr>
          </w:p>
        </w:tc>
        <w:tc>
          <w:tcPr>
            <w:tcW w:w="100" w:type="dxa"/>
            <w:vAlign w:val="bottom"/>
            <w:tcBorders>
              <w:top w:val="single" w:sz="8" w:color="CFF2FA"/>
            </w:tcBorders>
            <w:shd w:val="clear" w:color="auto" w:fill="CFF2FA"/>
          </w:tcPr>
          <w:p>
            <w:pPr>
              <w:spacing w:after="0"/>
              <w:rPr>
                <w:sz w:val="17"/>
                <w:szCs w:val="17"/>
                <w:color w:val="auto"/>
              </w:rPr>
            </w:pPr>
          </w:p>
        </w:tc>
      </w:tr>
      <w:tr>
        <w:trPr>
          <w:trHeight w:val="231"/>
        </w:trPr>
        <w:tc>
          <w:tcPr>
            <w:tcW w:w="5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reclassifications, net of tax</w:t>
            </w:r>
          </w:p>
        </w:tc>
        <w:tc>
          <w:tcPr>
            <w:tcW w:w="100" w:type="dxa"/>
            <w:vAlign w:val="bottom"/>
            <w:shd w:val="clear" w:color="auto" w:fill="CFF2FA"/>
          </w:tcPr>
          <w:p>
            <w:pPr>
              <w:spacing w:after="0"/>
              <w:rPr>
                <w:sz w:val="20"/>
                <w:szCs w:val="20"/>
                <w:color w:val="auto"/>
              </w:rPr>
            </w:pPr>
          </w:p>
        </w:tc>
        <w:tc>
          <w:tcPr>
            <w:tcW w:w="12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2FA"/>
          </w:tcPr>
          <w:p>
            <w:pPr>
              <w:spacing w:after="0"/>
              <w:rPr>
                <w:sz w:val="20"/>
                <w:szCs w:val="20"/>
                <w:color w:val="auto"/>
              </w:rPr>
            </w:pPr>
          </w:p>
        </w:tc>
        <w:tc>
          <w:tcPr>
            <w:tcW w:w="200" w:type="dxa"/>
            <w:vAlign w:val="bottom"/>
            <w:shd w:val="clear" w:color="auto" w:fill="CFF2FA"/>
          </w:tcPr>
          <w:p>
            <w:pPr>
              <w:spacing w:after="0"/>
              <w:rPr>
                <w:sz w:val="20"/>
                <w:szCs w:val="20"/>
                <w:color w:val="auto"/>
              </w:rPr>
            </w:pPr>
          </w:p>
        </w:tc>
        <w:tc>
          <w:tcPr>
            <w:tcW w:w="13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2FA"/>
          </w:tcPr>
          <w:p>
            <w:pPr>
              <w:spacing w:after="0"/>
              <w:rPr>
                <w:sz w:val="20"/>
                <w:szCs w:val="20"/>
                <w:color w:val="auto"/>
              </w:rPr>
            </w:pPr>
          </w:p>
        </w:tc>
        <w:tc>
          <w:tcPr>
            <w:tcW w:w="1340" w:type="dxa"/>
            <w:vAlign w:val="bottom"/>
            <w:gridSpan w:val="2"/>
            <w:shd w:val="clear" w:color="auto" w:fill="CFF2FA"/>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28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(198)</w:t>
            </w: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comprehensive earnings, net of tax</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0"/>
                <w:szCs w:val="20"/>
                <w:color w:val="auto"/>
              </w:rPr>
            </w:pPr>
          </w:p>
        </w:tc>
      </w:tr>
      <w:tr>
        <w:trPr>
          <w:trHeight w:val="220"/>
        </w:trPr>
        <w:tc>
          <w:tcPr>
            <w:tcW w:w="54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Other comprehensive earnings (loss), net of tax</w:t>
            </w: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CFF2FA"/>
            </w:tcBorders>
            <w:shd w:val="clear" w:color="auto" w:fill="CFF2FA"/>
          </w:tcPr>
          <w:p>
            <w:pPr>
              <w:spacing w:after="0"/>
              <w:rPr>
                <w:sz w:val="19"/>
                <w:szCs w:val="19"/>
                <w:color w:val="auto"/>
              </w:rPr>
            </w:pPr>
          </w:p>
        </w:tc>
        <w:tc>
          <w:tcPr>
            <w:tcW w:w="200" w:type="dxa"/>
            <w:vAlign w:val="bottom"/>
            <w:tcBorders>
              <w:top w:val="single" w:sz="8" w:color="auto"/>
              <w:bottom w:val="single" w:sz="8" w:color="auto"/>
            </w:tcBorders>
            <w:shd w:val="clear" w:color="auto" w:fill="CFF2FA"/>
          </w:tcPr>
          <w:p>
            <w:pPr>
              <w:spacing w:after="0"/>
              <w:rPr>
                <w:sz w:val="19"/>
                <w:szCs w:val="19"/>
                <w:color w:val="auto"/>
              </w:rPr>
            </w:pPr>
          </w:p>
        </w:tc>
        <w:tc>
          <w:tcPr>
            <w:tcW w:w="1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top w:val="single" w:sz="8" w:color="CFF2FA"/>
            </w:tcBorders>
            <w:shd w:val="clear" w:color="auto" w:fill="CFF2FA"/>
          </w:tcPr>
          <w:p>
            <w:pPr>
              <w:spacing w:after="0"/>
              <w:rPr>
                <w:sz w:val="19"/>
                <w:szCs w:val="19"/>
                <w:color w:val="auto"/>
              </w:rPr>
            </w:pPr>
          </w:p>
        </w:tc>
        <w:tc>
          <w:tcPr>
            <w:tcW w:w="6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CFF2FA"/>
            </w:tcBorders>
            <w:shd w:val="clear" w:color="auto" w:fill="CFF2FA"/>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(104,511)</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54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8"/>
                <w:szCs w:val="18"/>
                <w:color w:val="auto"/>
                <w:w w:val="91"/>
              </w:rPr>
              <w:t>Three Months Ended September 30, 2015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(111,663)</w:t>
            </w:r>
          </w:p>
        </w:tc>
        <w:tc>
          <w:tcPr>
            <w:tcW w:w="360" w:type="dxa"/>
            <w:vAlign w:val="bottom"/>
            <w:gridSpan w:val="2"/>
            <w:shd w:val="clear" w:color="auto" w:fill="CFF2FA"/>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1,219</w:t>
            </w:r>
          </w:p>
        </w:tc>
        <w:tc>
          <w:tcPr>
            <w:tcW w:w="24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(2,370)</w:t>
            </w:r>
          </w:p>
        </w:tc>
        <w:tc>
          <w:tcPr>
            <w:tcW w:w="1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(112,814)</w:t>
            </w:r>
          </w:p>
        </w:tc>
        <w:tc>
          <w:tcPr>
            <w:tcW w:w="100" w:type="dxa"/>
            <w:vAlign w:val="bottom"/>
            <w:shd w:val="clear" w:color="auto" w:fill="CFF2FA"/>
          </w:tcPr>
          <w:p>
            <w:pPr>
              <w:spacing w:after="0"/>
              <w:rPr>
                <w:sz w:val="19"/>
                <w:szCs w:val="19"/>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(1,757)</w:t>
            </w: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16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1"/>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earnings, net of tax</w:t>
            </w:r>
          </w:p>
        </w:tc>
        <w:tc>
          <w:tcPr>
            <w:tcW w:w="100" w:type="dxa"/>
            <w:vAlign w:val="bottom"/>
            <w:shd w:val="clear" w:color="auto" w:fill="CFF2FA"/>
          </w:tcPr>
          <w:p>
            <w:pPr>
              <w:spacing w:after="0"/>
              <w:rPr>
                <w:sz w:val="20"/>
                <w:szCs w:val="20"/>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200" w:type="dxa"/>
            <w:vAlign w:val="bottom"/>
            <w:shd w:val="clear" w:color="auto" w:fill="CFF2FA"/>
          </w:tcPr>
          <w:p>
            <w:pPr>
              <w:spacing w:after="0"/>
              <w:rPr>
                <w:sz w:val="20"/>
                <w:szCs w:val="20"/>
                <w:color w:val="auto"/>
              </w:rPr>
            </w:pPr>
          </w:p>
        </w:tc>
        <w:tc>
          <w:tcPr>
            <w:tcW w:w="134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2FA"/>
          </w:tcPr>
          <w:p>
            <w:pPr>
              <w:spacing w:after="0"/>
              <w:rPr>
                <w:sz w:val="20"/>
                <w:szCs w:val="20"/>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2FA"/>
          </w:tcPr>
          <w:p>
            <w:pPr>
              <w:spacing w:after="0"/>
              <w:rPr>
                <w:sz w:val="20"/>
                <w:szCs w:val="20"/>
                <w:color w:val="auto"/>
              </w:rPr>
            </w:pPr>
          </w:p>
        </w:tc>
        <w:tc>
          <w:tcPr>
            <w:tcW w:w="6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FF2FA"/>
          </w:tcPr>
          <w:p>
            <w:pPr>
              <w:spacing w:after="0"/>
              <w:rPr>
                <w:sz w:val="20"/>
                <w:szCs w:val="20"/>
                <w:color w:val="auto"/>
              </w:rPr>
            </w:pPr>
          </w:p>
        </w:tc>
      </w:tr>
      <w:tr>
        <w:trPr>
          <w:trHeight w:val="22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earnings (loss), net of tax</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80" w:type="dxa"/>
            <w:vAlign w:val="bottom"/>
            <w:tcBorders>
              <w:bottom w:val="single" w:sz="8" w:color="CFF2FA"/>
            </w:tcBorders>
          </w:tcPr>
          <w:p>
            <w:pPr>
              <w:spacing w:after="0"/>
              <w:rPr>
                <w:sz w:val="19"/>
                <w:szCs w:val="19"/>
                <w:color w:val="auto"/>
              </w:rPr>
            </w:pPr>
          </w:p>
        </w:tc>
        <w:tc>
          <w:tcPr>
            <w:tcW w:w="160" w:type="dxa"/>
            <w:vAlign w:val="bottom"/>
            <w:tcBorders>
              <w:bottom w:val="single" w:sz="8" w:color="CFF2FA"/>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40" w:type="dxa"/>
            <w:vAlign w:val="bottom"/>
            <w:tcBorders>
              <w:bottom w:val="single" w:sz="8" w:color="CFF2FA"/>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FF2FA"/>
            </w:tcBorders>
          </w:tcPr>
          <w:p>
            <w:pPr>
              <w:spacing w:after="0"/>
              <w:rPr>
                <w:sz w:val="19"/>
                <w:szCs w:val="19"/>
                <w:color w:val="auto"/>
              </w:rPr>
            </w:pPr>
          </w:p>
        </w:tc>
        <w:tc>
          <w:tcPr>
            <w:tcW w:w="60" w:type="dxa"/>
            <w:vAlign w:val="bottom"/>
            <w:tcBorders>
              <w:bottom w:val="single" w:sz="8" w:color="CFF2FA"/>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2FA"/>
            </w:tcBorders>
          </w:tcPr>
          <w:p>
            <w:pPr>
              <w:spacing w:after="0"/>
              <w:rPr>
                <w:sz w:val="19"/>
                <w:szCs w:val="19"/>
                <w:color w:val="auto"/>
              </w:rPr>
            </w:pPr>
          </w:p>
        </w:tc>
      </w:tr>
      <w:tr>
        <w:trPr>
          <w:trHeight w:val="22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(110,027)</w:t>
            </w:r>
          </w:p>
        </w:tc>
        <w:tc>
          <w:tcPr>
            <w:tcW w:w="80" w:type="dxa"/>
            <w:vAlign w:val="bottom"/>
            <w:tcBorders>
              <w:bottom w:val="single" w:sz="8" w:color="CFF2FA"/>
            </w:tcBorders>
            <w:shd w:val="clear" w:color="auto" w:fill="CFF2FA"/>
          </w:tcPr>
          <w:p>
            <w:pPr>
              <w:spacing w:after="0"/>
              <w:rPr>
                <w:sz w:val="19"/>
                <w:szCs w:val="19"/>
                <w:color w:val="auto"/>
              </w:rPr>
            </w:pPr>
          </w:p>
        </w:tc>
        <w:tc>
          <w:tcPr>
            <w:tcW w:w="160" w:type="dxa"/>
            <w:vAlign w:val="bottom"/>
            <w:tcBorders>
              <w:bottom w:val="single" w:sz="8" w:color="CFF2FA"/>
            </w:tcBorders>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jc w:val="right"/>
              <w:ind w:right="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Borders>
              <w:bottom w:val="single" w:sz="8" w:color="CFF2FA"/>
            </w:tcBorders>
            <w:shd w:val="clear" w:color="auto" w:fill="CFF2FA"/>
          </w:tcPr>
          <w:p>
            <w:pPr>
              <w:spacing w:after="0"/>
              <w:rPr>
                <w:sz w:val="19"/>
                <w:szCs w:val="19"/>
                <w:color w:val="auto"/>
              </w:rPr>
            </w:pPr>
          </w:p>
        </w:tc>
        <w:tc>
          <w:tcPr>
            <w:tcW w:w="6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(112,742)</w:t>
            </w:r>
          </w:p>
        </w:tc>
        <w:tc>
          <w:tcPr>
            <w:tcW w:w="100" w:type="dxa"/>
            <w:vAlign w:val="bottom"/>
            <w:tcBorders>
              <w:bottom w:val="single" w:sz="8" w:color="CFF2FA"/>
            </w:tcBorders>
            <w:shd w:val="clear" w:color="auto" w:fill="CFF2FA"/>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i w:val="1"/>
                <w:iCs w:val="1"/>
                <w:color w:val="auto"/>
                <w:w w:val="94"/>
              </w:rPr>
              <w:t>(Dollars 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Unamortized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Value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Terminated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Accumulated</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Pension and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Forward Starting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Postretirement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Interest Rate</w:t>
            </w:r>
          </w:p>
        </w:tc>
        <w:tc>
          <w:tcPr>
            <w:tcW w:w="80" w:type="dxa"/>
            <w:vAlign w:val="bottom"/>
          </w:tcPr>
          <w:p>
            <w:pPr>
              <w:spacing w:after="0"/>
              <w:rPr>
                <w:sz w:val="19"/>
                <w:szCs w:val="19"/>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Comprehensive</w:t>
            </w:r>
          </w:p>
        </w:tc>
      </w:tr>
      <w:tr>
        <w:trPr>
          <w:trHeight w:val="231"/>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Benefit Plans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Currency</w:t>
            </w:r>
          </w:p>
        </w:tc>
        <w:tc>
          <w:tcPr>
            <w:tcW w:w="14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Swap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Loss</w:t>
            </w:r>
          </w:p>
        </w:tc>
      </w:tr>
      <w:tr>
        <w:trPr>
          <w:trHeight w:val="220"/>
        </w:trPr>
        <w:tc>
          <w:tcPr>
            <w:tcW w:w="54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14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8"/>
                <w:szCs w:val="18"/>
                <w:color w:val="auto"/>
                <w:w w:val="92"/>
              </w:rPr>
              <w:t>Nine Months Ended September 30, 2016</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(103,380)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FF0FC"/>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(105,622)</w:t>
            </w:r>
          </w:p>
        </w:tc>
        <w:tc>
          <w:tcPr>
            <w:tcW w:w="100" w:type="dxa"/>
            <w:vAlign w:val="bottom"/>
            <w:shd w:val="clear" w:color="auto" w:fill="CFF2FA"/>
          </w:tcPr>
          <w:p>
            <w:pPr>
              <w:spacing w:after="0"/>
              <w:rPr>
                <w:sz w:val="19"/>
                <w:szCs w:val="19"/>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Other comprehensive loss before</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reclassifications, net of tax</w:t>
            </w: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(3,830)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(4,145)</w:t>
            </w: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1"/>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earnings, net of tax</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FF2FA"/>
          </w:tcPr>
          <w:p>
            <w:pPr>
              <w:spacing w:after="0"/>
              <w:rPr>
                <w:sz w:val="20"/>
                <w:szCs w:val="20"/>
                <w:color w:val="auto"/>
              </w:rPr>
            </w:pPr>
          </w:p>
        </w:tc>
      </w:tr>
      <w:tr>
        <w:trPr>
          <w:trHeight w:val="22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earnings (loss), net of tax</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FF2FA"/>
            </w:tcBorders>
          </w:tcPr>
          <w:p>
            <w:pPr>
              <w:spacing w:after="0"/>
              <w:rPr>
                <w:sz w:val="19"/>
                <w:szCs w:val="19"/>
                <w:color w:val="auto"/>
              </w:rPr>
            </w:pPr>
          </w:p>
        </w:tc>
      </w:tr>
      <w:tr>
        <w:trPr>
          <w:trHeight w:val="22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(102,567)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(104,511)</w:t>
            </w:r>
          </w:p>
        </w:tc>
        <w:tc>
          <w:tcPr>
            <w:tcW w:w="100" w:type="dxa"/>
            <w:vAlign w:val="bottom"/>
            <w:tcBorders>
              <w:bottom w:val="single" w:sz="8" w:color="CFF2FA"/>
            </w:tcBorders>
            <w:shd w:val="clear" w:color="auto" w:fill="CFF2FA"/>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54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2"/>
              </w:rPr>
              <w:t>Nine Months Ended September 30, 2015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(106,688)</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(106,159)</w:t>
            </w:r>
          </w:p>
        </w:tc>
        <w:tc>
          <w:tcPr>
            <w:tcW w:w="100" w:type="dxa"/>
            <w:vAlign w:val="bottom"/>
            <w:shd w:val="clear" w:color="auto" w:fill="CFF0FC"/>
          </w:tcPr>
          <w:p>
            <w:pPr>
              <w:spacing w:after="0"/>
              <w:rPr>
                <w:sz w:val="19"/>
                <w:szCs w:val="19"/>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Other comprehensive loss before</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reclassifications, net of tax</w:t>
            </w: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(10,845)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(3,816)</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(14,661)</w:t>
            </w: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1"/>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earnings, net of tax</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8,078</w:t>
            </w:r>
          </w:p>
        </w:tc>
        <w:tc>
          <w:tcPr>
            <w:tcW w:w="100" w:type="dxa"/>
            <w:vAlign w:val="bottom"/>
            <w:shd w:val="clear" w:color="auto" w:fill="CFF0FC"/>
          </w:tcPr>
          <w:p>
            <w:pPr>
              <w:spacing w:after="0"/>
              <w:rPr>
                <w:sz w:val="20"/>
                <w:szCs w:val="20"/>
                <w:color w:val="auto"/>
              </w:rPr>
            </w:pPr>
          </w:p>
        </w:tc>
      </w:tr>
      <w:tr>
        <w:trPr>
          <w:trHeight w:val="22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earnings, net of tax</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(6,583)</w:t>
            </w:r>
          </w:p>
        </w:tc>
        <w:tc>
          <w:tcPr>
            <w:tcW w:w="100" w:type="dxa"/>
            <w:vAlign w:val="bottom"/>
            <w:tcBorders>
              <w:bottom w:val="single" w:sz="8" w:color="CFF0FC"/>
            </w:tcBorders>
          </w:tcPr>
          <w:p>
            <w:pPr>
              <w:spacing w:after="0"/>
              <w:rPr>
                <w:sz w:val="19"/>
                <w:szCs w:val="19"/>
                <w:color w:val="auto"/>
              </w:rPr>
            </w:pPr>
          </w:p>
        </w:tc>
      </w:tr>
      <w:tr>
        <w:trPr>
          <w:trHeight w:val="22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(110,027)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380"/>
        <w:spacing w:after="0" w:line="280" w:lineRule="auto"/>
        <w:rPr>
          <w:sz w:val="20"/>
          <w:szCs w:val="20"/>
          <w:color w:val="auto"/>
        </w:rPr>
      </w:pPr>
      <w:r>
        <w:rPr>
          <w:rFonts w:ascii="Arial" w:cs="Arial" w:eastAsia="Arial" w:hAnsi="Arial"/>
          <w:sz w:val="18"/>
          <w:szCs w:val="18"/>
          <w:color w:val="auto"/>
        </w:rPr>
        <w:t>The other comprehensive loss before reclassifications for pension and postretirement benefit plans is net of tax of $2,405,000 and $6,793,000 for the nine months ended September 30,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 (continued)</w:t>
      </w:r>
    </w:p>
    <w:p>
      <w:pPr>
        <w:spacing w:after="0" w:line="11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net noncurrent deferred tax assets recorded in accumulated other comprehensive loss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8"/>
                <w:szCs w:val="18"/>
                <w:i w:val="1"/>
                <w:iCs w:val="1"/>
                <w:color w:val="auto"/>
                <w:w w:val="94"/>
              </w:rPr>
              <w:t>(Dollars in Thousands)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360"/>
              <w:spacing w:after="0" w:line="203" w:lineRule="exact"/>
              <w:rPr>
                <w:sz w:val="20"/>
                <w:szCs w:val="20"/>
                <w:color w:val="auto"/>
              </w:rPr>
            </w:pPr>
            <w:r>
              <w:rPr>
                <w:rFonts w:ascii="Arial" w:cs="Arial" w:eastAsia="Arial" w:hAnsi="Arial"/>
                <w:sz w:val="18"/>
                <w:szCs w:val="18"/>
                <w:color w:val="auto"/>
                <w:w w:val="89"/>
              </w:rPr>
              <w:t>Pension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3"/>
          </w:tcPr>
          <w:p>
            <w:pPr>
              <w:jc w:val="center"/>
              <w:ind w:right="400"/>
              <w:spacing w:after="0" w:line="203" w:lineRule="exact"/>
              <w:rPr>
                <w:sz w:val="20"/>
                <w:szCs w:val="20"/>
                <w:color w:val="auto"/>
              </w:rPr>
            </w:pPr>
            <w:r>
              <w:rPr>
                <w:rFonts w:ascii="Arial" w:cs="Arial" w:eastAsia="Arial" w:hAnsi="Arial"/>
                <w:sz w:val="18"/>
                <w:szCs w:val="18"/>
                <w:color w:val="auto"/>
                <w:w w:val="93"/>
              </w:rPr>
              <w:t>Unamortized Value of</w:t>
            </w:r>
          </w:p>
        </w:tc>
        <w:tc>
          <w:tcPr>
            <w:tcW w:w="140" w:type="dxa"/>
            <w:vAlign w:val="bottom"/>
          </w:tcPr>
          <w:p>
            <w:pPr>
              <w:spacing w:after="0"/>
              <w:rPr>
                <w:sz w:val="17"/>
                <w:szCs w:val="17"/>
                <w:color w:val="auto"/>
              </w:rPr>
            </w:pPr>
          </w:p>
        </w:tc>
        <w:tc>
          <w:tcPr>
            <w:tcW w:w="1380" w:type="dxa"/>
            <w:vAlign w:val="bottom"/>
          </w:tcPr>
          <w:p>
            <w:pPr>
              <w:jc w:val="center"/>
              <w:ind w:right="48"/>
              <w:spacing w:after="0" w:line="203" w:lineRule="exact"/>
              <w:rPr>
                <w:sz w:val="20"/>
                <w:szCs w:val="20"/>
                <w:color w:val="auto"/>
              </w:rPr>
            </w:pPr>
            <w:r>
              <w:rPr>
                <w:rFonts w:ascii="Arial" w:cs="Arial" w:eastAsia="Arial" w:hAnsi="Arial"/>
                <w:sz w:val="18"/>
                <w:szCs w:val="18"/>
                <w:color w:val="auto"/>
                <w:w w:val="95"/>
              </w:rPr>
              <w:t>Net Noncurrent</w:t>
            </w:r>
          </w:p>
        </w:tc>
        <w:tc>
          <w:tcPr>
            <w:tcW w:w="120" w:type="dxa"/>
            <w:vAlign w:val="bottom"/>
          </w:tcPr>
          <w:p>
            <w:pPr>
              <w:spacing w:after="0"/>
              <w:rPr>
                <w:sz w:val="17"/>
                <w:szCs w:val="17"/>
                <w:color w:val="auto"/>
              </w:rPr>
            </w:pPr>
          </w:p>
        </w:tc>
      </w:tr>
      <w:tr>
        <w:trPr>
          <w:trHeight w:val="214"/>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Postretirement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Terminated Forward Starting</w:t>
            </w: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Deferred Tax</w:t>
            </w:r>
          </w:p>
        </w:tc>
      </w:tr>
      <w:tr>
        <w:trPr>
          <w:trHeight w:val="231"/>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48"/>
              <w:spacing w:after="0"/>
              <w:rPr>
                <w:sz w:val="20"/>
                <w:szCs w:val="20"/>
                <w:color w:val="auto"/>
              </w:rPr>
            </w:pPr>
            <w:r>
              <w:rPr>
                <w:rFonts w:ascii="Arial" w:cs="Arial" w:eastAsia="Arial" w:hAnsi="Arial"/>
                <w:sz w:val="18"/>
                <w:szCs w:val="18"/>
                <w:color w:val="auto"/>
                <w:w w:val="94"/>
              </w:rPr>
              <w:t>Benefit 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right="28"/>
              <w:spacing w:after="0"/>
              <w:rPr>
                <w:sz w:val="20"/>
                <w:szCs w:val="20"/>
                <w:color w:val="auto"/>
              </w:rPr>
            </w:pPr>
            <w:r>
              <w:rPr>
                <w:rFonts w:ascii="Arial" w:cs="Arial" w:eastAsia="Arial" w:hAnsi="Arial"/>
                <w:sz w:val="18"/>
                <w:szCs w:val="18"/>
                <w:color w:val="auto"/>
                <w:w w:val="91"/>
              </w:rPr>
              <w:t>Interest Rate Swap</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20"/>
                <w:szCs w:val="20"/>
                <w:color w:val="auto"/>
              </w:rPr>
            </w:pPr>
          </w:p>
        </w:tc>
      </w:tr>
      <w:tr>
        <w:trPr>
          <w:trHeight w:val="44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7"/>
          </w:tcPr>
          <w:p>
            <w:pPr>
              <w:jc w:val="center"/>
              <w:ind w:left="1188"/>
              <w:spacing w:after="0"/>
              <w:rPr>
                <w:sz w:val="20"/>
                <w:szCs w:val="20"/>
                <w:color w:val="auto"/>
              </w:rPr>
            </w:pPr>
            <w:r>
              <w:rPr>
                <w:rFonts w:ascii="Arial" w:cs="Arial" w:eastAsia="Arial" w:hAnsi="Arial"/>
                <w:sz w:val="18"/>
                <w:szCs w:val="18"/>
                <w:color w:val="auto"/>
                <w:w w:val="91"/>
              </w:rPr>
              <w:t>Three Months Ended September 30, 2016</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50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66,931</w:t>
            </w:r>
          </w:p>
        </w:tc>
        <w:tc>
          <w:tcPr>
            <w:tcW w:w="1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67,954</w:t>
            </w:r>
          </w:p>
        </w:tc>
        <w:tc>
          <w:tcPr>
            <w:tcW w:w="120" w:type="dxa"/>
            <w:vAlign w:val="bottom"/>
          </w:tcPr>
          <w:p>
            <w:pPr>
              <w:spacing w:after="0"/>
              <w:rPr>
                <w:sz w:val="20"/>
                <w:szCs w:val="20"/>
                <w:color w:val="auto"/>
              </w:rPr>
            </w:pPr>
          </w:p>
        </w:tc>
      </w:tr>
      <w:tr>
        <w:trPr>
          <w:trHeight w:val="227"/>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(1,122)</w:t>
            </w:r>
          </w:p>
        </w:tc>
      </w:tr>
      <w:tr>
        <w:trPr>
          <w:trHeight w:val="220"/>
        </w:trPr>
        <w:tc>
          <w:tcPr>
            <w:tcW w:w="5040" w:type="dxa"/>
            <w:vAlign w:val="bottom"/>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66,832</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7"/>
          </w:tcPr>
          <w:p>
            <w:pPr>
              <w:jc w:val="center"/>
              <w:ind w:left="1188"/>
              <w:spacing w:after="0"/>
              <w:rPr>
                <w:sz w:val="20"/>
                <w:szCs w:val="20"/>
                <w:color w:val="auto"/>
              </w:rPr>
            </w:pPr>
            <w:r>
              <w:rPr>
                <w:rFonts w:ascii="Arial" w:cs="Arial" w:eastAsia="Arial" w:hAnsi="Arial"/>
                <w:sz w:val="18"/>
                <w:szCs w:val="18"/>
                <w:color w:val="auto"/>
                <w:w w:val="91"/>
              </w:rPr>
              <w:t>Three Months Ended September 30, 2015</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71,625</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73,179</w:t>
            </w:r>
          </w:p>
        </w:tc>
        <w:tc>
          <w:tcPr>
            <w:tcW w:w="120" w:type="dxa"/>
            <w:vAlign w:val="bottom"/>
            <w:shd w:val="clear" w:color="auto" w:fill="CFF0FC"/>
          </w:tcPr>
          <w:p>
            <w:pPr>
              <w:spacing w:after="0"/>
              <w:rPr>
                <w:sz w:val="19"/>
                <w:szCs w:val="19"/>
                <w:color w:val="auto"/>
              </w:rPr>
            </w:pPr>
          </w:p>
        </w:tc>
      </w:tr>
      <w:tr>
        <w:trPr>
          <w:trHeight w:val="227"/>
        </w:trPr>
        <w:tc>
          <w:tcPr>
            <w:tcW w:w="5040" w:type="dxa"/>
            <w:vAlign w:val="bottom"/>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(1,167)</w:t>
            </w:r>
          </w:p>
        </w:tc>
      </w:tr>
      <w:tr>
        <w:trPr>
          <w:trHeight w:val="220"/>
        </w:trPr>
        <w:tc>
          <w:tcPr>
            <w:tcW w:w="5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5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7"/>
          </w:tcPr>
          <w:p>
            <w:pPr>
              <w:jc w:val="center"/>
              <w:ind w:left="1208"/>
              <w:spacing w:after="0"/>
              <w:rPr>
                <w:sz w:val="20"/>
                <w:szCs w:val="20"/>
                <w:color w:val="auto"/>
              </w:rPr>
            </w:pPr>
            <w:r>
              <w:rPr>
                <w:rFonts w:ascii="Arial" w:cs="Arial" w:eastAsia="Arial" w:hAnsi="Arial"/>
                <w:sz w:val="18"/>
                <w:szCs w:val="18"/>
                <w:color w:val="auto"/>
                <w:w w:val="92"/>
              </w:rPr>
              <w:t>Nine Months Ended September 30, 2016</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50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66,467</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67,757</w:t>
            </w:r>
          </w:p>
        </w:tc>
        <w:tc>
          <w:tcPr>
            <w:tcW w:w="120" w:type="dxa"/>
            <w:vAlign w:val="bottom"/>
          </w:tcPr>
          <w:p>
            <w:pPr>
              <w:spacing w:after="0"/>
              <w:rPr>
                <w:sz w:val="19"/>
                <w:szCs w:val="19"/>
                <w:color w:val="auto"/>
              </w:rPr>
            </w:pPr>
          </w:p>
        </w:tc>
      </w:tr>
      <w:tr>
        <w:trPr>
          <w:trHeight w:val="227"/>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(925)</w:t>
            </w:r>
          </w:p>
        </w:tc>
      </w:tr>
      <w:tr>
        <w:trPr>
          <w:trHeight w:val="220"/>
        </w:trPr>
        <w:tc>
          <w:tcPr>
            <w:tcW w:w="5040" w:type="dxa"/>
            <w:vAlign w:val="bottom"/>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66,832</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50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7"/>
          </w:tcPr>
          <w:p>
            <w:pPr>
              <w:jc w:val="center"/>
              <w:ind w:left="1208"/>
              <w:spacing w:after="0"/>
              <w:rPr>
                <w:sz w:val="20"/>
                <w:szCs w:val="20"/>
                <w:color w:val="auto"/>
              </w:rPr>
            </w:pPr>
            <w:r>
              <w:rPr>
                <w:rFonts w:ascii="Arial" w:cs="Arial" w:eastAsia="Arial" w:hAnsi="Arial"/>
                <w:sz w:val="18"/>
                <w:szCs w:val="18"/>
                <w:color w:val="auto"/>
                <w:w w:val="92"/>
              </w:rPr>
              <w:t>Nine Months Ended September 30, 2015</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2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68,568</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70,367</w:t>
            </w:r>
          </w:p>
        </w:tc>
        <w:tc>
          <w:tcPr>
            <w:tcW w:w="120" w:type="dxa"/>
            <w:vAlign w:val="bottom"/>
            <w:shd w:val="clear" w:color="auto" w:fill="CFF0FC"/>
          </w:tcPr>
          <w:p>
            <w:pPr>
              <w:spacing w:after="0"/>
              <w:rPr>
                <w:sz w:val="19"/>
                <w:szCs w:val="19"/>
                <w:color w:val="auto"/>
              </w:rPr>
            </w:pPr>
          </w:p>
        </w:tc>
      </w:tr>
      <w:tr>
        <w:trPr>
          <w:trHeight w:val="227"/>
        </w:trPr>
        <w:tc>
          <w:tcPr>
            <w:tcW w:w="5040" w:type="dxa"/>
            <w:vAlign w:val="bottom"/>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9"/>
                <w:szCs w:val="19"/>
                <w:color w:val="auto"/>
              </w:rPr>
            </w:pPr>
          </w:p>
        </w:tc>
      </w:tr>
      <w:tr>
        <w:trPr>
          <w:trHeight w:val="220"/>
        </w:trPr>
        <w:tc>
          <w:tcPr>
            <w:tcW w:w="5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right="3840"/>
        <w:spacing w:after="0" w:line="395"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Consolidated Comprehensive Earnings/Loss and Accumulated Other Comprehensive Loss (continued) </w:t>
      </w:r>
      <w:r>
        <w:rPr>
          <w:rFonts w:ascii="Arial" w:cs="Arial" w:eastAsia="Arial" w:hAnsi="Arial"/>
          <w:sz w:val="17"/>
          <w:szCs w:val="17"/>
          <w:color w:val="auto"/>
        </w:rPr>
        <w:t>Reclassifications out of accumulated other comprehensive loss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Affected line items in the consol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statements of earnings and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4"/>
              </w:rPr>
              <w:t>2015</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comprehensive earnings</w:t>
            </w:r>
          </w:p>
        </w:tc>
        <w:tc>
          <w:tcPr>
            <w:tcW w:w="0" w:type="dxa"/>
            <w:vAlign w:val="bottom"/>
          </w:tcPr>
          <w:p>
            <w:pPr>
              <w:spacing w:after="0"/>
              <w:rPr>
                <w:sz w:val="1"/>
                <w:szCs w:val="1"/>
                <w:color w:val="auto"/>
              </w:rPr>
            </w:pPr>
          </w:p>
        </w:tc>
      </w:tr>
      <w:tr>
        <w:trPr>
          <w:trHeight w:val="216"/>
        </w:trPr>
        <w:tc>
          <w:tcPr>
            <w:tcW w:w="2580" w:type="dxa"/>
            <w:vAlign w:val="bottom"/>
            <w:gridSpan w:val="2"/>
            <w:vMerge w:val="restart"/>
          </w:tcPr>
          <w:p>
            <w:pPr>
              <w:spacing w:after="0"/>
              <w:rPr>
                <w:sz w:val="20"/>
                <w:szCs w:val="20"/>
                <w:color w:val="auto"/>
              </w:rPr>
            </w:pPr>
            <w:r>
              <w:rPr>
                <w:rFonts w:ascii="Arial" w:cs="Arial" w:eastAsia="Arial" w:hAnsi="Arial"/>
                <w:sz w:val="18"/>
                <w:szCs w:val="18"/>
                <w:color w:val="auto"/>
              </w:rPr>
              <w:t>Pension and postretirement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gridSpan w:val="6"/>
          </w:tcPr>
          <w:p>
            <w:pPr>
              <w:jc w:val="right"/>
              <w:ind w:right="800"/>
              <w:spacing w:after="0"/>
              <w:rPr>
                <w:sz w:val="20"/>
                <w:szCs w:val="20"/>
                <w:color w:val="auto"/>
              </w:rPr>
            </w:pPr>
            <w:r>
              <w:rPr>
                <w:rFonts w:ascii="Arial" w:cs="Arial" w:eastAsia="Arial" w:hAnsi="Arial"/>
                <w:sz w:val="18"/>
                <w:szCs w:val="18"/>
                <w:i w:val="1"/>
                <w:iCs w:val="1"/>
                <w:color w:val="auto"/>
                <w:w w:val="97"/>
              </w:rPr>
              <w:t>(Dollars in Thousands)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5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benefit plans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220"/>
              <w:spacing w:after="0"/>
              <w:rPr>
                <w:sz w:val="20"/>
                <w:szCs w:val="20"/>
                <w:color w:val="auto"/>
              </w:rPr>
            </w:pPr>
            <w:r>
              <w:rPr>
                <w:rFonts w:ascii="Arial" w:cs="Arial" w:eastAsia="Arial" w:hAnsi="Arial"/>
                <w:sz w:val="18"/>
                <w:szCs w:val="18"/>
                <w:color w:val="auto"/>
              </w:rPr>
              <w:t>Settlement charge</w:t>
            </w:r>
          </w:p>
        </w:tc>
        <w:tc>
          <w:tcPr>
            <w:tcW w:w="7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Arial" w:cs="Arial" w:eastAsia="Arial" w:hAnsi="Arial"/>
                <w:sz w:val="18"/>
                <w:szCs w:val="18"/>
                <w:color w:val="auto"/>
              </w:rPr>
              <w:t>Amortization of:</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Prior service credit</w:t>
            </w: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(468)</w:t>
            </w:r>
          </w:p>
        </w:tc>
        <w:tc>
          <w:tcPr>
            <w:tcW w:w="36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(1,209)</w:t>
            </w:r>
          </w:p>
        </w:tc>
        <w:tc>
          <w:tcPr>
            <w:tcW w:w="400" w:type="dxa"/>
            <w:vAlign w:val="bottom"/>
            <w:gridSpan w:val="2"/>
            <w:shd w:val="clear" w:color="auto" w:fill="CFF0FC"/>
          </w:tcPr>
          <w:p>
            <w:pPr>
              <w:jc w:val="right"/>
              <w:ind w:right="27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(1,407)</w:t>
            </w:r>
          </w:p>
        </w:tc>
        <w:tc>
          <w:tcPr>
            <w:tcW w:w="2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Actuarial loss</w:t>
            </w:r>
          </w:p>
        </w:tc>
        <w:tc>
          <w:tcPr>
            <w:tcW w:w="4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13,691</w:t>
            </w: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7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ind w:left="20"/>
              <w:spacing w:after="0" w:line="187" w:lineRule="exact"/>
              <w:rPr>
                <w:sz w:val="20"/>
                <w:szCs w:val="20"/>
                <w:color w:val="auto"/>
              </w:rPr>
            </w:pPr>
            <w:r>
              <w:rPr>
                <w:rFonts w:ascii="Arial" w:cs="Arial" w:eastAsia="Arial" w:hAnsi="Arial"/>
                <w:sz w:val="18"/>
                <w:szCs w:val="18"/>
                <w:color w:val="auto"/>
              </w:rPr>
              <w:t>Cost of sales; Selling, general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w w:val="96"/>
              </w:rPr>
              <w:t>and administrative expenses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220"/>
              <w:spacing w:after="0"/>
              <w:rPr>
                <w:sz w:val="20"/>
                <w:szCs w:val="20"/>
                <w:color w:val="auto"/>
              </w:rPr>
            </w:pPr>
            <w:r>
              <w:rPr>
                <w:rFonts w:ascii="Arial" w:cs="Arial" w:eastAsia="Arial" w:hAnsi="Arial"/>
                <w:sz w:val="18"/>
                <w:szCs w:val="18"/>
                <w:color w:val="auto"/>
              </w:rPr>
              <w:t>Tax benefit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(2,888)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40" w:type="dxa"/>
            <w:vAlign w:val="bottom"/>
            <w:gridSpan w:val="4"/>
          </w:tcPr>
          <w:p>
            <w:pPr>
              <w:jc w:val="right"/>
              <w:ind w:right="1412"/>
              <w:spacing w:after="0"/>
              <w:rPr>
                <w:sz w:val="20"/>
                <w:szCs w:val="20"/>
                <w:color w:val="auto"/>
              </w:rPr>
            </w:pPr>
            <w:r>
              <w:rPr>
                <w:rFonts w:ascii="Arial" w:cs="Arial" w:eastAsia="Arial" w:hAnsi="Arial"/>
                <w:sz w:val="18"/>
                <w:szCs w:val="18"/>
                <w:color w:val="auto"/>
              </w:rPr>
              <w:t>(4,778) Taxes on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6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7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2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Unamortized value of</w:t>
            </w: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terminated forward starting</w:t>
            </w: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rate swap</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220"/>
              <w:spacing w:after="0"/>
              <w:rPr>
                <w:sz w:val="20"/>
                <w:szCs w:val="20"/>
                <w:color w:val="auto"/>
              </w:rPr>
            </w:pPr>
            <w:r>
              <w:rPr>
                <w:rFonts w:ascii="Arial" w:cs="Arial" w:eastAsia="Arial" w:hAnsi="Arial"/>
                <w:sz w:val="18"/>
                <w:szCs w:val="18"/>
                <w:color w:val="auto"/>
              </w:rPr>
              <w:t>Additional interest expense</w:t>
            </w:r>
          </w:p>
        </w:tc>
        <w:tc>
          <w:tcPr>
            <w:tcW w:w="7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5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8"/>
                <w:szCs w:val="18"/>
                <w:color w:val="auto"/>
              </w:rPr>
            </w:pP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 benefit</w:t>
            </w: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40" w:type="dxa"/>
            <w:vAlign w:val="bottom"/>
            <w:gridSpan w:val="4"/>
            <w:shd w:val="clear" w:color="auto" w:fill="CFF0FC"/>
          </w:tcPr>
          <w:p>
            <w:pPr>
              <w:jc w:val="right"/>
              <w:ind w:right="1412"/>
              <w:spacing w:after="0"/>
              <w:rPr>
                <w:sz w:val="20"/>
                <w:szCs w:val="20"/>
                <w:color w:val="auto"/>
              </w:rPr>
            </w:pPr>
            <w:r>
              <w:rPr>
                <w:rFonts w:ascii="Arial" w:cs="Arial" w:eastAsia="Arial" w:hAnsi="Arial"/>
                <w:sz w:val="18"/>
                <w:szCs w:val="18"/>
                <w:color w:val="auto"/>
              </w:rPr>
              <w:t>(370) Taxes on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13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520"/>
          </w:cols>
          <w:pgMar w:left="240" w:top="124" w:right="1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right="7640" w:hanging="379"/>
        <w:spacing w:after="0" w:line="389" w:lineRule="auto"/>
        <w:tabs>
          <w:tab w:leader="none" w:pos="37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(continued) Earnings per Common Share</w:t>
      </w:r>
    </w:p>
    <w:p>
      <w:pPr>
        <w:jc w:val="both"/>
        <w:ind w:left="38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The numerator for basic and diluted earnings per common share is net earnings attributable to Martin Marietta Materials, Inc. reduced by dividends and undistributed earnings attributable to certain of the Corporation’s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Corporation’s Board of Directors under certain stock-based compensation arrangements if the conversion is dilutive. For the three and nine months ended September 30, 2016 and 2015, the diluted per-share computations reflect a change in the number of common shares outstanding to include the number of additional shares that would have been outstanding if the potentially dilutive common shares had been issued.</w:t>
      </w:r>
    </w:p>
    <w:p>
      <w:pPr>
        <w:spacing w:after="0" w:line="157"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right"/>
              <w:ind w:right="368"/>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Nine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jc w:val="right"/>
              <w:ind w:right="628"/>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September 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10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159,479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117,544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326,526</w:t>
            </w:r>
          </w:p>
        </w:tc>
        <w:tc>
          <w:tcPr>
            <w:tcW w:w="240" w:type="dxa"/>
            <w:vAlign w:val="bottom"/>
          </w:tcPr>
          <w:p>
            <w:pPr>
              <w:spacing w:after="0"/>
              <w:rPr>
                <w:sz w:val="20"/>
                <w:szCs w:val="20"/>
                <w:color w:val="auto"/>
              </w:rPr>
            </w:pPr>
          </w:p>
        </w:tc>
        <w:tc>
          <w:tcPr>
            <w:tcW w:w="220" w:type="dxa"/>
            <w:vAlign w:val="bottom"/>
          </w:tcPr>
          <w:p>
            <w:pPr>
              <w:jc w:val="right"/>
              <w:ind w:right="2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205,607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and undistributed earnings attributable to</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unvested awards</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3" w:lineRule="exact"/>
              <w:rPr>
                <w:sz w:val="20"/>
                <w:szCs w:val="20"/>
                <w:color w:val="auto"/>
              </w:rPr>
            </w:pPr>
            <w:r>
              <w:rPr>
                <w:rFonts w:ascii="Arial" w:cs="Arial" w:eastAsia="Arial" w:hAnsi="Arial"/>
                <w:sz w:val="18"/>
                <w:szCs w:val="18"/>
                <w:color w:val="auto"/>
              </w:rPr>
              <w:t>Basic and diluted net earnings available to common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shareholders attributable to Martin Marietta Materials, Inc.</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158,842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117,065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325,138</w:t>
            </w:r>
          </w:p>
        </w:tc>
        <w:tc>
          <w:tcPr>
            <w:tcW w:w="24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204,710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Basic weighted-average common shares outstanding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employee and director awards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00" w:type="dxa"/>
            <w:vAlign w:val="bottom"/>
            <w:gridSpan w:val="2"/>
          </w:tcPr>
          <w:p>
            <w:pPr>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67,108</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380" w:hanging="379"/>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1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goodwill by reportable segment and in total: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left="828"/>
              <w:spacing w:after="0"/>
              <w:rPr>
                <w:sz w:val="20"/>
                <w:szCs w:val="20"/>
                <w:color w:val="auto"/>
              </w:rPr>
            </w:pPr>
            <w:r>
              <w:rPr>
                <w:rFonts w:ascii="Arial" w:cs="Arial" w:eastAsia="Arial" w:hAnsi="Arial"/>
                <w:sz w:val="18"/>
                <w:szCs w:val="18"/>
                <w:i w:val="1"/>
                <w:iCs w:val="1"/>
                <w:color w:val="auto"/>
                <w:w w:val="94"/>
              </w:rPr>
              <w:t>(Dollars in Thousands)</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Mid-America</w:t>
            </w:r>
          </w:p>
        </w:tc>
        <w:tc>
          <w:tcPr>
            <w:tcW w:w="180" w:type="dxa"/>
            <w:vAlign w:val="bottom"/>
          </w:tcPr>
          <w:p>
            <w:pPr>
              <w:spacing w:after="0"/>
              <w:rPr>
                <w:sz w:val="18"/>
                <w:szCs w:val="18"/>
                <w:color w:val="auto"/>
              </w:rPr>
            </w:pPr>
          </w:p>
        </w:tc>
        <w:tc>
          <w:tcPr>
            <w:tcW w:w="1140" w:type="dxa"/>
            <w:vAlign w:val="bottom"/>
          </w:tcPr>
          <w:p>
            <w:pPr>
              <w:jc w:val="right"/>
              <w:ind w:right="188"/>
              <w:spacing w:after="0"/>
              <w:rPr>
                <w:sz w:val="20"/>
                <w:szCs w:val="20"/>
                <w:color w:val="auto"/>
              </w:rPr>
            </w:pPr>
            <w:r>
              <w:rPr>
                <w:rFonts w:ascii="Arial" w:cs="Arial" w:eastAsia="Arial" w:hAnsi="Arial"/>
                <w:sz w:val="18"/>
                <w:szCs w:val="18"/>
                <w:b w:val="1"/>
                <w:bCs w:val="1"/>
                <w:color w:val="auto"/>
                <w:w w:val="96"/>
              </w:rPr>
              <w:t>Southeast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West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Group</w:t>
            </w:r>
          </w:p>
        </w:tc>
        <w:tc>
          <w:tcPr>
            <w:tcW w:w="180" w:type="dxa"/>
            <w:vAlign w:val="bottom"/>
          </w:tcPr>
          <w:p>
            <w:pPr>
              <w:spacing w:after="0"/>
              <w:rPr>
                <w:sz w:val="20"/>
                <w:szCs w:val="20"/>
                <w:color w:val="auto"/>
              </w:rPr>
            </w:pPr>
          </w:p>
        </w:tc>
        <w:tc>
          <w:tcPr>
            <w:tcW w:w="1140" w:type="dxa"/>
            <w:vAlign w:val="bottom"/>
          </w:tcPr>
          <w:p>
            <w:pPr>
              <w:jc w:val="right"/>
              <w:ind w:right="308"/>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Group</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Cement</w:t>
            </w: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20"/>
        </w:trPr>
        <w:tc>
          <w:tcPr>
            <w:tcW w:w="4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120" w:type="dxa"/>
            <w:vAlign w:val="bottom"/>
            <w:tcBorders>
              <w:top w:val="single" w:sz="8" w:color="auto"/>
              <w:bottom w:val="single" w:sz="8" w:color="auto"/>
            </w:tcBorders>
            <w:gridSpan w:val="9"/>
          </w:tcPr>
          <w:p>
            <w:pPr>
              <w:jc w:val="center"/>
              <w:ind w:right="260"/>
              <w:spacing w:after="0"/>
              <w:rPr>
                <w:sz w:val="20"/>
                <w:szCs w:val="20"/>
                <w:color w:val="auto"/>
              </w:rPr>
            </w:pPr>
            <w:r>
              <w:rPr>
                <w:rFonts w:ascii="Arial" w:cs="Arial" w:eastAsia="Arial" w:hAnsi="Arial"/>
                <w:sz w:val="18"/>
                <w:szCs w:val="18"/>
                <w:color w:val="auto"/>
                <w:w w:val="92"/>
              </w:rPr>
              <w:t>Nine Months Ended September 30, 2016</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50,346</w:t>
            </w:r>
          </w:p>
        </w:tc>
        <w:tc>
          <w:tcPr>
            <w:tcW w:w="36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871,220</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865,266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2,068,235</w:t>
            </w:r>
          </w:p>
        </w:tc>
        <w:tc>
          <w:tcPr>
            <w:tcW w:w="100" w:type="dxa"/>
            <w:vAlign w:val="bottom"/>
            <w:shd w:val="clear" w:color="auto" w:fill="CFF0FC"/>
          </w:tcPr>
          <w:p>
            <w:pPr>
              <w:spacing w:after="0"/>
              <w:rPr>
                <w:sz w:val="19"/>
                <w:szCs w:val="19"/>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92,442</w:t>
            </w:r>
          </w:p>
        </w:tc>
        <w:tc>
          <w:tcPr>
            <w:tcW w:w="100" w:type="dxa"/>
            <w:vAlign w:val="bottom"/>
          </w:tcPr>
          <w:p>
            <w:pPr>
              <w:spacing w:after="0"/>
              <w:rPr>
                <w:sz w:val="19"/>
                <w:szCs w:val="19"/>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Disposal</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20"/>
        </w:trPr>
        <w:tc>
          <w:tcPr>
            <w:tcW w:w="426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963,590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865,266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2,160,605</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40" w:type="dxa"/>
            <w:vAlign w:val="bottom"/>
          </w:tcPr>
          <w:p>
            <w:pPr>
              <w:spacing w:after="0"/>
              <w:rPr>
                <w:sz w:val="20"/>
                <w:szCs w:val="20"/>
                <w:color w:val="auto"/>
              </w:rPr>
            </w:pPr>
            <w:r>
              <w:rPr>
                <w:rFonts w:ascii="Arial" w:cs="Arial" w:eastAsia="Arial" w:hAnsi="Arial"/>
                <w:sz w:val="18"/>
                <w:szCs w:val="18"/>
                <w:b w:val="1"/>
                <w:bCs w:val="1"/>
                <w:color w:val="auto"/>
              </w:rPr>
              <w:t>3.   Inventories, Net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4"/>
        </w:trPr>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September 30,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December 31,</w:t>
            </w: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September 30,</w:t>
            </w:r>
          </w:p>
        </w:tc>
      </w:tr>
      <w:tr>
        <w:trPr>
          <w:trHeight w:val="231"/>
        </w:trPr>
        <w:tc>
          <w:tcPr>
            <w:tcW w:w="6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88"/>
              <w:spacing w:after="0"/>
              <w:rPr>
                <w:sz w:val="20"/>
                <w:szCs w:val="20"/>
                <w:color w:val="auto"/>
              </w:rPr>
            </w:pPr>
            <w:r>
              <w:rPr>
                <w:rFonts w:ascii="Arial" w:cs="Arial" w:eastAsia="Arial" w:hAnsi="Arial"/>
                <w:sz w:val="18"/>
                <w:szCs w:val="18"/>
                <w:color w:val="auto"/>
                <w:w w:val="94"/>
              </w:rPr>
              <w:t>2015</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20"/>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8"/>
                <w:szCs w:val="18"/>
                <w:i w:val="1"/>
                <w:iCs w:val="1"/>
                <w:color w:val="auto"/>
                <w:w w:val="94"/>
              </w:rPr>
              <w:t>(Dollars in Thousands)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462,698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433,649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420,027</w:t>
            </w:r>
          </w:p>
        </w:tc>
        <w:tc>
          <w:tcPr>
            <w:tcW w:w="120" w:type="dxa"/>
            <w:vAlign w:val="bottom"/>
            <w:shd w:val="clear" w:color="auto" w:fill="CFF0FC"/>
          </w:tcPr>
          <w:p>
            <w:pPr>
              <w:spacing w:after="0"/>
              <w:rPr>
                <w:sz w:val="19"/>
                <w:szCs w:val="19"/>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Products in process and raw materials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55,194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59,005</w:t>
            </w:r>
          </w:p>
        </w:tc>
        <w:tc>
          <w:tcPr>
            <w:tcW w:w="120" w:type="dxa"/>
            <w:vAlign w:val="bottom"/>
          </w:tcPr>
          <w:p>
            <w:pPr>
              <w:spacing w:after="0"/>
              <w:rPr>
                <w:sz w:val="19"/>
                <w:szCs w:val="19"/>
                <w:color w:val="auto"/>
              </w:rPr>
            </w:pPr>
          </w:p>
        </w:tc>
      </w:tr>
      <w:tr>
        <w:trPr>
          <w:trHeight w:val="227"/>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Supplies and expendable parts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114,872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110,882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108,759</w:t>
            </w:r>
          </w:p>
        </w:tc>
        <w:tc>
          <w:tcPr>
            <w:tcW w:w="120" w:type="dxa"/>
            <w:vAlign w:val="bottom"/>
            <w:shd w:val="clear" w:color="auto" w:fill="CFF0FC"/>
          </w:tcPr>
          <w:p>
            <w:pPr>
              <w:spacing w:after="0"/>
              <w:rPr>
                <w:sz w:val="19"/>
                <w:szCs w:val="19"/>
                <w:color w:val="auto"/>
              </w:rPr>
            </w:pPr>
          </w:p>
        </w:tc>
      </w:tr>
      <w:tr>
        <w:trPr>
          <w:trHeight w:val="220"/>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638,707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599,725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587,791</w:t>
            </w:r>
          </w:p>
        </w:tc>
        <w:tc>
          <w:tcPr>
            <w:tcW w:w="120" w:type="dxa"/>
            <w:vAlign w:val="bottom"/>
          </w:tcPr>
          <w:p>
            <w:pPr>
              <w:spacing w:after="0"/>
              <w:rPr>
                <w:sz w:val="19"/>
                <w:szCs w:val="19"/>
                <w:color w:val="auto"/>
              </w:rPr>
            </w:pPr>
          </w:p>
        </w:tc>
      </w:tr>
      <w:tr>
        <w:trPr>
          <w:trHeight w:val="227"/>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Less: Allowances</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(130,508)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(130,584)</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(123,266)</w:t>
            </w:r>
          </w:p>
        </w:tc>
      </w:tr>
      <w:tr>
        <w:trPr>
          <w:trHeight w:val="220"/>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469,141</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464,525</w:t>
            </w:r>
          </w:p>
        </w:tc>
        <w:tc>
          <w:tcPr>
            <w:tcW w:w="12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8"/>
        </w:trPr>
        <w:tc>
          <w:tcPr>
            <w:tcW w:w="6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September 30,</w:t>
            </w:r>
          </w:p>
        </w:tc>
      </w:tr>
      <w:tr>
        <w:trPr>
          <w:trHeight w:val="231"/>
        </w:trPr>
        <w:tc>
          <w:tcPr>
            <w:tcW w:w="6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8"/>
                <w:szCs w:val="18"/>
                <w:color w:val="auto"/>
                <w:w w:val="89"/>
              </w:rPr>
              <w:t>2015</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20"/>
        </w:trPr>
        <w:tc>
          <w:tcPr>
            <w:tcW w:w="6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4"/>
          </w:tcPr>
          <w:p>
            <w:pPr>
              <w:jc w:val="center"/>
              <w:ind w:right="60"/>
              <w:spacing w:after="0"/>
              <w:rPr>
                <w:sz w:val="20"/>
                <w:szCs w:val="20"/>
                <w:color w:val="auto"/>
              </w:rPr>
            </w:pPr>
            <w:r>
              <w:rPr>
                <w:rFonts w:ascii="Arial" w:cs="Arial" w:eastAsia="Arial" w:hAnsi="Arial"/>
                <w:sz w:val="18"/>
                <w:szCs w:val="18"/>
                <w:i w:val="1"/>
                <w:iCs w:val="1"/>
                <w:color w:val="auto"/>
                <w:w w:val="94"/>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6.6% Senior Notes, due 2018</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299,388</w:t>
            </w: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299,113</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299,020</w:t>
            </w:r>
          </w:p>
        </w:tc>
        <w:tc>
          <w:tcPr>
            <w:tcW w:w="120" w:type="dxa"/>
            <w:vAlign w:val="bottom"/>
            <w:shd w:val="clear" w:color="auto" w:fill="CFF0FC"/>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7% Debentures, due 2025</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124,068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124,002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123,981</w:t>
            </w:r>
          </w:p>
        </w:tc>
        <w:tc>
          <w:tcPr>
            <w:tcW w:w="120" w:type="dxa"/>
            <w:vAlign w:val="bottom"/>
          </w:tcPr>
          <w:p>
            <w:pPr>
              <w:spacing w:after="0"/>
              <w:rPr>
                <w:sz w:val="19"/>
                <w:szCs w:val="19"/>
                <w:color w:val="auto"/>
              </w:rPr>
            </w:pPr>
          </w:p>
        </w:tc>
      </w:tr>
      <w:tr>
        <w:trPr>
          <w:trHeight w:val="22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6.25% Senior Notes, due 2037</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227,961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227,907</w:t>
            </w:r>
          </w:p>
        </w:tc>
        <w:tc>
          <w:tcPr>
            <w:tcW w:w="120" w:type="dxa"/>
            <w:vAlign w:val="bottom"/>
            <w:shd w:val="clear" w:color="auto" w:fill="CFF0FC"/>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4.25 % Senior Notes, due 2024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395,115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394,690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394,575</w:t>
            </w:r>
          </w:p>
        </w:tc>
        <w:tc>
          <w:tcPr>
            <w:tcW w:w="120" w:type="dxa"/>
            <w:vAlign w:val="bottom"/>
          </w:tcPr>
          <w:p>
            <w:pPr>
              <w:spacing w:after="0"/>
              <w:rPr>
                <w:sz w:val="19"/>
                <w:szCs w:val="19"/>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Floating Rate Notes, due 2017, interest rate of 1.94%,</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4"/>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1.71% and 1.38% at September 30, 2016, December 31, 2015</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and September 30, 2015, respectively</w:t>
            </w: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298,750</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298,868</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298,731</w:t>
            </w:r>
          </w:p>
        </w:tc>
        <w:tc>
          <w:tcPr>
            <w:tcW w:w="120" w:type="dxa"/>
            <w:vAlign w:val="bottom"/>
            <w:shd w:val="clear" w:color="auto" w:fill="CFF0FC"/>
          </w:tcPr>
          <w:p>
            <w:pPr>
              <w:spacing w:after="0"/>
              <w:rPr>
                <w:sz w:val="20"/>
                <w:szCs w:val="20"/>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Term Loan Facility, due 2018, interest rate of 1.90%, 1.86% and 1.72%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6060" w:type="dxa"/>
            <w:vAlign w:val="bottom"/>
          </w:tcPr>
          <w:p>
            <w:pPr>
              <w:ind w:left="240"/>
              <w:spacing w:after="0"/>
              <w:rPr>
                <w:sz w:val="20"/>
                <w:szCs w:val="20"/>
                <w:color w:val="auto"/>
              </w:rPr>
            </w:pPr>
            <w:r>
              <w:rPr>
                <w:rFonts w:ascii="Arial" w:cs="Arial" w:eastAsia="Arial" w:hAnsi="Arial"/>
                <w:sz w:val="18"/>
                <w:szCs w:val="18"/>
                <w:color w:val="auto"/>
              </w:rPr>
              <w:t>at September 30, 2016, December 31, 2015 and September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6060" w:type="dxa"/>
            <w:vAlign w:val="bottom"/>
          </w:tcPr>
          <w:p>
            <w:pPr>
              <w:ind w:left="240"/>
              <w:spacing w:after="0"/>
              <w:rPr>
                <w:sz w:val="20"/>
                <w:szCs w:val="20"/>
                <w:color w:val="auto"/>
              </w:rPr>
            </w:pPr>
            <w:r>
              <w:rPr>
                <w:rFonts w:ascii="Arial" w:cs="Arial" w:eastAsia="Arial" w:hAnsi="Arial"/>
                <w:sz w:val="18"/>
                <w:szCs w:val="18"/>
                <w:color w:val="auto"/>
              </w:rPr>
              <w:t>2015, respectively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209,096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222,521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225,433</w:t>
            </w:r>
          </w:p>
        </w:tc>
        <w:tc>
          <w:tcPr>
            <w:tcW w:w="120" w:type="dxa"/>
            <w:vAlign w:val="bottom"/>
          </w:tcPr>
          <w:p>
            <w:pPr>
              <w:spacing w:after="0"/>
              <w:rPr>
                <w:sz w:val="20"/>
                <w:szCs w:val="20"/>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 Facility, interest rate of 1.22% and 0.90% at</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September 30, 2016 and September 30, 2015, respectively</w:t>
            </w: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130,000</w:t>
            </w:r>
          </w:p>
        </w:tc>
        <w:tc>
          <w:tcPr>
            <w:tcW w:w="120" w:type="dxa"/>
            <w:vAlign w:val="bottom"/>
            <w:shd w:val="clear" w:color="auto" w:fill="CFF0FC"/>
          </w:tcPr>
          <w:p>
            <w:pPr>
              <w:spacing w:after="0"/>
              <w:rPr>
                <w:sz w:val="20"/>
                <w:szCs w:val="20"/>
                <w:color w:val="auto"/>
              </w:rPr>
            </w:pPr>
          </w:p>
        </w:tc>
      </w:tr>
      <w:tr>
        <w:trPr>
          <w:trHeight w:val="227"/>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notes</w:t>
            </w:r>
          </w:p>
        </w:tc>
        <w:tc>
          <w:tcPr>
            <w:tcW w:w="7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tcPr>
          <w:p>
            <w:pPr>
              <w:spacing w:after="0"/>
              <w:rPr>
                <w:sz w:val="19"/>
                <w:szCs w:val="19"/>
                <w:color w:val="auto"/>
              </w:rPr>
            </w:pPr>
          </w:p>
        </w:tc>
      </w:tr>
      <w:tr>
        <w:trPr>
          <w:trHeight w:val="22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1,764,835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1,568,774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1,700,771</w:t>
            </w:r>
          </w:p>
        </w:tc>
        <w:tc>
          <w:tcPr>
            <w:tcW w:w="120" w:type="dxa"/>
            <w:vAlign w:val="bottom"/>
            <w:shd w:val="clear" w:color="auto" w:fill="CFF0FC"/>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(228,025)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(18,713)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(147,003)</w:t>
            </w:r>
          </w:p>
        </w:tc>
      </w:tr>
      <w:tr>
        <w:trPr>
          <w:trHeight w:val="220"/>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1,536,810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1,553,768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12" w:lineRule="exact"/>
        <w:rPr>
          <w:rFonts w:ascii="Arial" w:cs="Arial" w:eastAsia="Arial" w:hAnsi="Arial"/>
          <w:sz w:val="18"/>
          <w:szCs w:val="18"/>
          <w:b w:val="1"/>
          <w:bCs w:val="1"/>
          <w:color w:val="auto"/>
        </w:rPr>
      </w:pPr>
    </w:p>
    <w:p>
      <w:pPr>
        <w:jc w:val="both"/>
        <w:ind w:left="38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September 28, 2016, the Corporation, through a wholly-owned special-purpose subsidiary, amended its trade receivable securitization facility (the “Trade Receivable Facility”) to increase the borrowing capacity from $250,000,000 to $300,000,000 and extend the maturity to September 27, 2017. The Trade Receivable Facility, with SunTrust Bank, Regions Bank, PNC Bank, N.A., The Bank of Tokyo-Mitsubishi UFJ, LTD., New York Branch, and certain other lenders that may become a party to the facility from time to time, is backed by eligible trade receivables, as defined. Borrowings are limited to the lesser of the facility limit or the borrowing base, as defined, of $420,044,000, $282,258,000 and $425,733,000 at September 30, 2016, December 31, 2015 and September 30, 2015, respectively. These receivables are originated by the Corporation and then sold or contributed to the wholly-owned special-purpose subsidiary by the Corporation. The Corporation continues to be responsible for the servicing and administration of the receivables purchased by the wholly-owned special-purpose subsidiary. Borrowings under the Trade Receivable Facility bear interest at a rate equal to one-month LIBOR plus 0.725%, subject to change in the event that this rate no longer reflects the lender’s cost of lending. The Trade Receivable Facility contains a cross-default provision to the Corporation’s other debt agreements.</w:t>
      </w:r>
    </w:p>
    <w:p>
      <w:pPr>
        <w:spacing w:after="0" w:line="62" w:lineRule="exact"/>
        <w:rPr>
          <w:rFonts w:ascii="Arial" w:cs="Arial" w:eastAsia="Arial" w:hAnsi="Arial"/>
          <w:sz w:val="18"/>
          <w:szCs w:val="18"/>
          <w:b w:val="1"/>
          <w:bCs w:val="1"/>
          <w:color w:val="auto"/>
        </w:rPr>
      </w:pPr>
    </w:p>
    <w:p>
      <w:pPr>
        <w:jc w:val="both"/>
        <w:ind w:left="3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Corporation’s Credit Agreement, which provides a $250,000,000 (original amount) senior unsecured term loan (the “Term Loan Facility”) and a $350,000,000 five-year senior unsecured revolving facility (the “Revolving Facility”), requires the Corporation’s ratio of consolidated debt to consolidated earnings before interest, taxes, depreciation, depletion and amortization (“EBITDA”), as defined by the Credit Agreement, for the trailing-twelve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 BBB by Standard &amp; Poor’s or Baa2 by Moody’s and the Ratio calculated without such exclusion does not exceed 3.75x. Additionally, if no amounts are outstanding under both the Revolving Facility and the Trade Receivable Facility, consolidated debt, including debt for which the Corporation is a co-borrower, may be reduced by the Corporation’s unrestricted cash and cash equivalents in excess of $50,000,000, such reduction not to exceed $200,000,000, for purposes of the covenant calculation.</w:t>
      </w:r>
    </w:p>
    <w:p>
      <w:pPr>
        <w:spacing w:after="0" w:line="50"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amended Credit Agreement, the Corporation adjusted consolidated EBITDA to add back any integration or similar costs or expenses related to the TXI business combination incurred in any period prior to the second anniversary of the closing of the TXI business combination, not to exceed $70,000,000. The Corporation was in compliance with the Ratio at September 30, 2016.</w:t>
      </w:r>
    </w:p>
    <w:p>
      <w:pPr>
        <w:spacing w:after="0" w:line="61"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Available borrowings under the Revolving Facility are reduced by any outstanding letters of credit issued by the Corporation under the Revolving Facility. At September 30, 2016, December 31, 2015 and September 30, 2015, the Corporation had $2,507,000 of outstanding letters of credit issued under the Revolving Facility.</w:t>
      </w:r>
    </w:p>
    <w:p>
      <w:pPr>
        <w:spacing w:after="0" w:line="61"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Current debt maturities consist of borrowings under the Trade Receivable Facility and the current portions of the Term Loan Facility and other notes. The Floating Rate Notes have been classified as a noncurrent liability as the Corporation has the intent and ability to refinance on a long-term basis before or at its maturity of June 30, 2017.</w:t>
      </w:r>
    </w:p>
    <w:p>
      <w:pPr>
        <w:spacing w:after="0" w:line="6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includes the unamortized value of terminated forward starting interest rate swap agreements. For the three and nine months ended September 30, 2016, the Corporation recognized $344,000 and $1,016,000, respectively, as additional interest expense. For the three and nine months ended September 30, 2015, the Corporation recognized $318,000 and $942,000, respectively, as additional interest expense. The ongoing amortization of the terminated value of the forward starting interest rate swap agreements will increase annual interest expense by approximately $1,400,000 until the maturity of the 6.6% Senior Notes in 2018.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1" w:lineRule="exact"/>
        <w:rPr>
          <w:sz w:val="20"/>
          <w:szCs w:val="20"/>
          <w:color w:val="auto"/>
        </w:rPr>
      </w:pPr>
    </w:p>
    <w:p>
      <w:pPr>
        <w:ind w:left="380" w:hanging="379"/>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12"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Corporation’s financial instruments include cash equivalents, accounts receivable, notes receivable, bank overdraft, accounts payable, publicly-registered long-term notes, debentures and other long-term debt.</w:t>
      </w:r>
    </w:p>
    <w:p>
      <w:pPr>
        <w:spacing w:after="0" w:line="46"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equivalents are placed primarily in money market funds, money market demand deposit accounts and Eurodollar time deposits. The Corporation’s cash equivalents have original maturities of less than three months. Due to the short maturity of these investments, they are carried on the consolidated balance sheets at cost, which approximates fair value.</w:t>
      </w:r>
    </w:p>
    <w:p>
      <w:pPr>
        <w:spacing w:after="0" w:line="61" w:lineRule="exact"/>
        <w:rPr>
          <w:rFonts w:ascii="Arial" w:cs="Arial" w:eastAsia="Arial" w:hAnsi="Arial"/>
          <w:sz w:val="18"/>
          <w:szCs w:val="18"/>
          <w:b w:val="1"/>
          <w:bCs w:val="1"/>
          <w:color w:val="auto"/>
        </w:rPr>
      </w:pPr>
    </w:p>
    <w:p>
      <w:pPr>
        <w:jc w:val="both"/>
        <w:ind w:left="3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26"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Notes receivable are classified in the line items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on the consolidated balance sheets and are not publicly traded. Management estimates that the fair value of notes receivable approximates the carrying amount due to the variable interest rates of the receivables.</w:t>
      </w:r>
    </w:p>
    <w:p>
      <w:pPr>
        <w:spacing w:after="0" w:line="61"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46"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Accounts payable represent amounts owed to suppliers and vendors. The estimated fair value of accounts payable approximates its carrying amount due to the short-term nature of the payables.</w:t>
      </w:r>
    </w:p>
    <w:p>
      <w:pPr>
        <w:spacing w:after="0" w:line="46" w:lineRule="exact"/>
        <w:rPr>
          <w:rFonts w:ascii="Arial" w:cs="Arial" w:eastAsia="Arial" w:hAnsi="Arial"/>
          <w:sz w:val="18"/>
          <w:szCs w:val="18"/>
          <w:b w:val="1"/>
          <w:bCs w:val="1"/>
          <w:color w:val="auto"/>
        </w:rPr>
      </w:pPr>
    </w:p>
    <w:p>
      <w:pPr>
        <w:jc w:val="both"/>
        <w:ind w:left="38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carrying values and fair values of the Corporation’s long-term debt were $1,764,835,000 and $1,876,802,000, respectively, at September 30, 2016; $1,568,774,000 and $1,625,193,000, respectively, at December 31, 2015; and $1,700,771,000 and $1,781,152,000, respectively, at September 30, 2015.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35" w:lineRule="exact"/>
        <w:rPr>
          <w:rFonts w:ascii="Arial" w:cs="Arial" w:eastAsia="Arial" w:hAnsi="Arial"/>
          <w:sz w:val="18"/>
          <w:szCs w:val="18"/>
          <w:b w:val="1"/>
          <w:bCs w:val="1"/>
          <w:color w:val="auto"/>
        </w:rPr>
      </w:pPr>
    </w:p>
    <w:p>
      <w:pPr>
        <w:ind w:left="380" w:hanging="379"/>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2"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Corporation’s effective income tax rates for the nine months ended September 30, 2016 and 2015 were 30.6% and 29.4%, respectively. The estimated effective income tax rates reflect the effect of federal and state income taxes and the impact of differences in book and tax accounting arising from the net permanent benefits associated with the statutory depletion deduction for mineral reserves and the domestic production deduction.</w:t>
      </w:r>
    </w:p>
    <w:p>
      <w:pPr>
        <w:spacing w:after="0" w:line="65"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Corporation records interest accrued in relation to unrecognized tax benefits as income tax expense. Penalties, if incurred, are recorded as other expenses in the consolidated statements of earnings and comprehensive earnings.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1" w:lineRule="exact"/>
        <w:rPr>
          <w:sz w:val="20"/>
          <w:szCs w:val="20"/>
          <w:color w:val="auto"/>
        </w:rPr>
      </w:pPr>
    </w:p>
    <w:p>
      <w:pPr>
        <w:ind w:left="380" w:hanging="379"/>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1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estimated components of the recorded net periodic benefit cost (credit) for pension and postretirement benefits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8"/>
                <w:szCs w:val="18"/>
                <w:color w:val="auto"/>
                <w:w w:val="93"/>
              </w:rPr>
              <w:t>Three Months Ended September 30,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Pension</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9"/>
                <w:szCs w:val="19"/>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15"/>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920" w:type="dxa"/>
            <w:vAlign w:val="bottom"/>
          </w:tcPr>
          <w:p>
            <w:pPr>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5,542</w:t>
            </w:r>
          </w:p>
        </w:tc>
        <w:tc>
          <w:tcPr>
            <w:tcW w:w="12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5,752</w:t>
            </w:r>
          </w:p>
        </w:tc>
        <w:tc>
          <w:tcPr>
            <w:tcW w:w="160" w:type="dxa"/>
            <w:vAlign w:val="bottom"/>
          </w:tcPr>
          <w:p>
            <w:pPr>
              <w:spacing w:after="0"/>
              <w:rPr>
                <w:sz w:val="20"/>
                <w:szCs w:val="20"/>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9"/>
                <w:szCs w:val="19"/>
                <w:color w:val="auto"/>
              </w:rPr>
            </w:pP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920" w:type="dxa"/>
            <w:vAlign w:val="bottom"/>
          </w:tcPr>
          <w:p>
            <w:pPr>
              <w:ind w:left="240"/>
              <w:spacing w:after="0"/>
              <w:rPr>
                <w:sz w:val="20"/>
                <w:szCs w:val="20"/>
                <w:color w:val="auto"/>
              </w:rPr>
            </w:pPr>
            <w:r>
              <w:rPr>
                <w:rFonts w:ascii="Arial" w:cs="Arial" w:eastAsia="Arial" w:hAnsi="Arial"/>
                <w:sz w:val="18"/>
                <w:szCs w:val="18"/>
                <w:color w:val="auto"/>
              </w:rPr>
              <w:t>Prior service cost (credit)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r>
      <w:tr>
        <w:trPr>
          <w:trHeight w:val="227"/>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Actuarial loss (gain)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Special termination benefit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5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Nine Months Ended September 30,</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Pension</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9"/>
                <w:szCs w:val="19"/>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20"/>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(28,272)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(27,285)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service cost (credit)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(1,471)</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(1,724)</w:t>
            </w:r>
          </w:p>
        </w:tc>
      </w:tr>
      <w:tr>
        <w:trPr>
          <w:trHeight w:val="227"/>
        </w:trPr>
        <w:tc>
          <w:tcPr>
            <w:tcW w:w="5920" w:type="dxa"/>
            <w:vAlign w:val="bottom"/>
          </w:tcPr>
          <w:p>
            <w:pPr>
              <w:ind w:left="24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Settlement charge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Special termination benefit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Corporation currently estimates that it will contribute $38,752,000 to its pension and SERP plans in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right="8200" w:hanging="379"/>
        <w:spacing w:after="0" w:line="413" w:lineRule="auto"/>
        <w:tabs>
          <w:tab w:leader="none" w:pos="37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u w:val="single" w:color="auto"/>
          <w:color w:val="auto"/>
        </w:rPr>
        <w:t>Legal and Administrative Proceedings</w:t>
      </w:r>
    </w:p>
    <w:p>
      <w:pPr>
        <w:spacing w:after="0" w:line="1" w:lineRule="exact"/>
        <w:rPr>
          <w:rFonts w:ascii="Arial" w:cs="Arial" w:eastAsia="Arial" w:hAnsi="Arial"/>
          <w:sz w:val="16"/>
          <w:szCs w:val="16"/>
          <w:b w:val="1"/>
          <w:bCs w:val="1"/>
          <w:color w:val="auto"/>
        </w:rPr>
      </w:pPr>
    </w:p>
    <w:p>
      <w:pPr>
        <w:jc w:val="both"/>
        <w:ind w:left="3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Corporation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Corporation and its subsidiaries, will have a material adverse effect on the overall results of the Corporation’s operations, its cash flows or its financial position.</w:t>
      </w:r>
    </w:p>
    <w:p>
      <w:pPr>
        <w:spacing w:after="0" w:line="165"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Borrowing Arrangements with Affiliate</w:t>
      </w:r>
    </w:p>
    <w:p>
      <w:pPr>
        <w:spacing w:after="0" w:line="108" w:lineRule="exact"/>
        <w:rPr>
          <w:rFonts w:ascii="Arial" w:cs="Arial" w:eastAsia="Arial" w:hAnsi="Arial"/>
          <w:sz w:val="16"/>
          <w:szCs w:val="16"/>
          <w:b w:val="1"/>
          <w:bCs w:val="1"/>
          <w:color w:val="auto"/>
        </w:rPr>
      </w:pPr>
    </w:p>
    <w:p>
      <w:pPr>
        <w:jc w:val="both"/>
        <w:ind w:left="380"/>
        <w:spacing w:after="0" w:line="287" w:lineRule="auto"/>
        <w:rPr>
          <w:rFonts w:ascii="Arial" w:cs="Arial" w:eastAsia="Arial" w:hAnsi="Arial"/>
          <w:sz w:val="16"/>
          <w:szCs w:val="16"/>
          <w:b w:val="1"/>
          <w:bCs w:val="1"/>
          <w:color w:val="auto"/>
        </w:rPr>
      </w:pPr>
      <w:r>
        <w:rPr>
          <w:rFonts w:ascii="Arial" w:cs="Arial" w:eastAsia="Arial" w:hAnsi="Arial"/>
          <w:sz w:val="17"/>
          <w:szCs w:val="17"/>
          <w:color w:val="auto"/>
        </w:rPr>
        <w:t>The Corporation is a co-borrower with an unconsolidated affiliate for a $25,000,000 revolving line of credit agreement with BB&amp;T Bank.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42" w:lineRule="exact"/>
        <w:rPr>
          <w:rFonts w:ascii="Arial" w:cs="Arial" w:eastAsia="Arial" w:hAnsi="Arial"/>
          <w:sz w:val="16"/>
          <w:szCs w:val="16"/>
          <w:b w:val="1"/>
          <w:bCs w:val="1"/>
          <w:color w:val="auto"/>
        </w:rPr>
      </w:pPr>
    </w:p>
    <w:p>
      <w:pPr>
        <w:ind w:left="380"/>
        <w:spacing w:after="0" w:line="280" w:lineRule="auto"/>
        <w:rPr>
          <w:rFonts w:ascii="Arial" w:cs="Arial" w:eastAsia="Arial" w:hAnsi="Arial"/>
          <w:sz w:val="16"/>
          <w:szCs w:val="16"/>
          <w:b w:val="1"/>
          <w:bCs w:val="1"/>
          <w:color w:val="auto"/>
        </w:rPr>
      </w:pPr>
      <w:r>
        <w:rPr>
          <w:rFonts w:ascii="Arial" w:cs="Arial" w:eastAsia="Arial" w:hAnsi="Arial"/>
          <w:sz w:val="18"/>
          <w:szCs w:val="18"/>
          <w:color w:val="auto"/>
        </w:rPr>
        <w:t>In addition, the Corporation has a $6,000,000 outstanding loan due from this unconsolidated affiliate as of September 30, 2016, December 31, 2015 and September 30, 2015.</w:t>
      </w:r>
    </w:p>
    <w:p>
      <w:pPr>
        <w:spacing w:after="0" w:line="147"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Employees</w:t>
      </w:r>
    </w:p>
    <w:p>
      <w:pPr>
        <w:spacing w:after="0" w:line="108" w:lineRule="exact"/>
        <w:rPr>
          <w:rFonts w:ascii="Arial" w:cs="Arial" w:eastAsia="Arial" w:hAnsi="Arial"/>
          <w:sz w:val="16"/>
          <w:szCs w:val="16"/>
          <w:b w:val="1"/>
          <w:bCs w:val="1"/>
          <w:color w:val="auto"/>
        </w:rPr>
      </w:pPr>
    </w:p>
    <w:p>
      <w:pPr>
        <w:jc w:val="both"/>
        <w:ind w:left="38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Approximately 10% of the Corporation’s employees are represented by a labor union. All such employees are hourly employees. The Corporation maintains collective bargaining agreements relating to the union employees with the Aggregates business and Magnesia Specialties segments. For the Magnesia Specialties segment located in Manistee, Michigan and Woodville, Ohio, 100% of its hourly employees are represented by labor unions. The Manistee collective bargaining agreement expires in August 2019, and the Woodville collective bargaining agreement expires in May 2018.</w:t>
      </w:r>
    </w:p>
    <w:p>
      <w:pPr>
        <w:spacing w:after="0" w:line="266" w:lineRule="exact"/>
        <w:rPr>
          <w:rFonts w:ascii="Arial" w:cs="Arial" w:eastAsia="Arial" w:hAnsi="Arial"/>
          <w:sz w:val="16"/>
          <w:szCs w:val="16"/>
          <w:b w:val="1"/>
          <w:bCs w:val="1"/>
          <w:color w:val="auto"/>
        </w:rPr>
      </w:pPr>
    </w:p>
    <w:p>
      <w:pPr>
        <w:ind w:left="380" w:hanging="379"/>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12" w:lineRule="exact"/>
        <w:rPr>
          <w:rFonts w:ascii="Arial" w:cs="Arial" w:eastAsia="Arial" w:hAnsi="Arial"/>
          <w:sz w:val="18"/>
          <w:szCs w:val="18"/>
          <w:b w:val="1"/>
          <w:bCs w:val="1"/>
          <w:color w:val="auto"/>
        </w:rPr>
      </w:pPr>
    </w:p>
    <w:p>
      <w:pPr>
        <w:jc w:val="both"/>
        <w:ind w:left="3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Aggregates business contains three reportable business segments: Mid-America Group, Southeast Group and West Group. The Corporation also has Cement and Magnesia Specialties segments. Corporate loss from operations primarily includes depreciation on capitalized interest, expenses for certain corporate administrative functions, business development and integration expenses, unallocated corporate expenses and other nonrecurring and/or non-operational adjustments. Intersegment sales represent net sales from one segment to another segment.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(continued)</w:t>
      </w:r>
    </w:p>
    <w:p>
      <w:pPr>
        <w:spacing w:after="0" w:line="112"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tables display selected financial data for continuing operations for the Corporation’s reportable business segments. Total revenues and net sales in the table below, as well as the consolidated statements of earnings and comprehensive earnings, exclude intersegment sales, which are eliminated.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gridSpan w:val="5"/>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82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Mid-America Group</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297,275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289,735</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762,297</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Southeast Group</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243,086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595,030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1,472,943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1,263,063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Total Aggregates Business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976,119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903,940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2,478,326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2,180,424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Cement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116,135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198,653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Magnesia Specialties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192,955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1,103,901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1,082,249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2,869,934</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2,695,014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34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275,791</w:t>
            </w:r>
          </w:p>
        </w:tc>
        <w:tc>
          <w:tcPr>
            <w:tcW w:w="240" w:type="dxa"/>
            <w:vAlign w:val="bottom"/>
          </w:tcPr>
          <w:p>
            <w:pPr>
              <w:spacing w:after="0"/>
              <w:rPr>
                <w:sz w:val="19"/>
                <w:szCs w:val="19"/>
                <w:color w:val="auto"/>
              </w:rPr>
            </w:pP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265,653</w:t>
            </w:r>
          </w:p>
        </w:tc>
        <w:tc>
          <w:tcPr>
            <w:tcW w:w="160" w:type="dxa"/>
            <w:vAlign w:val="bottom"/>
          </w:tcPr>
          <w:p>
            <w:pPr>
              <w:spacing w:after="0"/>
              <w:rPr>
                <w:sz w:val="19"/>
                <w:szCs w:val="19"/>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708,151</w:t>
            </w:r>
          </w:p>
        </w:tc>
        <w:tc>
          <w:tcPr>
            <w:tcW w:w="240" w:type="dxa"/>
            <w:vAlign w:val="bottom"/>
          </w:tcPr>
          <w:p>
            <w:pPr>
              <w:spacing w:after="0"/>
              <w:rPr>
                <w:sz w:val="19"/>
                <w:szCs w:val="19"/>
                <w:color w:val="auto"/>
              </w:rPr>
            </w:pPr>
          </w:p>
        </w:tc>
        <w:tc>
          <w:tcPr>
            <w:tcW w:w="420" w:type="dxa"/>
            <w:vAlign w:val="bottom"/>
            <w:gridSpan w:val="2"/>
          </w:tcPr>
          <w:p>
            <w:pPr>
              <w:jc w:val="right"/>
              <w:ind w:right="24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632,772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562,175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493,505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1,381,215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1,156,075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918,010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837,441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2,319,371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2,003,383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Magnesia Specialties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820" w:type="dxa"/>
            <w:vAlign w:val="bottom"/>
            <w:gridSpan w:val="5"/>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1,038,344</w:t>
            </w:r>
          </w:p>
        </w:tc>
        <w:tc>
          <w:tcPr>
            <w:tcW w:w="240" w:type="dxa"/>
            <w:vAlign w:val="bottom"/>
          </w:tcPr>
          <w:p>
            <w:pPr>
              <w:spacing w:after="0"/>
              <w:rPr>
                <w:sz w:val="22"/>
                <w:szCs w:val="22"/>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1,005,218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2,687,740</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2,487,342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CFF0FC"/>
            </w:tcBorders>
            <w:shd w:val="clear" w:color="auto" w:fill="CFF0FC"/>
          </w:tcPr>
          <w:p>
            <w:pPr>
              <w:spacing w:after="0"/>
              <w:rPr>
                <w:sz w:val="17"/>
                <w:szCs w:val="17"/>
                <w:color w:val="auto"/>
              </w:rPr>
            </w:pPr>
          </w:p>
        </w:tc>
        <w:tc>
          <w:tcPr>
            <w:tcW w:w="34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gridSpan w:val="4"/>
          </w:tcPr>
          <w:p>
            <w:pPr>
              <w:spacing w:after="0" w:line="189" w:lineRule="exact"/>
              <w:rPr>
                <w:sz w:val="20"/>
                <w:szCs w:val="20"/>
                <w:color w:val="auto"/>
              </w:rPr>
            </w:pPr>
            <w:r>
              <w:rPr>
                <w:rFonts w:ascii="Arial" w:cs="Arial" w:eastAsia="Arial" w:hAnsi="Arial"/>
                <w:sz w:val="18"/>
                <w:szCs w:val="18"/>
                <w:color w:val="auto"/>
              </w:rPr>
              <w:t>Earnings (Loss) from operations: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8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Mid-America Group</w:t>
            </w:r>
          </w:p>
        </w:tc>
        <w:tc>
          <w:tcPr>
            <w:tcW w:w="34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85,693</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186,836</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148,385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Southeast Group</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110,854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Total Aggregates Business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214,585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180,794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444,281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Cement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Magnesia Specialties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(17,567)</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(21,050)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(63,168)</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(59,371)</w:t>
            </w: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240,355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511,867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(continued)</w:t>
      </w:r>
    </w:p>
    <w:p>
      <w:pPr>
        <w:spacing w:after="0" w:line="112" w:lineRule="exact"/>
        <w:rPr>
          <w:rFonts w:ascii="Arial" w:cs="Arial" w:eastAsia="Arial" w:hAnsi="Arial"/>
          <w:sz w:val="18"/>
          <w:szCs w:val="18"/>
          <w:b w:val="1"/>
          <w:bCs w:val="1"/>
          <w:color w:val="auto"/>
        </w:rPr>
      </w:pPr>
    </w:p>
    <w:p>
      <w:pPr>
        <w:jc w:val="both"/>
        <w:ind w:left="3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decline in the Cement business’s total and net sales is primarily attributable to the California cement operations, included in the three and nine months ended September 30, 2015 and divested as of September 30, 2015. For the three months ended September 30, 2015, total revenues, net sales and loss from operations for the California cement operations were $31,866,000, $30,781,000 and $28,947,000, respectively. For the nine months ended September 30, 2015, total revenues, net sales and loss from operations for the California cement operations were $101,541,000, $98,048,000 and $36,853,000, respectively. The California cement operations’ loss from operations for the three and nine months ended September 30, 2015 includes the loss on the divestiture of $28,709,000 and $29,888,000, respectively.</w:t>
      </w:r>
    </w:p>
    <w:p>
      <w:pPr>
        <w:spacing w:after="0" w:line="67"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Cement intersegment sales, which are to the aggregates and ready mixed concrete product lines in the West Group, were $34,654,000 and $89,291,000 for the three and nine months ended September 30, 2016, respectively, and $25,349,000 and $64,304,000 for the three and nine months ended September 30, 2015, respectively.</w:t>
      </w:r>
    </w:p>
    <w:p>
      <w:pPr>
        <w:spacing w:after="0" w:line="61"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Aggregates business includes the aggregates product line and aggregates-related downstream product lines, which include asphalt and road paving products and ready mixed concrete. All aggregates-related downstream product lines reside in the West Group. The following tables, which are reconciled to consolidated amounts, provide net sales and gross profit by line of business: Aggregates (further divided by product line), Cement and Magnesia Specialties.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6"/>
          </w:tcPr>
          <w:p>
            <w:pPr>
              <w:jc w:val="right"/>
              <w:ind w:right="124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8"/>
                <w:szCs w:val="18"/>
                <w:color w:val="auto"/>
              </w:rPr>
              <w:t>September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4"/>
            <w:vMerge w:val="restart"/>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60" w:type="dxa"/>
            <w:vAlign w:val="bottom"/>
            <w:gridSpan w:val="5"/>
          </w:tcPr>
          <w:p>
            <w:pPr>
              <w:jc w:val="right"/>
              <w:ind w:right="1160"/>
              <w:spacing w:after="0"/>
              <w:rPr>
                <w:sz w:val="20"/>
                <w:szCs w:val="20"/>
                <w:color w:val="auto"/>
              </w:rPr>
            </w:pPr>
            <w:r>
              <w:rPr>
                <w:rFonts w:ascii="Arial" w:cs="Arial" w:eastAsia="Arial" w:hAnsi="Arial"/>
                <w:sz w:val="18"/>
                <w:szCs w:val="18"/>
                <w:i w:val="1"/>
                <w:iCs w:val="1"/>
                <w:color w:val="auto"/>
              </w:rPr>
              <w:t>(Dollars in Thousands)</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100" w:type="dxa"/>
            <w:vAlign w:val="bottom"/>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Aggregates</w:t>
            </w:r>
          </w:p>
        </w:tc>
        <w:tc>
          <w:tcPr>
            <w:tcW w:w="34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542,764</w:t>
            </w:r>
          </w:p>
        </w:tc>
        <w:tc>
          <w:tcPr>
            <w:tcW w:w="1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529,993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1,465,486</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08"/>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1,343,821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Asphalt and Paving</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111,566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188,532</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Ready Mixed Concrete</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209,608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665,353</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gridSpan w:val="4"/>
          </w:tcPr>
          <w:p>
            <w:pPr>
              <w:spacing w:after="0"/>
              <w:rPr>
                <w:sz w:val="20"/>
                <w:szCs w:val="20"/>
                <w:color w:val="auto"/>
              </w:rPr>
            </w:pPr>
            <w:r>
              <w:rPr>
                <w:rFonts w:ascii="Arial" w:cs="Arial" w:eastAsia="Arial" w:hAnsi="Arial"/>
                <w:sz w:val="18"/>
                <w:szCs w:val="18"/>
                <w:color w:val="auto"/>
              </w:rPr>
              <w:t>Total Aggregates Business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918,010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837,441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2,319,371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Cement</w:t>
            </w: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60,090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110,519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189,754</w:t>
            </w: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Magnesia Specialties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178,615</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1,038,344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1,005,218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2,687,740</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2,487,342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08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auto"/>
              </w:rPr>
              <w:t>Gross profit (loss):</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Aggregates</w:t>
            </w:r>
          </w:p>
        </w:tc>
        <w:tc>
          <w:tcPr>
            <w:tcW w:w="276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172,994</w:t>
            </w:r>
          </w:p>
        </w:tc>
        <w:tc>
          <w:tcPr>
            <w:tcW w:w="180" w:type="dxa"/>
            <w:vAlign w:val="bottom"/>
            <w:tcBorders>
              <w:top w:val="single" w:sz="8" w:color="CFF0FC"/>
            </w:tcBorders>
          </w:tcPr>
          <w:p>
            <w:pPr>
              <w:spacing w:after="0"/>
              <w:rPr>
                <w:sz w:val="19"/>
                <w:szCs w:val="19"/>
                <w:color w:val="auto"/>
              </w:rPr>
            </w:pPr>
          </w:p>
        </w:tc>
        <w:tc>
          <w:tcPr>
            <w:tcW w:w="600" w:type="dxa"/>
            <w:vAlign w:val="bottom"/>
            <w:tcBorders>
              <w:top w:val="single" w:sz="8" w:color="CFF0FC"/>
            </w:tcBorders>
            <w:gridSpan w:val="2"/>
          </w:tcPr>
          <w:p>
            <w:pPr>
              <w:jc w:val="right"/>
              <w:ind w:right="308"/>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166,166</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418,428</w:t>
            </w:r>
          </w:p>
        </w:tc>
        <w:tc>
          <w:tcPr>
            <w:tcW w:w="280" w:type="dxa"/>
            <w:vAlign w:val="bottom"/>
            <w:tcBorders>
              <w:top w:val="single" w:sz="8" w:color="CFF0FC"/>
            </w:tcBorders>
          </w:tcPr>
          <w:p>
            <w:pPr>
              <w:spacing w:after="0"/>
              <w:rPr>
                <w:sz w:val="19"/>
                <w:szCs w:val="19"/>
                <w:color w:val="auto"/>
              </w:rPr>
            </w:pPr>
          </w:p>
        </w:tc>
        <w:tc>
          <w:tcPr>
            <w:tcW w:w="600" w:type="dxa"/>
            <w:vAlign w:val="bottom"/>
            <w:tcBorders>
              <w:top w:val="single" w:sz="8" w:color="CFF0FC"/>
            </w:tcBorders>
          </w:tcPr>
          <w:p>
            <w:pPr>
              <w:jc w:val="right"/>
              <w:ind w:right="40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344,857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Asphalt and Paving</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37,114</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Ready Mixed Concrete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211,780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538,752</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gridSpan w:val="4"/>
          </w:tcPr>
          <w:p>
            <w:pPr>
              <w:spacing w:after="0"/>
              <w:rPr>
                <w:sz w:val="20"/>
                <w:szCs w:val="20"/>
                <w:color w:val="auto"/>
              </w:rPr>
            </w:pPr>
            <w:r>
              <w:rPr>
                <w:rFonts w:ascii="Arial" w:cs="Arial" w:eastAsia="Arial" w:hAnsi="Arial"/>
                <w:sz w:val="18"/>
                <w:szCs w:val="18"/>
                <w:color w:val="auto"/>
              </w:rPr>
              <w:t>Cement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86,283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Magnesia Specialties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67,472</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(6,910)</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(8,604)</w:t>
            </w:r>
          </w:p>
        </w:tc>
        <w:tc>
          <w:tcPr>
            <w:tcW w:w="6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683,903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80"/>
        <w:spacing w:after="0" w:line="280" w:lineRule="auto"/>
        <w:rPr>
          <w:sz w:val="20"/>
          <w:szCs w:val="20"/>
          <w:color w:val="auto"/>
        </w:rPr>
      </w:pPr>
      <w:r>
        <w:rPr>
          <w:rFonts w:ascii="Arial" w:cs="Arial" w:eastAsia="Arial" w:hAnsi="Arial"/>
          <w:sz w:val="18"/>
          <w:szCs w:val="18"/>
          <w:color w:val="auto"/>
        </w:rPr>
        <w:t>For the three months ended September 30, 2015, gross profit for the California cement operations was $3,332,000. For the nine months ended September 30, 2015, the operations’ gross profit was $2,685,000.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1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change in other assets and liabilities, net,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3"/>
          </w:tcPr>
          <w:p>
            <w:pPr>
              <w:jc w:val="center"/>
              <w:ind w:right="298"/>
              <w:spacing w:after="0"/>
              <w:rPr>
                <w:sz w:val="20"/>
                <w:szCs w:val="20"/>
                <w:color w:val="auto"/>
              </w:rPr>
            </w:pPr>
            <w:r>
              <w:rPr>
                <w:rFonts w:ascii="Arial" w:cs="Arial" w:eastAsia="Arial" w:hAnsi="Arial"/>
                <w:sz w:val="18"/>
                <w:szCs w:val="18"/>
                <w:color w:val="auto"/>
                <w:w w:val="94"/>
              </w:rPr>
              <w:t>Nine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1"/>
        </w:trPr>
        <w:tc>
          <w:tcPr>
            <w:tcW w:w="7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298"/>
              <w:spacing w:after="0"/>
              <w:rPr>
                <w:sz w:val="20"/>
                <w:szCs w:val="20"/>
                <w:color w:val="auto"/>
              </w:rPr>
            </w:pPr>
            <w:r>
              <w:rPr>
                <w:rFonts w:ascii="Arial" w:cs="Arial" w:eastAsia="Arial" w:hAnsi="Arial"/>
                <w:sz w:val="18"/>
                <w:szCs w:val="18"/>
                <w:color w:val="auto"/>
                <w:w w:val="89"/>
              </w:rPr>
              <w:t>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78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840" w:type="dxa"/>
            <w:vAlign w:val="bottom"/>
          </w:tcPr>
          <w:p>
            <w:pPr>
              <w:spacing w:after="0"/>
              <w:rPr>
                <w:sz w:val="18"/>
                <w:szCs w:val="18"/>
                <w:color w:val="auto"/>
              </w:rPr>
            </w:pPr>
          </w:p>
        </w:tc>
        <w:tc>
          <w:tcPr>
            <w:tcW w:w="2860" w:type="dxa"/>
            <w:vAlign w:val="bottom"/>
            <w:gridSpan w:val="4"/>
          </w:tcPr>
          <w:p>
            <w:pPr>
              <w:jc w:val="center"/>
              <w:ind w:left="488"/>
              <w:spacing w:after="0"/>
              <w:rPr>
                <w:sz w:val="20"/>
                <w:szCs w:val="20"/>
                <w:color w:val="auto"/>
              </w:rPr>
            </w:pPr>
            <w:r>
              <w:rPr>
                <w:rFonts w:ascii="Arial" w:cs="Arial" w:eastAsia="Arial" w:hAnsi="Arial"/>
                <w:sz w:val="18"/>
                <w:szCs w:val="18"/>
                <w:i w:val="1"/>
                <w:iCs w:val="1"/>
                <w:color w:val="auto"/>
                <w:w w:val="94"/>
              </w:rPr>
              <w:t>(Dollars 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840" w:type="dxa"/>
            <w:vAlign w:val="bottom"/>
          </w:tcPr>
          <w:p>
            <w:pPr>
              <w:spacing w:after="0"/>
              <w:rPr>
                <w:sz w:val="20"/>
                <w:szCs w:val="20"/>
                <w:color w:val="auto"/>
              </w:rPr>
            </w:pPr>
            <w:r>
              <w:rPr>
                <w:rFonts w:ascii="Arial" w:cs="Arial" w:eastAsia="Arial" w:hAnsi="Arial"/>
                <w:sz w:val="18"/>
                <w:szCs w:val="18"/>
                <w:color w:val="auto"/>
              </w:rPr>
              <w:t>Other current and noncurrent assets</w:t>
            </w:r>
          </w:p>
        </w:tc>
        <w:tc>
          <w:tcPr>
            <w:tcW w:w="980" w:type="dxa"/>
            <w:vAlign w:val="bottom"/>
          </w:tcPr>
          <w:p>
            <w:pPr>
              <w:jc w:val="right"/>
              <w:ind w:right="788"/>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(3,997)</w:t>
            </w:r>
          </w:p>
        </w:tc>
        <w:tc>
          <w:tcPr>
            <w:tcW w:w="980" w:type="dxa"/>
            <w:vAlign w:val="bottom"/>
          </w:tcPr>
          <w:p>
            <w:pPr>
              <w:jc w:val="right"/>
              <w:ind w:right="81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(4,579)</w:t>
            </w: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benefits and payroll taxes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(11,829)</w:t>
            </w:r>
          </w:p>
        </w:tc>
      </w:tr>
      <w:tr>
        <w:trPr>
          <w:trHeight w:val="227"/>
        </w:trPr>
        <w:tc>
          <w:tcPr>
            <w:tcW w:w="7840" w:type="dxa"/>
            <w:vAlign w:val="bottom"/>
          </w:tcPr>
          <w:p>
            <w:pPr>
              <w:spacing w:after="0"/>
              <w:rPr>
                <w:sz w:val="20"/>
                <w:szCs w:val="20"/>
                <w:color w:val="auto"/>
              </w:rPr>
            </w:pPr>
            <w:r>
              <w:rPr>
                <w:rFonts w:ascii="Arial" w:cs="Arial" w:eastAsia="Arial" w:hAnsi="Arial"/>
                <w:sz w:val="18"/>
                <w:szCs w:val="18"/>
                <w:color w:val="auto"/>
              </w:rPr>
              <w:t>Accrued insurance and other taxes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5,041</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12,152</w:t>
            </w:r>
          </w:p>
        </w:tc>
        <w:tc>
          <w:tcPr>
            <w:tcW w:w="120" w:type="dxa"/>
            <w:vAlign w:val="bottom"/>
          </w:tcPr>
          <w:p>
            <w:pPr>
              <w:spacing w:after="0"/>
              <w:rPr>
                <w:sz w:val="19"/>
                <w:szCs w:val="19"/>
                <w:color w:val="auto"/>
              </w:rPr>
            </w:pP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taxes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shd w:val="clear" w:color="auto" w:fill="CFF0FC"/>
          </w:tcPr>
          <w:p>
            <w:pPr>
              <w:spacing w:after="0"/>
              <w:rPr>
                <w:sz w:val="19"/>
                <w:szCs w:val="19"/>
                <w:color w:val="auto"/>
              </w:rPr>
            </w:pPr>
          </w:p>
        </w:tc>
      </w:tr>
      <w:tr>
        <w:trPr>
          <w:trHeight w:val="227"/>
        </w:trPr>
        <w:tc>
          <w:tcPr>
            <w:tcW w:w="7840" w:type="dxa"/>
            <w:vAlign w:val="bottom"/>
          </w:tcPr>
          <w:p>
            <w:pPr>
              <w:spacing w:after="0"/>
              <w:rPr>
                <w:sz w:val="20"/>
                <w:szCs w:val="20"/>
                <w:color w:val="auto"/>
              </w:rPr>
            </w:pPr>
            <w:r>
              <w:rPr>
                <w:rFonts w:ascii="Arial" w:cs="Arial" w:eastAsia="Arial" w:hAnsi="Arial"/>
                <w:sz w:val="18"/>
                <w:szCs w:val="18"/>
                <w:color w:val="auto"/>
              </w:rPr>
              <w:t>Accrued pension, postretirement and postemployment benefits</w:t>
            </w:r>
          </w:p>
        </w:tc>
        <w:tc>
          <w:tcPr>
            <w:tcW w:w="9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(21,624)</w:t>
            </w: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(24,232)</w:t>
            </w: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liabilities</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(4,072)</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w:t>
            </w:r>
          </w:p>
        </w:tc>
        <w:tc>
          <w:tcPr>
            <w:tcW w:w="120" w:type="dxa"/>
            <w:vAlign w:val="bottom"/>
            <w:shd w:val="clear" w:color="auto" w:fill="CFF0FC"/>
          </w:tcPr>
          <w:p>
            <w:pPr>
              <w:spacing w:after="0"/>
              <w:rPr>
                <w:sz w:val="19"/>
                <w:szCs w:val="19"/>
                <w:color w:val="auto"/>
              </w:rPr>
            </w:pPr>
          </w:p>
        </w:tc>
      </w:tr>
      <w:tr>
        <w:trPr>
          <w:trHeight w:val="220"/>
        </w:trPr>
        <w:tc>
          <w:tcPr>
            <w:tcW w:w="78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(23,546)</w:t>
            </w:r>
          </w:p>
        </w:tc>
        <w:tc>
          <w:tcPr>
            <w:tcW w:w="3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(10,575)</w:t>
            </w:r>
          </w:p>
        </w:tc>
        <w:tc>
          <w:tcPr>
            <w:tcW w:w="12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4" w:lineRule="exact"/>
        <w:rPr>
          <w:sz w:val="20"/>
          <w:szCs w:val="20"/>
          <w:color w:val="auto"/>
        </w:rPr>
      </w:pPr>
    </w:p>
    <w:p>
      <w:pPr>
        <w:ind w:left="380"/>
        <w:spacing w:after="0" w:line="280" w:lineRule="auto"/>
        <w:rPr>
          <w:sz w:val="20"/>
          <w:szCs w:val="20"/>
          <w:color w:val="auto"/>
        </w:rPr>
      </w:pPr>
      <w:r>
        <w:rPr>
          <w:rFonts w:ascii="Arial" w:cs="Arial" w:eastAsia="Arial" w:hAnsi="Arial"/>
          <w:sz w:val="18"/>
          <w:szCs w:val="18"/>
          <w:color w:val="auto"/>
        </w:rPr>
        <w:t>The change in accrued salaries, benefit and payroll taxes is primarily attributable to a decrease in severance payments. The change in accrued income taxes is attributable to tax payments made in excess of the estimated tax liability in the current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ind w:left="380"/>
              <w:spacing w:after="0"/>
              <w:rPr>
                <w:sz w:val="20"/>
                <w:szCs w:val="20"/>
                <w:color w:val="auto"/>
              </w:rPr>
            </w:pPr>
            <w:r>
              <w:rPr>
                <w:rFonts w:ascii="Arial" w:cs="Arial" w:eastAsia="Arial" w:hAnsi="Arial"/>
                <w:sz w:val="18"/>
                <w:szCs w:val="18"/>
                <w:color w:val="auto"/>
              </w:rPr>
              <w:t>Noncash investing and financing activities are as follows:</w:t>
            </w: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September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liabilities for purchases of property,</w:t>
            </w:r>
          </w:p>
        </w:tc>
        <w:tc>
          <w:tcPr>
            <w:tcW w:w="1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plant and equipment</w:t>
            </w:r>
          </w:p>
        </w:tc>
        <w:tc>
          <w:tcPr>
            <w:tcW w:w="244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24,453</w:t>
            </w:r>
          </w:p>
        </w:tc>
        <w:tc>
          <w:tcPr>
            <w:tcW w:w="900" w:type="dxa"/>
            <w:vAlign w:val="bottom"/>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940" w:type="dxa"/>
            <w:vAlign w:val="bottom"/>
          </w:tcPr>
          <w:p>
            <w:pPr>
              <w:ind w:left="240"/>
              <w:spacing w:after="0"/>
              <w:rPr>
                <w:sz w:val="20"/>
                <w:szCs w:val="20"/>
                <w:color w:val="auto"/>
              </w:rPr>
            </w:pPr>
            <w:r>
              <w:rPr>
                <w:rFonts w:ascii="Arial" w:cs="Arial" w:eastAsia="Arial" w:hAnsi="Arial"/>
                <w:sz w:val="18"/>
                <w:szCs w:val="18"/>
                <w:color w:val="auto"/>
              </w:rPr>
              <w:t>Acquisition of assets through capital lease</w:t>
            </w: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998</w:t>
            </w:r>
          </w:p>
        </w:tc>
        <w:tc>
          <w:tcPr>
            <w:tcW w:w="9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 of assets through asset exchange</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0" w:lineRule="exact"/>
        <w:rPr>
          <w:sz w:val="20"/>
          <w:szCs w:val="20"/>
          <w:color w:val="auto"/>
        </w:rPr>
      </w:pPr>
    </w:p>
    <w:p>
      <w:pPr>
        <w:ind w:left="520" w:hanging="519"/>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12"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In the first quarter 2016, the Corporation acquired the outstanding stock of Rocky Mountain Materials and Asphalt, Inc., and Rocky Mountain Premix Inc. The acquisition provides more than 500 million tons of mineral reserves and expands the Corporation’s presence along the Front Range of the Rocky Mountains, home to 80% of Colorado’s population. The acquired operations are reported through the West Group. The Corporation has recorded preliminary fair values of the assets acquired and liabilities assumed; however, certain amounts are subject to change as additional reviews are performed, including asset and liability verification and review of seller’s final tax return. Specific accounts subject to ongoing purchase accounting include property, plant and equipment; goodwill; accrued expenses and deferred income taxes.</w:t>
      </w:r>
    </w:p>
    <w:p>
      <w:pPr>
        <w:spacing w:after="0" w:line="58" w:lineRule="exact"/>
        <w:rPr>
          <w:sz w:val="20"/>
          <w:szCs w:val="20"/>
          <w:color w:val="auto"/>
        </w:rPr>
      </w:pPr>
    </w:p>
    <w:p>
      <w:pPr>
        <w:jc w:val="both"/>
        <w:ind w:left="380"/>
        <w:spacing w:after="0" w:line="271" w:lineRule="auto"/>
        <w:rPr>
          <w:sz w:val="20"/>
          <w:szCs w:val="20"/>
          <w:color w:val="auto"/>
        </w:rPr>
      </w:pPr>
      <w:r>
        <w:rPr>
          <w:rFonts w:ascii="Arial" w:cs="Arial" w:eastAsia="Arial" w:hAnsi="Arial"/>
          <w:sz w:val="17"/>
          <w:szCs w:val="17"/>
          <w:color w:val="auto"/>
        </w:rPr>
        <w:t>During the third quarter 2016, the Corporation acquired the remaining interest in Ratliff Ready-Mix, L.P. (“Ratliff”), which operates ready mixed concrete plants in central Texas. Prior to the acquisition, the Corporation owned a 40% interest in Ratliff which was accounted for under the equity method. The Corporation was required to re-measure the existing 40% interest to fair value upon closing of the transaction, resulting in a gain of $5,863,000, which is recorded in other nonoperating income. These operations are reported in the West Group. The Corporation has recorded preliminary fair values of the assets acquired and the liabilities assumed; however, certain amounts are subject to change as further reviews are performed, including review of the seller’s final tax return. Specific accounts subject to ongoing purchase accounting include accounts receivable; property, plant and equipment; intangible assets, including goodwill; accounts payable; accrued expenses; and deferred income taxes.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impact of these acquisitions on the operating results was not considered material; therefore, pro forma financial information is not included.</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Stock-Based Compensation</w:t>
      </w:r>
    </w:p>
    <w:p>
      <w:pPr>
        <w:spacing w:after="0" w:line="112"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During the quarter ended March 31, 2016, the Corporation awarded its annual grant of stock-based compensation, which included 75,421 of performance stock units and 68,720 of restricted stock units. The grant-date fair value of each award is $142.02 for the performance stock units and $124.41 for the restricted stock units. No stock options are expected to be awarded in 2016. In past years, annual stock-based compensation awards were primarily made in the second quarter of the year. The change in the composition of the awards and the timing of the annual grant resulted in higher expense recorded in the first nine months of the year compared with prior years. For the nine months ended September 30, 2016 and 2015, stock-based compensation expense was $17,167,000 and $10,722,000,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Third Quarter Ended September 30,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08"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Martin Marietta Materials, Inc. (the “Corporation” or “Martin Marietta”) is a leading supplier of aggregates products (crushed stone, sand and gravel) and heavy building materials for the construction industry, including infrastructure, nonresidential, residential, railroad ballast, agricultural and chemical grade stone used in environmental applications. The Corporation’s annual consolidated net sales and operating earnings are predominately derived from its Aggregates business, which mines, processes and sells granite, limestone, sand, gravel and other aggregates-related downstream products, including ready mixed concrete, asphalt and road paving construction services for use in all sectors of the public infrastructure, environmental industries, nonresidential and residential construction industries, as well as agriculture, railroad ballast, chemical, utility and other uses. The Aggregates business shipped and delivered aggregates, ready mixed concrete and asphalt products from a network of more than 400 quarries, underground mines, distribution facilities and plants in 26 states, Nova Scotia and the Bahamas. The Aggregates business’ products are used primarily by commercial customers principally in domestic construction of highways and other infrastructure projects and for nonresidential and residential building development. Aggregates products are also used in the railroad, agricultural, utility and environmental industries.</w:t>
      </w:r>
    </w:p>
    <w:p>
      <w:pPr>
        <w:spacing w:after="0" w:line="163"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The Corporation currently conducts its Aggregates business through three reportable business segments: Mid-America Group, Southeast Group and West Group.</w:t>
      </w:r>
    </w:p>
    <w:p>
      <w:pPr>
        <w:spacing w:after="0" w:line="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AGGREGATES BUSINESS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0"/>
              </w:rPr>
              <w:t>Reportable Segments</w:t>
            </w: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8"/>
              </w:rPr>
              <w:t>Mid-America Group</w:t>
            </w:r>
          </w:p>
        </w:tc>
        <w:tc>
          <w:tcPr>
            <w:tcW w:w="1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1"/>
              </w:rPr>
              <w:t>Southeast Group</w:t>
            </w: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West Group</w:t>
            </w:r>
          </w:p>
        </w:tc>
        <w:tc>
          <w:tcPr>
            <w:tcW w:w="40" w:type="dxa"/>
            <w:vAlign w:val="bottom"/>
          </w:tcPr>
          <w:p>
            <w:pPr>
              <w:spacing w:after="0"/>
              <w:rPr>
                <w:sz w:val="19"/>
                <w:szCs w:val="19"/>
                <w:color w:val="auto"/>
              </w:rPr>
            </w:pPr>
          </w:p>
        </w:tc>
      </w:tr>
      <w:tr>
        <w:trPr>
          <w:trHeight w:val="190"/>
        </w:trPr>
        <w:tc>
          <w:tcPr>
            <w:tcW w:w="158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3"/>
              </w:rPr>
              <w:t>Operating Locations</w:t>
            </w:r>
          </w:p>
        </w:tc>
        <w:tc>
          <w:tcPr>
            <w:tcW w:w="100" w:type="dxa"/>
            <w:vAlign w:val="bottom"/>
          </w:tcPr>
          <w:p>
            <w:pPr>
              <w:spacing w:after="0"/>
              <w:rPr>
                <w:sz w:val="16"/>
                <w:szCs w:val="16"/>
                <w:color w:val="auto"/>
              </w:rPr>
            </w:pPr>
          </w:p>
        </w:tc>
        <w:tc>
          <w:tcPr>
            <w:tcW w:w="46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Indiana, Iowa, northern Kansas, Kentucky, Maryland,</w:t>
            </w: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Alabama, Florida,</w:t>
            </w:r>
          </w:p>
        </w:tc>
        <w:tc>
          <w:tcPr>
            <w:tcW w:w="10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1"/>
              </w:rPr>
              <w:t>Arkansas, Colorado, southern Kansas,</w:t>
            </w:r>
          </w:p>
        </w:tc>
        <w:tc>
          <w:tcPr>
            <w:tcW w:w="40" w:type="dxa"/>
            <w:vAlign w:val="bottom"/>
          </w:tcPr>
          <w:p>
            <w:pPr>
              <w:spacing w:after="0"/>
              <w:rPr>
                <w:sz w:val="16"/>
                <w:szCs w:val="16"/>
                <w:color w:val="auto"/>
              </w:rPr>
            </w:pPr>
          </w:p>
        </w:tc>
      </w:tr>
      <w:tr>
        <w:trPr>
          <w:trHeight w:val="214"/>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Minnesota, Missouri, eastern Nebraska, North Carolina, Ohio,</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Georgia, Tennessee,</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Louisiana, western Nebraska, Nevada,</w:t>
            </w:r>
          </w:p>
        </w:tc>
        <w:tc>
          <w:tcPr>
            <w:tcW w:w="40" w:type="dxa"/>
            <w:vAlign w:val="bottom"/>
          </w:tcPr>
          <w:p>
            <w:pPr>
              <w:spacing w:after="0"/>
              <w:rPr>
                <w:sz w:val="18"/>
                <w:szCs w:val="18"/>
                <w:color w:val="auto"/>
              </w:rPr>
            </w:pPr>
          </w:p>
        </w:tc>
      </w:tr>
      <w:tr>
        <w:trPr>
          <w:trHeight w:val="214"/>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South Carolina, Virginia, Washington and West Virginia</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Nova Scotia and the</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Oklahoma, Texas, Utah and Wyoming</w:t>
            </w:r>
          </w:p>
        </w:tc>
        <w:tc>
          <w:tcPr>
            <w:tcW w:w="40" w:type="dxa"/>
            <w:vAlign w:val="bottom"/>
          </w:tcPr>
          <w:p>
            <w:pPr>
              <w:spacing w:after="0"/>
              <w:rPr>
                <w:sz w:val="18"/>
                <w:szCs w:val="18"/>
                <w:color w:val="auto"/>
              </w:rPr>
            </w:pPr>
          </w:p>
        </w:tc>
      </w:tr>
      <w:tr>
        <w:trPr>
          <w:trHeight w:val="235"/>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Bahamas</w:t>
            </w:r>
          </w:p>
        </w:tc>
        <w:tc>
          <w:tcPr>
            <w:tcW w:w="3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8"/>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Product Lines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Aggregates (crushed stone, sand and gravel)</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Aggregates (crushed</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Aggregates (crushed stone, sand and</w:t>
            </w:r>
          </w:p>
        </w:tc>
        <w:tc>
          <w:tcPr>
            <w:tcW w:w="40" w:type="dxa"/>
            <w:vAlign w:val="bottom"/>
          </w:tcPr>
          <w:p>
            <w:pPr>
              <w:spacing w:after="0"/>
              <w:rPr>
                <w:sz w:val="24"/>
                <w:szCs w:val="24"/>
                <w:color w:val="auto"/>
              </w:rPr>
            </w:pPr>
          </w:p>
        </w:tc>
      </w:tr>
      <w:tr>
        <w:trPr>
          <w:trHeight w:val="214"/>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stone, sand and gravel)</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gravel), ready mixed concrete, asphalt</w:t>
            </w:r>
          </w:p>
        </w:tc>
        <w:tc>
          <w:tcPr>
            <w:tcW w:w="40" w:type="dxa"/>
            <w:vAlign w:val="bottom"/>
          </w:tcPr>
          <w:p>
            <w:pPr>
              <w:spacing w:after="0"/>
              <w:rPr>
                <w:sz w:val="18"/>
                <w:szCs w:val="18"/>
                <w:color w:val="auto"/>
              </w:rPr>
            </w:pPr>
          </w:p>
        </w:tc>
      </w:tr>
      <w:tr>
        <w:trPr>
          <w:trHeight w:val="235"/>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and road paving</w:t>
            </w:r>
          </w:p>
        </w:tc>
        <w:tc>
          <w:tcPr>
            <w:tcW w:w="40" w:type="dxa"/>
            <w:vAlign w:val="bottom"/>
          </w:tcPr>
          <w:p>
            <w:pPr>
              <w:spacing w:after="0"/>
              <w:rPr>
                <w:sz w:val="20"/>
                <w:szCs w:val="20"/>
                <w:color w:val="auto"/>
              </w:rPr>
            </w:pPr>
          </w:p>
        </w:tc>
      </w:tr>
      <w:tr>
        <w:trPr>
          <w:trHeight w:val="408"/>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Types of Aggregates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Quarries and Distribution Facilities</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Quarries and</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Quarries, Plants and</w:t>
            </w:r>
          </w:p>
        </w:tc>
        <w:tc>
          <w:tcPr>
            <w:tcW w:w="40" w:type="dxa"/>
            <w:vAlign w:val="bottom"/>
          </w:tcPr>
          <w:p>
            <w:pPr>
              <w:spacing w:after="0"/>
              <w:rPr>
                <w:sz w:val="24"/>
                <w:szCs w:val="24"/>
                <w:color w:val="auto"/>
              </w:rPr>
            </w:pPr>
          </w:p>
        </w:tc>
      </w:tr>
      <w:tr>
        <w:trPr>
          <w:trHeight w:val="235"/>
        </w:trPr>
        <w:tc>
          <w:tcPr>
            <w:tcW w:w="1680" w:type="dxa"/>
            <w:vAlign w:val="bottom"/>
            <w:gridSpan w:val="2"/>
          </w:tcPr>
          <w:p>
            <w:pPr>
              <w:jc w:val="center"/>
              <w:ind w:left="8"/>
              <w:spacing w:after="0"/>
              <w:rPr>
                <w:sz w:val="20"/>
                <w:szCs w:val="20"/>
                <w:color w:val="auto"/>
              </w:rPr>
            </w:pPr>
            <w:r>
              <w:rPr>
                <w:rFonts w:ascii="Arial" w:cs="Arial" w:eastAsia="Arial" w:hAnsi="Arial"/>
                <w:sz w:val="18"/>
                <w:szCs w:val="18"/>
                <w:color w:val="auto"/>
                <w:w w:val="95"/>
              </w:rPr>
              <w:t>Locations</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Distribution Facilities</w:t>
            </w:r>
          </w:p>
        </w:tc>
        <w:tc>
          <w:tcPr>
            <w:tcW w:w="3040" w:type="dxa"/>
            <w:vAlign w:val="bottom"/>
          </w:tcPr>
          <w:p>
            <w:pPr>
              <w:jc w:val="center"/>
              <w:spacing w:after="0"/>
              <w:rPr>
                <w:sz w:val="20"/>
                <w:szCs w:val="20"/>
                <w:color w:val="auto"/>
              </w:rPr>
            </w:pPr>
            <w:r>
              <w:rPr>
                <w:rFonts w:ascii="Arial" w:cs="Arial" w:eastAsia="Arial" w:hAnsi="Arial"/>
                <w:sz w:val="18"/>
                <w:szCs w:val="18"/>
                <w:color w:val="auto"/>
                <w:w w:val="98"/>
              </w:rPr>
              <w:t>Distribution Facilities</w:t>
            </w:r>
          </w:p>
        </w:tc>
        <w:tc>
          <w:tcPr>
            <w:tcW w:w="40" w:type="dxa"/>
            <w:vAlign w:val="bottom"/>
          </w:tcPr>
          <w:p>
            <w:pPr>
              <w:spacing w:after="0"/>
              <w:rPr>
                <w:sz w:val="20"/>
                <w:szCs w:val="20"/>
                <w:color w:val="auto"/>
              </w:rPr>
            </w:pPr>
          </w:p>
        </w:tc>
      </w:tr>
      <w:tr>
        <w:trPr>
          <w:trHeight w:val="421"/>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Modes of</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Truck and Rail</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Truck, Rail and Water</w:t>
            </w:r>
          </w:p>
        </w:tc>
        <w:tc>
          <w:tcPr>
            <w:tcW w:w="3040" w:type="dxa"/>
            <w:vAlign w:val="bottom"/>
          </w:tcPr>
          <w:p>
            <w:pPr>
              <w:jc w:val="center"/>
              <w:spacing w:after="0"/>
              <w:rPr>
                <w:sz w:val="20"/>
                <w:szCs w:val="20"/>
                <w:color w:val="auto"/>
              </w:rPr>
            </w:pPr>
            <w:r>
              <w:rPr>
                <w:rFonts w:ascii="Arial" w:cs="Arial" w:eastAsia="Arial" w:hAnsi="Arial"/>
                <w:sz w:val="18"/>
                <w:szCs w:val="18"/>
                <w:color w:val="auto"/>
                <w:w w:val="94"/>
              </w:rPr>
              <w:t>Truck and Rail</w:t>
            </w:r>
          </w:p>
        </w:tc>
        <w:tc>
          <w:tcPr>
            <w:tcW w:w="40" w:type="dxa"/>
            <w:vAlign w:val="bottom"/>
          </w:tcPr>
          <w:p>
            <w:pPr>
              <w:spacing w:after="0"/>
              <w:rPr>
                <w:sz w:val="24"/>
                <w:szCs w:val="24"/>
                <w:color w:val="auto"/>
              </w:rPr>
            </w:pPr>
          </w:p>
        </w:tc>
      </w:tr>
      <w:tr>
        <w:trPr>
          <w:trHeight w:val="214"/>
        </w:trPr>
        <w:tc>
          <w:tcPr>
            <w:tcW w:w="1680" w:type="dxa"/>
            <w:vAlign w:val="bottom"/>
            <w:gridSpan w:val="2"/>
          </w:tcPr>
          <w:p>
            <w:pPr>
              <w:jc w:val="center"/>
              <w:ind w:left="8"/>
              <w:spacing w:after="0"/>
              <w:rPr>
                <w:sz w:val="20"/>
                <w:szCs w:val="20"/>
                <w:color w:val="auto"/>
              </w:rPr>
            </w:pPr>
            <w:r>
              <w:rPr>
                <w:rFonts w:ascii="Arial" w:cs="Arial" w:eastAsia="Arial" w:hAnsi="Arial"/>
                <w:sz w:val="18"/>
                <w:szCs w:val="18"/>
                <w:color w:val="auto"/>
                <w:w w:val="94"/>
              </w:rPr>
              <w:t>Transportation for</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680" w:type="dxa"/>
            <w:vAlign w:val="bottom"/>
            <w:gridSpan w:val="2"/>
          </w:tcPr>
          <w:p>
            <w:pPr>
              <w:jc w:val="center"/>
              <w:ind w:left="8"/>
              <w:spacing w:after="0"/>
              <w:rPr>
                <w:sz w:val="20"/>
                <w:szCs w:val="20"/>
                <w:color w:val="auto"/>
              </w:rPr>
            </w:pPr>
            <w:r>
              <w:rPr>
                <w:rFonts w:ascii="Arial" w:cs="Arial" w:eastAsia="Arial" w:hAnsi="Arial"/>
                <w:sz w:val="18"/>
                <w:szCs w:val="18"/>
                <w:color w:val="auto"/>
                <w:w w:val="93"/>
              </w:rPr>
              <w:t>Aggregates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1680" w:type="dxa"/>
            <w:vAlign w:val="bottom"/>
            <w:gridSpan w:val="2"/>
          </w:tcPr>
          <w:p>
            <w:pPr>
              <w:jc w:val="center"/>
              <w:ind w:left="28"/>
              <w:spacing w:after="0"/>
              <w:rPr>
                <w:sz w:val="20"/>
                <w:szCs w:val="20"/>
                <w:color w:val="auto"/>
              </w:rPr>
            </w:pPr>
            <w:r>
              <w:rPr>
                <w:rFonts w:ascii="Arial" w:cs="Arial" w:eastAsia="Arial" w:hAnsi="Arial"/>
                <w:sz w:val="18"/>
                <w:szCs w:val="18"/>
                <w:color w:val="auto"/>
                <w:w w:val="94"/>
              </w:rPr>
              <w:t>Product Line</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1"/>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2"/>
          </w:tcPr>
          <w:p>
            <w:pPr>
              <w:ind w:left="3520"/>
              <w:spacing w:after="0"/>
              <w:rPr>
                <w:sz w:val="20"/>
                <w:szCs w:val="20"/>
                <w:color w:val="auto"/>
              </w:rPr>
            </w:pPr>
            <w:r>
              <w:rPr>
                <w:rFonts w:ascii="Arial" w:cs="Arial" w:eastAsia="Arial" w:hAnsi="Arial"/>
                <w:sz w:val="18"/>
                <w:szCs w:val="18"/>
                <w:color w:val="auto"/>
              </w:rPr>
              <w:t>Page 24 of 60</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7"/>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Cement business produces Portland and specialty cements. Similar to the Aggregates business, cement is used in infrastructure projects, nonresidential and residential construction, and the railroad, agricultural, utility and environmental industries. The production facilities are located in Midlothian, Texas, south of Dallas-Fort Worth and Hunter, Texas, north of San Antonio. Limestone reserves used as a raw material are owned by the Corporation and located on property adjacent to each of the plants. In addition to the manufacturing facilities, the Corporation operates cement distribution terminals.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 also has a Magnesia Specialties segment that produces magnesia-based chemicals products used in industrial, agricultural and environmental applications and dolomitic lime sold primarily to customers in the steel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 outlined its critical accounting policies in its Annual Report on Form 10-K for the year ended December 31, 2015. There were no changes to the Corporation’s critical accounting policies during the nine months ended September 30, 2016.</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Except as indicated, the comparative analysis in this Management’s Discussion and Analysis of Financial Condition and Results of Operations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The following tables present the calculations of gross margin and operating margin for the three and nine months ended September 30, 2016 and 2015 in accordance with GAAP and reconciliations of the ratios as percentages of total revenues to percentages of net sales.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b w:val="1"/>
                <w:bCs w:val="1"/>
                <w:color w:val="auto"/>
              </w:rPr>
              <w:t>Consolidated Gross Margin in Accordance with GAAP</w:t>
            </w:r>
          </w:p>
        </w:tc>
        <w:tc>
          <w:tcPr>
            <w:tcW w:w="240" w:type="dxa"/>
            <w:vAlign w:val="bottom"/>
          </w:tcPr>
          <w:p>
            <w:pPr>
              <w:spacing w:after="0"/>
              <w:rPr>
                <w:sz w:val="20"/>
                <w:szCs w:val="20"/>
                <w:color w:val="auto"/>
              </w:rPr>
            </w:pPr>
          </w:p>
        </w:tc>
        <w:tc>
          <w:tcPr>
            <w:tcW w:w="2580" w:type="dxa"/>
            <w:vAlign w:val="bottom"/>
            <w:gridSpan w:val="5"/>
            <w:vMerge w:val="restart"/>
          </w:tcPr>
          <w:p>
            <w:pPr>
              <w:jc w:val="right"/>
              <w:ind w:right="7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vMerge w:val="restart"/>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9"/>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8"/>
              </w:rPr>
              <w:t>(Dollars 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292,568</w:t>
            </w:r>
          </w:p>
        </w:tc>
        <w:tc>
          <w:tcPr>
            <w:tcW w:w="320" w:type="dxa"/>
            <w:vAlign w:val="bottom"/>
            <w:shd w:val="clear" w:color="auto" w:fill="CFF2FA"/>
          </w:tcPr>
          <w:p>
            <w:pPr>
              <w:spacing w:after="0"/>
              <w:rPr>
                <w:sz w:val="19"/>
                <w:szCs w:val="19"/>
                <w:color w:val="auto"/>
              </w:rPr>
            </w:pPr>
          </w:p>
        </w:tc>
        <w:tc>
          <w:tcPr>
            <w:tcW w:w="380" w:type="dxa"/>
            <w:vAlign w:val="bottom"/>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262,505</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683,903</w:t>
            </w:r>
          </w:p>
        </w:tc>
        <w:tc>
          <w:tcPr>
            <w:tcW w:w="220" w:type="dxa"/>
            <w:vAlign w:val="bottom"/>
            <w:shd w:val="clear" w:color="auto" w:fill="CFF2FA"/>
          </w:tcPr>
          <w:p>
            <w:pPr>
              <w:spacing w:after="0"/>
              <w:rPr>
                <w:sz w:val="19"/>
                <w:szCs w:val="19"/>
                <w:color w:val="auto"/>
              </w:rPr>
            </w:pPr>
          </w:p>
        </w:tc>
        <w:tc>
          <w:tcPr>
            <w:tcW w:w="460" w:type="dxa"/>
            <w:vAlign w:val="bottom"/>
            <w:gridSpan w:val="2"/>
            <w:shd w:val="clear" w:color="auto" w:fill="CFF2FA"/>
          </w:tcPr>
          <w:p>
            <w:pPr>
              <w:jc w:val="right"/>
              <w:ind w:right="203"/>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536,918</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60" w:type="dxa"/>
            <w:vAlign w:val="bottom"/>
            <w:tcBorders>
              <w:bottom w:val="single" w:sz="8" w:color="CFF2FA"/>
            </w:tcBorders>
            <w:vMerge w:val="continue"/>
          </w:tcPr>
          <w:p>
            <w:pPr>
              <w:spacing w:after="0"/>
              <w:rPr>
                <w:sz w:val="21"/>
                <w:szCs w:val="21"/>
                <w:color w:val="auto"/>
              </w:rPr>
            </w:pPr>
          </w:p>
        </w:tc>
        <w:tc>
          <w:tcPr>
            <w:tcW w:w="240" w:type="dxa"/>
            <w:vAlign w:val="bottom"/>
            <w:tcBorders>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1,103,901</w:t>
            </w:r>
          </w:p>
        </w:tc>
        <w:tc>
          <w:tcPr>
            <w:tcW w:w="320" w:type="dxa"/>
            <w:vAlign w:val="bottom"/>
            <w:tcBorders>
              <w:bottom w:val="single" w:sz="8" w:color="CFF2FA"/>
            </w:tcBorders>
          </w:tcPr>
          <w:p>
            <w:pPr>
              <w:spacing w:after="0"/>
              <w:rPr>
                <w:sz w:val="21"/>
                <w:szCs w:val="21"/>
                <w:color w:val="auto"/>
              </w:rPr>
            </w:pPr>
          </w:p>
        </w:tc>
        <w:tc>
          <w:tcPr>
            <w:tcW w:w="380" w:type="dxa"/>
            <w:vAlign w:val="bottom"/>
            <w:tcBorders>
              <w:bottom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2"/>
              </w:rPr>
              <w:t>1,082,249</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2,869,934</w:t>
            </w:r>
          </w:p>
        </w:tc>
        <w:tc>
          <w:tcPr>
            <w:tcW w:w="220" w:type="dxa"/>
            <w:vAlign w:val="bottom"/>
            <w:tcBorders>
              <w:bottom w:val="single" w:sz="8" w:color="CFF2FA"/>
            </w:tcBorders>
          </w:tcPr>
          <w:p>
            <w:pPr>
              <w:spacing w:after="0"/>
              <w:rPr>
                <w:sz w:val="21"/>
                <w:szCs w:val="21"/>
                <w:color w:val="auto"/>
              </w:rPr>
            </w:pPr>
          </w:p>
        </w:tc>
        <w:tc>
          <w:tcPr>
            <w:tcW w:w="100" w:type="dxa"/>
            <w:vAlign w:val="bottom"/>
            <w:tcBorders>
              <w:bottom w:val="single" w:sz="8" w:color="CFF2FA"/>
            </w:tcBorders>
          </w:tcPr>
          <w:p>
            <w:pPr>
              <w:spacing w:after="0"/>
              <w:rPr>
                <w:sz w:val="21"/>
                <w:szCs w:val="21"/>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4"/>
              </w:rPr>
              <w:t>2,695,014</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6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4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26.5%</w:t>
            </w:r>
          </w:p>
        </w:tc>
        <w:tc>
          <w:tcPr>
            <w:tcW w:w="38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24.3%</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23.8%</w:t>
            </w:r>
          </w:p>
        </w:tc>
        <w:tc>
          <w:tcPr>
            <w:tcW w:w="100" w:type="dxa"/>
            <w:vAlign w:val="bottom"/>
            <w:shd w:val="clear" w:color="auto" w:fill="CFF2FA"/>
          </w:tcPr>
          <w:p>
            <w:pPr>
              <w:spacing w:after="0"/>
              <w:rPr>
                <w:sz w:val="17"/>
                <w:szCs w:val="17"/>
                <w:color w:val="auto"/>
              </w:rPr>
            </w:pPr>
          </w:p>
        </w:tc>
        <w:tc>
          <w:tcPr>
            <w:tcW w:w="36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b w:val="1"/>
                <w:bCs w:val="1"/>
                <w:color w:val="auto"/>
                <w:w w:val="94"/>
              </w:rPr>
              <w:t>Consolidated Gross Margin Excluding Freight and Delivery Revenues</w:t>
            </w:r>
          </w:p>
        </w:tc>
        <w:tc>
          <w:tcPr>
            <w:tcW w:w="300" w:type="dxa"/>
            <w:vAlign w:val="bottom"/>
          </w:tcPr>
          <w:p>
            <w:pPr>
              <w:spacing w:after="0"/>
              <w:rPr>
                <w:sz w:val="20"/>
                <w:szCs w:val="20"/>
                <w:color w:val="auto"/>
              </w:rPr>
            </w:pPr>
          </w:p>
        </w:tc>
        <w:tc>
          <w:tcPr>
            <w:tcW w:w="2520" w:type="dxa"/>
            <w:vAlign w:val="bottom"/>
            <w:gridSpan w:val="5"/>
            <w:vMerge w:val="restart"/>
          </w:tcPr>
          <w:p>
            <w:pPr>
              <w:jc w:val="center"/>
              <w:ind w:right="48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4"/>
              </w:rPr>
              <w:t>Nine Months Ended</w:t>
            </w:r>
          </w:p>
        </w:tc>
        <w:tc>
          <w:tcPr>
            <w:tcW w:w="0" w:type="dxa"/>
            <w:vAlign w:val="bottom"/>
          </w:tcPr>
          <w:p>
            <w:pPr>
              <w:spacing w:after="0"/>
              <w:rPr>
                <w:sz w:val="1"/>
                <w:szCs w:val="1"/>
                <w:color w:val="auto"/>
              </w:rPr>
            </w:pPr>
          </w:p>
        </w:tc>
      </w:tr>
      <w:tr>
        <w:trPr>
          <w:trHeight w:val="219"/>
        </w:trPr>
        <w:tc>
          <w:tcPr>
            <w:tcW w:w="5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8"/>
                <w:szCs w:val="18"/>
                <w:color w:val="auto"/>
                <w:w w:val="89"/>
              </w:rPr>
              <w:t>September 30,</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48"/>
              <w:spacing w:after="0"/>
              <w:rPr>
                <w:sz w:val="20"/>
                <w:szCs w:val="20"/>
                <w:color w:val="auto"/>
              </w:rPr>
            </w:pPr>
            <w:r>
              <w:rPr>
                <w:rFonts w:ascii="Arial" w:cs="Arial" w:eastAsia="Arial" w:hAnsi="Arial"/>
                <w:sz w:val="18"/>
                <w:szCs w:val="18"/>
                <w:color w:val="auto"/>
                <w:w w:val="89"/>
              </w:rPr>
              <w:t>September 30,</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8"/>
              </w:rPr>
              <w:t>(Dollars 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2FA"/>
          </w:tcPr>
          <w:p>
            <w:pPr>
              <w:jc w:val="right"/>
              <w:ind w:right="10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292,568</w:t>
            </w:r>
          </w:p>
        </w:tc>
        <w:tc>
          <w:tcPr>
            <w:tcW w:w="320" w:type="dxa"/>
            <w:vAlign w:val="bottom"/>
            <w:shd w:val="clear" w:color="auto" w:fill="CFF2FA"/>
          </w:tcPr>
          <w:p>
            <w:pPr>
              <w:spacing w:after="0"/>
              <w:rPr>
                <w:sz w:val="19"/>
                <w:szCs w:val="19"/>
                <w:color w:val="auto"/>
              </w:rPr>
            </w:pPr>
          </w:p>
        </w:tc>
        <w:tc>
          <w:tcPr>
            <w:tcW w:w="380" w:type="dxa"/>
            <w:vAlign w:val="bottom"/>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262,505</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683,903</w:t>
            </w:r>
          </w:p>
        </w:tc>
        <w:tc>
          <w:tcPr>
            <w:tcW w:w="220" w:type="dxa"/>
            <w:vAlign w:val="bottom"/>
            <w:shd w:val="clear" w:color="auto" w:fill="CFF2FA"/>
          </w:tcPr>
          <w:p>
            <w:pPr>
              <w:spacing w:after="0"/>
              <w:rPr>
                <w:sz w:val="19"/>
                <w:szCs w:val="19"/>
                <w:color w:val="auto"/>
              </w:rPr>
            </w:pPr>
          </w:p>
        </w:tc>
        <w:tc>
          <w:tcPr>
            <w:tcW w:w="460" w:type="dxa"/>
            <w:vAlign w:val="bottom"/>
            <w:gridSpan w:val="2"/>
            <w:shd w:val="clear" w:color="auto" w:fill="CFF2FA"/>
          </w:tcPr>
          <w:p>
            <w:pPr>
              <w:jc w:val="right"/>
              <w:ind w:right="203"/>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536,918</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300" w:type="dxa"/>
            <w:vAlign w:val="bottom"/>
          </w:tcPr>
          <w:p>
            <w:pPr>
              <w:jc w:val="right"/>
              <w:ind w:right="108"/>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1,103,901</w:t>
            </w:r>
          </w:p>
        </w:tc>
        <w:tc>
          <w:tcPr>
            <w:tcW w:w="320" w:type="dxa"/>
            <w:vAlign w:val="bottom"/>
          </w:tcPr>
          <w:p>
            <w:pPr>
              <w:spacing w:after="0"/>
              <w:rPr>
                <w:sz w:val="17"/>
                <w:szCs w:val="17"/>
                <w:color w:val="auto"/>
              </w:rPr>
            </w:pPr>
          </w:p>
        </w:tc>
        <w:tc>
          <w:tcPr>
            <w:tcW w:w="380" w:type="dxa"/>
            <w:vAlign w:val="bottom"/>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w w:val="92"/>
              </w:rPr>
              <w:t>1,082,249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2,869,934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w w:val="94"/>
              </w:rPr>
              <w:t>2,695,014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3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(65,557)</w:t>
            </w:r>
          </w:p>
        </w:tc>
        <w:tc>
          <w:tcPr>
            <w:tcW w:w="38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(77,031)</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(182,194)</w:t>
            </w:r>
          </w:p>
        </w:tc>
        <w:tc>
          <w:tcPr>
            <w:tcW w:w="100" w:type="dxa"/>
            <w:vAlign w:val="bottom"/>
            <w:shd w:val="clear" w:color="auto" w:fill="CFF2FA"/>
          </w:tcPr>
          <w:p>
            <w:pPr>
              <w:spacing w:after="0"/>
              <w:rPr>
                <w:sz w:val="19"/>
                <w:szCs w:val="19"/>
                <w:color w:val="auto"/>
              </w:rPr>
            </w:pPr>
          </w:p>
        </w:tc>
        <w:tc>
          <w:tcPr>
            <w:tcW w:w="36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(207,672)</w:t>
            </w:r>
          </w:p>
        </w:tc>
        <w:tc>
          <w:tcPr>
            <w:tcW w:w="0" w:type="dxa"/>
            <w:vAlign w:val="bottom"/>
          </w:tcPr>
          <w:p>
            <w:pPr>
              <w:spacing w:after="0"/>
              <w:rPr>
                <w:sz w:val="1"/>
                <w:szCs w:val="1"/>
                <w:color w:val="auto"/>
              </w:rPr>
            </w:pPr>
          </w:p>
        </w:tc>
      </w:tr>
      <w:tr>
        <w:trPr>
          <w:trHeight w:val="260"/>
        </w:trPr>
        <w:tc>
          <w:tcPr>
            <w:tcW w:w="56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1,038,344</w:t>
            </w:r>
          </w:p>
        </w:tc>
        <w:tc>
          <w:tcPr>
            <w:tcW w:w="32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1,005,218</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2,687,740</w:t>
            </w:r>
          </w:p>
        </w:tc>
        <w:tc>
          <w:tcPr>
            <w:tcW w:w="220" w:type="dxa"/>
            <w:vAlign w:val="bottom"/>
            <w:tcBorders>
              <w:bottom w:val="single" w:sz="8" w:color="CFF2FA"/>
            </w:tcBorders>
          </w:tcPr>
          <w:p>
            <w:pPr>
              <w:spacing w:after="0"/>
              <w:rPr>
                <w:sz w:val="22"/>
                <w:szCs w:val="22"/>
                <w:color w:val="auto"/>
              </w:rPr>
            </w:pPr>
          </w:p>
        </w:tc>
        <w:tc>
          <w:tcPr>
            <w:tcW w:w="100" w:type="dxa"/>
            <w:vAlign w:val="bottom"/>
            <w:tcBorders>
              <w:bottom w:val="single" w:sz="8" w:color="CFF2FA"/>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2,487,342</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6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300" w:type="dxa"/>
            <w:vAlign w:val="bottom"/>
            <w:shd w:val="clear" w:color="auto" w:fill="CFF2FA"/>
          </w:tcPr>
          <w:p>
            <w:pPr>
              <w:spacing w:after="0"/>
              <w:rPr>
                <w:sz w:val="17"/>
                <w:szCs w:val="17"/>
                <w:color w:val="auto"/>
              </w:rPr>
            </w:pPr>
          </w:p>
        </w:tc>
        <w:tc>
          <w:tcPr>
            <w:tcW w:w="118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28.2%</w:t>
            </w:r>
          </w:p>
        </w:tc>
        <w:tc>
          <w:tcPr>
            <w:tcW w:w="38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26.1%</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25.4%</w:t>
            </w:r>
          </w:p>
        </w:tc>
        <w:tc>
          <w:tcPr>
            <w:tcW w:w="100" w:type="dxa"/>
            <w:vAlign w:val="bottom"/>
            <w:shd w:val="clear" w:color="auto" w:fill="CFF2FA"/>
          </w:tcPr>
          <w:p>
            <w:pPr>
              <w:spacing w:after="0"/>
              <w:rPr>
                <w:sz w:val="17"/>
                <w:szCs w:val="17"/>
                <w:color w:val="auto"/>
              </w:rPr>
            </w:pPr>
          </w:p>
        </w:tc>
        <w:tc>
          <w:tcPr>
            <w:tcW w:w="36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b w:val="1"/>
                <w:bCs w:val="1"/>
                <w:color w:val="auto"/>
              </w:rPr>
              <w:t>Consolidated Operating Margin in Accordance with 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5"/>
            <w:vMerge w:val="restart"/>
          </w:tcPr>
          <w:p>
            <w:pPr>
              <w:jc w:val="center"/>
              <w:ind w:right="48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4"/>
              </w:rPr>
              <w:t>Nine Months Ended</w:t>
            </w:r>
          </w:p>
        </w:tc>
        <w:tc>
          <w:tcPr>
            <w:tcW w:w="0" w:type="dxa"/>
            <w:vAlign w:val="bottom"/>
          </w:tcPr>
          <w:p>
            <w:pPr>
              <w:spacing w:after="0"/>
              <w:rPr>
                <w:sz w:val="1"/>
                <w:szCs w:val="1"/>
                <w:color w:val="auto"/>
              </w:rPr>
            </w:pPr>
          </w:p>
        </w:tc>
      </w:tr>
      <w:tr>
        <w:trPr>
          <w:trHeight w:val="219"/>
        </w:trPr>
        <w:tc>
          <w:tcPr>
            <w:tcW w:w="5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8"/>
                <w:szCs w:val="18"/>
                <w:color w:val="auto"/>
                <w:w w:val="89"/>
              </w:rPr>
              <w:t>September 30,</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48"/>
              <w:spacing w:after="0"/>
              <w:rPr>
                <w:sz w:val="20"/>
                <w:szCs w:val="20"/>
                <w:color w:val="auto"/>
              </w:rPr>
            </w:pPr>
            <w:r>
              <w:rPr>
                <w:rFonts w:ascii="Arial" w:cs="Arial" w:eastAsia="Arial" w:hAnsi="Arial"/>
                <w:sz w:val="18"/>
                <w:szCs w:val="18"/>
                <w:color w:val="auto"/>
                <w:w w:val="89"/>
              </w:rPr>
              <w:t>September 30,</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8"/>
              </w:rPr>
              <w:t>(Dollars 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2FA"/>
          </w:tcPr>
          <w:p>
            <w:pPr>
              <w:spacing w:after="0"/>
              <w:rPr>
                <w:sz w:val="20"/>
                <w:szCs w:val="20"/>
                <w:color w:val="auto"/>
              </w:rPr>
            </w:pPr>
            <w:r>
              <w:rPr>
                <w:rFonts w:ascii="Arial" w:cs="Arial" w:eastAsia="Arial" w:hAnsi="Arial"/>
                <w:sz w:val="18"/>
                <w:szCs w:val="18"/>
                <w:color w:val="auto"/>
              </w:rPr>
              <w:t>Earnings from operations</w:t>
            </w:r>
          </w:p>
        </w:tc>
        <w:tc>
          <w:tcPr>
            <w:tcW w:w="300" w:type="dxa"/>
            <w:vAlign w:val="bottom"/>
            <w:shd w:val="clear" w:color="auto" w:fill="CFF2FA"/>
          </w:tcPr>
          <w:p>
            <w:pPr>
              <w:jc w:val="right"/>
              <w:ind w:right="10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240,355</w:t>
            </w:r>
          </w:p>
        </w:tc>
        <w:tc>
          <w:tcPr>
            <w:tcW w:w="320" w:type="dxa"/>
            <w:vAlign w:val="bottom"/>
            <w:shd w:val="clear" w:color="auto" w:fill="CFF2FA"/>
          </w:tcPr>
          <w:p>
            <w:pPr>
              <w:spacing w:after="0"/>
              <w:rPr>
                <w:sz w:val="19"/>
                <w:szCs w:val="19"/>
                <w:color w:val="auto"/>
              </w:rPr>
            </w:pPr>
          </w:p>
        </w:tc>
        <w:tc>
          <w:tcPr>
            <w:tcW w:w="380" w:type="dxa"/>
            <w:vAlign w:val="bottom"/>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179,498</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511,867</w:t>
            </w:r>
          </w:p>
        </w:tc>
        <w:tc>
          <w:tcPr>
            <w:tcW w:w="220" w:type="dxa"/>
            <w:vAlign w:val="bottom"/>
            <w:shd w:val="clear" w:color="auto" w:fill="CFF2FA"/>
          </w:tcPr>
          <w:p>
            <w:pPr>
              <w:spacing w:after="0"/>
              <w:rPr>
                <w:sz w:val="19"/>
                <w:szCs w:val="19"/>
                <w:color w:val="auto"/>
              </w:rPr>
            </w:pPr>
          </w:p>
        </w:tc>
        <w:tc>
          <w:tcPr>
            <w:tcW w:w="460" w:type="dxa"/>
            <w:vAlign w:val="bottom"/>
            <w:gridSpan w:val="2"/>
            <w:shd w:val="clear" w:color="auto" w:fill="CFF2FA"/>
          </w:tcPr>
          <w:p>
            <w:pPr>
              <w:jc w:val="right"/>
              <w:ind w:right="203"/>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342,052</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60" w:type="dxa"/>
            <w:vAlign w:val="bottom"/>
            <w:tcBorders>
              <w:bottom w:val="single" w:sz="8" w:color="CFF2FA"/>
            </w:tcBorders>
            <w:vMerge w:val="continue"/>
          </w:tcPr>
          <w:p>
            <w:pPr>
              <w:spacing w:after="0"/>
              <w:rPr>
                <w:sz w:val="21"/>
                <w:szCs w:val="21"/>
                <w:color w:val="auto"/>
              </w:rPr>
            </w:pPr>
          </w:p>
        </w:tc>
        <w:tc>
          <w:tcPr>
            <w:tcW w:w="300" w:type="dxa"/>
            <w:vAlign w:val="bottom"/>
            <w:tcBorders>
              <w:bottom w:val="single" w:sz="8" w:color="auto"/>
            </w:tcBorders>
          </w:tcPr>
          <w:p>
            <w:pPr>
              <w:jc w:val="right"/>
              <w:ind w:right="108"/>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1,103,901</w:t>
            </w:r>
          </w:p>
        </w:tc>
        <w:tc>
          <w:tcPr>
            <w:tcW w:w="320" w:type="dxa"/>
            <w:vAlign w:val="bottom"/>
            <w:tcBorders>
              <w:bottom w:val="single" w:sz="8" w:color="CFF2FA"/>
            </w:tcBorders>
          </w:tcPr>
          <w:p>
            <w:pPr>
              <w:spacing w:after="0"/>
              <w:rPr>
                <w:sz w:val="21"/>
                <w:szCs w:val="21"/>
                <w:color w:val="auto"/>
              </w:rPr>
            </w:pPr>
          </w:p>
        </w:tc>
        <w:tc>
          <w:tcPr>
            <w:tcW w:w="380" w:type="dxa"/>
            <w:vAlign w:val="bottom"/>
            <w:tcBorders>
              <w:bottom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2"/>
              </w:rPr>
              <w:t>1,082,249</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2,869,934</w:t>
            </w:r>
          </w:p>
        </w:tc>
        <w:tc>
          <w:tcPr>
            <w:tcW w:w="220" w:type="dxa"/>
            <w:vAlign w:val="bottom"/>
            <w:tcBorders>
              <w:bottom w:val="single" w:sz="8" w:color="CFF2FA"/>
            </w:tcBorders>
          </w:tcPr>
          <w:p>
            <w:pPr>
              <w:spacing w:after="0"/>
              <w:rPr>
                <w:sz w:val="21"/>
                <w:szCs w:val="21"/>
                <w:color w:val="auto"/>
              </w:rPr>
            </w:pPr>
          </w:p>
        </w:tc>
        <w:tc>
          <w:tcPr>
            <w:tcW w:w="100" w:type="dxa"/>
            <w:vAlign w:val="bottom"/>
            <w:tcBorders>
              <w:bottom w:val="single" w:sz="8" w:color="CFF2FA"/>
            </w:tcBorders>
          </w:tcPr>
          <w:p>
            <w:pPr>
              <w:spacing w:after="0"/>
              <w:rPr>
                <w:sz w:val="21"/>
                <w:szCs w:val="21"/>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4"/>
              </w:rPr>
              <w:t>2,695,014</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6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Operating margin</w:t>
            </w:r>
          </w:p>
        </w:tc>
        <w:tc>
          <w:tcPr>
            <w:tcW w:w="300" w:type="dxa"/>
            <w:vAlign w:val="bottom"/>
            <w:shd w:val="clear" w:color="auto" w:fill="CFF2FA"/>
          </w:tcPr>
          <w:p>
            <w:pPr>
              <w:spacing w:after="0"/>
              <w:rPr>
                <w:sz w:val="17"/>
                <w:szCs w:val="17"/>
                <w:color w:val="auto"/>
              </w:rPr>
            </w:pPr>
          </w:p>
        </w:tc>
        <w:tc>
          <w:tcPr>
            <w:tcW w:w="118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21.8%</w:t>
            </w:r>
          </w:p>
        </w:tc>
        <w:tc>
          <w:tcPr>
            <w:tcW w:w="38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17.8%</w:t>
            </w:r>
          </w:p>
        </w:tc>
        <w:tc>
          <w:tcPr>
            <w:tcW w:w="100" w:type="dxa"/>
            <w:vAlign w:val="bottom"/>
            <w:shd w:val="clear" w:color="auto" w:fill="CFF2FA"/>
          </w:tcPr>
          <w:p>
            <w:pPr>
              <w:spacing w:after="0"/>
              <w:rPr>
                <w:sz w:val="17"/>
                <w:szCs w:val="17"/>
                <w:color w:val="auto"/>
              </w:rPr>
            </w:pPr>
          </w:p>
        </w:tc>
        <w:tc>
          <w:tcPr>
            <w:tcW w:w="36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w w:val="94"/>
              </w:rPr>
              <w:t>Consolidated Operating Margin Excluding Freight and Delivery Revenues</w:t>
            </w:r>
          </w:p>
        </w:tc>
        <w:tc>
          <w:tcPr>
            <w:tcW w:w="2520" w:type="dxa"/>
            <w:vAlign w:val="bottom"/>
            <w:gridSpan w:val="5"/>
            <w:vMerge w:val="restart"/>
          </w:tcPr>
          <w:p>
            <w:pPr>
              <w:jc w:val="center"/>
              <w:ind w:right="48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4"/>
              </w:rPr>
              <w:t>Nine Months Ended</w:t>
            </w:r>
          </w:p>
        </w:tc>
        <w:tc>
          <w:tcPr>
            <w:tcW w:w="0" w:type="dxa"/>
            <w:vAlign w:val="bottom"/>
          </w:tcPr>
          <w:p>
            <w:pPr>
              <w:spacing w:after="0"/>
              <w:rPr>
                <w:sz w:val="1"/>
                <w:szCs w:val="1"/>
                <w:color w:val="auto"/>
              </w:rPr>
            </w:pPr>
          </w:p>
        </w:tc>
      </w:tr>
      <w:tr>
        <w:trPr>
          <w:trHeight w:val="219"/>
        </w:trPr>
        <w:tc>
          <w:tcPr>
            <w:tcW w:w="5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8"/>
                <w:szCs w:val="18"/>
                <w:color w:val="auto"/>
                <w:w w:val="89"/>
              </w:rPr>
              <w:t>September 30,</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48"/>
              <w:spacing w:after="0"/>
              <w:rPr>
                <w:sz w:val="20"/>
                <w:szCs w:val="20"/>
                <w:color w:val="auto"/>
              </w:rPr>
            </w:pPr>
            <w:r>
              <w:rPr>
                <w:rFonts w:ascii="Arial" w:cs="Arial" w:eastAsia="Arial" w:hAnsi="Arial"/>
                <w:sz w:val="18"/>
                <w:szCs w:val="18"/>
                <w:color w:val="auto"/>
                <w:w w:val="89"/>
              </w:rPr>
              <w:t>September 30,</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8"/>
              </w:rPr>
              <w:t>(Dollars 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2FA"/>
          </w:tcPr>
          <w:p>
            <w:pPr>
              <w:spacing w:after="0"/>
              <w:rPr>
                <w:sz w:val="20"/>
                <w:szCs w:val="20"/>
                <w:color w:val="auto"/>
              </w:rPr>
            </w:pPr>
            <w:r>
              <w:rPr>
                <w:rFonts w:ascii="Arial" w:cs="Arial" w:eastAsia="Arial" w:hAnsi="Arial"/>
                <w:sz w:val="18"/>
                <w:szCs w:val="18"/>
                <w:color w:val="auto"/>
              </w:rPr>
              <w:t>Earnings from operations</w:t>
            </w:r>
          </w:p>
        </w:tc>
        <w:tc>
          <w:tcPr>
            <w:tcW w:w="300" w:type="dxa"/>
            <w:vAlign w:val="bottom"/>
            <w:shd w:val="clear" w:color="auto" w:fill="CFF2FA"/>
          </w:tcPr>
          <w:p>
            <w:pPr>
              <w:jc w:val="right"/>
              <w:ind w:right="10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240,355</w:t>
            </w:r>
          </w:p>
        </w:tc>
        <w:tc>
          <w:tcPr>
            <w:tcW w:w="320" w:type="dxa"/>
            <w:vAlign w:val="bottom"/>
            <w:shd w:val="clear" w:color="auto" w:fill="CFF2FA"/>
          </w:tcPr>
          <w:p>
            <w:pPr>
              <w:spacing w:after="0"/>
              <w:rPr>
                <w:sz w:val="19"/>
                <w:szCs w:val="19"/>
                <w:color w:val="auto"/>
              </w:rPr>
            </w:pPr>
          </w:p>
        </w:tc>
        <w:tc>
          <w:tcPr>
            <w:tcW w:w="380" w:type="dxa"/>
            <w:vAlign w:val="bottom"/>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179,498</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511,867</w:t>
            </w:r>
          </w:p>
        </w:tc>
        <w:tc>
          <w:tcPr>
            <w:tcW w:w="220" w:type="dxa"/>
            <w:vAlign w:val="bottom"/>
            <w:shd w:val="clear" w:color="auto" w:fill="CFF2FA"/>
          </w:tcPr>
          <w:p>
            <w:pPr>
              <w:spacing w:after="0"/>
              <w:rPr>
                <w:sz w:val="19"/>
                <w:szCs w:val="19"/>
                <w:color w:val="auto"/>
              </w:rPr>
            </w:pPr>
          </w:p>
        </w:tc>
        <w:tc>
          <w:tcPr>
            <w:tcW w:w="460" w:type="dxa"/>
            <w:vAlign w:val="bottom"/>
            <w:gridSpan w:val="2"/>
            <w:shd w:val="clear" w:color="auto" w:fill="CFF2FA"/>
          </w:tcPr>
          <w:p>
            <w:pPr>
              <w:jc w:val="right"/>
              <w:ind w:right="203"/>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342,052</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300" w:type="dxa"/>
            <w:vAlign w:val="bottom"/>
          </w:tcPr>
          <w:p>
            <w:pPr>
              <w:jc w:val="right"/>
              <w:ind w:right="108"/>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1,103,901</w:t>
            </w:r>
          </w:p>
        </w:tc>
        <w:tc>
          <w:tcPr>
            <w:tcW w:w="320" w:type="dxa"/>
            <w:vAlign w:val="bottom"/>
          </w:tcPr>
          <w:p>
            <w:pPr>
              <w:spacing w:after="0"/>
              <w:rPr>
                <w:sz w:val="17"/>
                <w:szCs w:val="17"/>
                <w:color w:val="auto"/>
              </w:rPr>
            </w:pPr>
          </w:p>
        </w:tc>
        <w:tc>
          <w:tcPr>
            <w:tcW w:w="380" w:type="dxa"/>
            <w:vAlign w:val="bottom"/>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w w:val="92"/>
              </w:rPr>
              <w:t>1,082,249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2,869,934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w w:val="94"/>
              </w:rPr>
              <w:t>2,695,014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3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(65,557)</w:t>
            </w:r>
          </w:p>
        </w:tc>
        <w:tc>
          <w:tcPr>
            <w:tcW w:w="38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(77,031)</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(182,194)</w:t>
            </w:r>
          </w:p>
        </w:tc>
        <w:tc>
          <w:tcPr>
            <w:tcW w:w="100" w:type="dxa"/>
            <w:vAlign w:val="bottom"/>
            <w:shd w:val="clear" w:color="auto" w:fill="CFF2FA"/>
          </w:tcPr>
          <w:p>
            <w:pPr>
              <w:spacing w:after="0"/>
              <w:rPr>
                <w:sz w:val="19"/>
                <w:szCs w:val="19"/>
                <w:color w:val="auto"/>
              </w:rPr>
            </w:pPr>
          </w:p>
        </w:tc>
        <w:tc>
          <w:tcPr>
            <w:tcW w:w="36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(207,672)</w:t>
            </w:r>
          </w:p>
        </w:tc>
        <w:tc>
          <w:tcPr>
            <w:tcW w:w="0" w:type="dxa"/>
            <w:vAlign w:val="bottom"/>
          </w:tcPr>
          <w:p>
            <w:pPr>
              <w:spacing w:after="0"/>
              <w:rPr>
                <w:sz w:val="1"/>
                <w:szCs w:val="1"/>
                <w:color w:val="auto"/>
              </w:rPr>
            </w:pPr>
          </w:p>
        </w:tc>
      </w:tr>
      <w:tr>
        <w:trPr>
          <w:trHeight w:val="260"/>
        </w:trPr>
        <w:tc>
          <w:tcPr>
            <w:tcW w:w="56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1,038,344</w:t>
            </w:r>
          </w:p>
        </w:tc>
        <w:tc>
          <w:tcPr>
            <w:tcW w:w="32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1,005,218</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2,687,740</w:t>
            </w:r>
          </w:p>
        </w:tc>
        <w:tc>
          <w:tcPr>
            <w:tcW w:w="220" w:type="dxa"/>
            <w:vAlign w:val="bottom"/>
            <w:tcBorders>
              <w:bottom w:val="single" w:sz="8" w:color="CFF2FA"/>
            </w:tcBorders>
          </w:tcPr>
          <w:p>
            <w:pPr>
              <w:spacing w:after="0"/>
              <w:rPr>
                <w:sz w:val="22"/>
                <w:szCs w:val="22"/>
                <w:color w:val="auto"/>
              </w:rPr>
            </w:pPr>
          </w:p>
        </w:tc>
        <w:tc>
          <w:tcPr>
            <w:tcW w:w="100" w:type="dxa"/>
            <w:vAlign w:val="bottom"/>
            <w:tcBorders>
              <w:bottom w:val="single" w:sz="8" w:color="CFF2FA"/>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2,487,342</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6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Operating margin excluding freight and delivery revenues</w:t>
            </w:r>
          </w:p>
        </w:tc>
        <w:tc>
          <w:tcPr>
            <w:tcW w:w="300" w:type="dxa"/>
            <w:vAlign w:val="bottom"/>
            <w:shd w:val="clear" w:color="auto" w:fill="CFF2FA"/>
          </w:tcPr>
          <w:p>
            <w:pPr>
              <w:spacing w:after="0"/>
              <w:rPr>
                <w:sz w:val="17"/>
                <w:szCs w:val="17"/>
                <w:color w:val="auto"/>
              </w:rPr>
            </w:pPr>
          </w:p>
        </w:tc>
        <w:tc>
          <w:tcPr>
            <w:tcW w:w="118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23.1%</w:t>
            </w:r>
          </w:p>
        </w:tc>
        <w:tc>
          <w:tcPr>
            <w:tcW w:w="38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19.0%</w:t>
            </w:r>
          </w:p>
        </w:tc>
        <w:tc>
          <w:tcPr>
            <w:tcW w:w="100" w:type="dxa"/>
            <w:vAlign w:val="bottom"/>
            <w:shd w:val="clear" w:color="auto" w:fill="CFF2FA"/>
          </w:tcPr>
          <w:p>
            <w:pPr>
              <w:spacing w:after="0"/>
              <w:rPr>
                <w:sz w:val="17"/>
                <w:szCs w:val="17"/>
                <w:color w:val="auto"/>
              </w:rPr>
            </w:pPr>
          </w:p>
        </w:tc>
        <w:tc>
          <w:tcPr>
            <w:tcW w:w="360" w:type="dxa"/>
            <w:vAlign w:val="bottom"/>
            <w:shd w:val="clear" w:color="auto" w:fill="CFF2FA"/>
          </w:tcPr>
          <w:p>
            <w:pPr>
              <w:spacing w:after="0"/>
              <w:rPr>
                <w:sz w:val="17"/>
                <w:szCs w:val="17"/>
                <w:color w:val="auto"/>
              </w:rPr>
            </w:pPr>
          </w:p>
        </w:tc>
        <w:tc>
          <w:tcPr>
            <w:tcW w:w="9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66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80" w:type="dxa"/>
            <w:vAlign w:val="bottom"/>
            <w:gridSpan w:val="4"/>
          </w:tcPr>
          <w:p>
            <w:pPr>
              <w:spacing w:after="0"/>
              <w:rPr>
                <w:sz w:val="20"/>
                <w:szCs w:val="20"/>
                <w:color w:val="auto"/>
              </w:rPr>
            </w:pPr>
            <w:r>
              <w:rPr>
                <w:rFonts w:ascii="Arial" w:cs="Arial" w:eastAsia="Arial" w:hAnsi="Arial"/>
                <w:sz w:val="18"/>
                <w:szCs w:val="18"/>
                <w:b w:val="1"/>
                <w:bCs w:val="1"/>
                <w:color w:val="auto"/>
              </w:rPr>
              <w:t>Ready Mixed Concrete Product Line Gross Margin in Accordance with GAAP</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39,832</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23,557</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83,210</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34,981</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263,983</w:t>
            </w:r>
          </w:p>
        </w:tc>
        <w:tc>
          <w:tcPr>
            <w:tcW w:w="32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210,058</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666,313</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487,914</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15.1%</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12.5%</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560" w:type="dxa"/>
            <w:vAlign w:val="bottom"/>
            <w:gridSpan w:val="5"/>
          </w:tcPr>
          <w:p>
            <w:pPr>
              <w:spacing w:after="0"/>
              <w:rPr>
                <w:sz w:val="20"/>
                <w:szCs w:val="20"/>
                <w:color w:val="auto"/>
              </w:rPr>
            </w:pPr>
            <w:r>
              <w:rPr>
                <w:rFonts w:ascii="Arial" w:cs="Arial" w:eastAsia="Arial" w:hAnsi="Arial"/>
                <w:sz w:val="18"/>
                <w:szCs w:val="18"/>
                <w:b w:val="1"/>
                <w:bCs w:val="1"/>
                <w:color w:val="auto"/>
                <w:w w:val="95"/>
              </w:rPr>
              <w:t>Ready Mixed Concrete Product Line Gross Margin Excluding Freight and Delivery Revenues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39,832</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23,557</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83,210</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34,981</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263,983</w:t>
            </w:r>
          </w:p>
        </w:tc>
        <w:tc>
          <w:tcPr>
            <w:tcW w:w="320" w:type="dxa"/>
            <w:vAlign w:val="bottom"/>
          </w:tcPr>
          <w:p>
            <w:pPr>
              <w:spacing w:after="0"/>
              <w:rPr>
                <w:sz w:val="17"/>
                <w:szCs w:val="17"/>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210,058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666,313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487,914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(303)</w:t>
            </w: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263,680</w:t>
            </w:r>
          </w:p>
        </w:tc>
        <w:tc>
          <w:tcPr>
            <w:tcW w:w="32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209,608</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665,353</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486,931</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15.1%</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12.5%</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b w:val="1"/>
                <w:bCs w:val="1"/>
                <w:color w:val="auto"/>
              </w:rPr>
              <w:t>Cement Business Gross Margin in Accordance with 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vMerge w:val="restart"/>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29,725</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38,244</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86,283</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87,642</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62,633</w:t>
            </w:r>
          </w:p>
        </w:tc>
        <w:tc>
          <w:tcPr>
            <w:tcW w:w="32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116,135</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198,653</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324,134</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47.5%</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43.4%</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w w:val="94"/>
              </w:rPr>
              <w:t>Cement Business Gross Margin Excluding Freight and Delivery Revenues</w:t>
            </w:r>
          </w:p>
        </w:tc>
        <w:tc>
          <w:tcPr>
            <w:tcW w:w="2540" w:type="dxa"/>
            <w:vAlign w:val="bottom"/>
            <w:gridSpan w:val="5"/>
            <w:vMerge w:val="restart"/>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29,725</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38,244</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86,283</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87,642</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62,633</w:t>
            </w:r>
          </w:p>
        </w:tc>
        <w:tc>
          <w:tcPr>
            <w:tcW w:w="320" w:type="dxa"/>
            <w:vAlign w:val="bottom"/>
          </w:tcPr>
          <w:p>
            <w:pPr>
              <w:spacing w:after="0"/>
              <w:rPr>
                <w:sz w:val="17"/>
                <w:szCs w:val="17"/>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116,135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198,653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324,134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(2,543)</w:t>
            </w: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(5,616)</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(8,899)</w:t>
            </w:r>
          </w:p>
        </w:tc>
        <w:tc>
          <w:tcPr>
            <w:tcW w:w="8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60,090</w:t>
            </w:r>
          </w:p>
        </w:tc>
        <w:tc>
          <w:tcPr>
            <w:tcW w:w="32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110,519</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189,754</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307,489</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49.5%</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34.6%</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45.5%</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500" w:type="dxa"/>
            <w:vAlign w:val="bottom"/>
            <w:gridSpan w:val="7"/>
          </w:tcPr>
          <w:p>
            <w:pPr>
              <w:spacing w:after="0"/>
              <w:rPr>
                <w:sz w:val="20"/>
                <w:szCs w:val="20"/>
                <w:color w:val="auto"/>
              </w:rPr>
            </w:pPr>
            <w:r>
              <w:rPr>
                <w:rFonts w:ascii="Arial" w:cs="Arial" w:eastAsia="Arial" w:hAnsi="Arial"/>
                <w:sz w:val="18"/>
                <w:szCs w:val="18"/>
                <w:b w:val="1"/>
                <w:bCs w:val="1"/>
                <w:color w:val="auto"/>
                <w:w w:val="98"/>
              </w:rPr>
              <w:t>Cement Business, Excluding California Cement Operations, Gross Margin in Accordance with GAAP</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29,725</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34,912</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86,283</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84,957</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62,633</w:t>
            </w:r>
          </w:p>
        </w:tc>
        <w:tc>
          <w:tcPr>
            <w:tcW w:w="32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84,268</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198,653</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222,593</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47.5%</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41.4%</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43.4%</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0020" w:type="dxa"/>
            <w:vAlign w:val="bottom"/>
            <w:gridSpan w:val="11"/>
          </w:tcPr>
          <w:p>
            <w:pPr>
              <w:spacing w:after="0"/>
              <w:rPr>
                <w:sz w:val="20"/>
                <w:szCs w:val="20"/>
                <w:color w:val="auto"/>
              </w:rPr>
            </w:pPr>
            <w:r>
              <w:rPr>
                <w:rFonts w:ascii="Arial" w:cs="Arial" w:eastAsia="Arial" w:hAnsi="Arial"/>
                <w:sz w:val="18"/>
                <w:szCs w:val="18"/>
                <w:b w:val="1"/>
                <w:bCs w:val="1"/>
                <w:color w:val="auto"/>
              </w:rPr>
              <w:t>Cement Business, Excluding California Cement Operations, Gross Margin Excluding Freight and Delivery Revenues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29,725</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34,912</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86,283</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84,957</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62,633</w:t>
            </w:r>
          </w:p>
        </w:tc>
        <w:tc>
          <w:tcPr>
            <w:tcW w:w="320" w:type="dxa"/>
            <w:vAlign w:val="bottom"/>
          </w:tcPr>
          <w:p>
            <w:pPr>
              <w:spacing w:after="0"/>
              <w:rPr>
                <w:sz w:val="17"/>
                <w:szCs w:val="17"/>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84,268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198,653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222,593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(2,543)</w:t>
            </w: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(4,530)</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(8,899)</w:t>
            </w:r>
          </w:p>
        </w:tc>
        <w:tc>
          <w:tcPr>
            <w:tcW w:w="8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(13,152)</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60,090</w:t>
            </w:r>
          </w:p>
        </w:tc>
        <w:tc>
          <w:tcPr>
            <w:tcW w:w="32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79,738</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189,754</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209,441</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49.5%</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43.8%</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45.5%</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color w:val="auto"/>
              </w:rPr>
              <w:t>Magnesia Specialties Gross Margin in Accordance with GAAP</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22,810</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19,391</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67,472</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60,793</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65,149</w:t>
            </w:r>
          </w:p>
        </w:tc>
        <w:tc>
          <w:tcPr>
            <w:tcW w:w="32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62,174</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192,955</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190,456</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35.0%</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31.2%</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35.0%</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180" w:type="dxa"/>
            <w:vAlign w:val="bottom"/>
            <w:gridSpan w:val="4"/>
          </w:tcPr>
          <w:p>
            <w:pPr>
              <w:spacing w:after="0"/>
              <w:rPr>
                <w:sz w:val="20"/>
                <w:szCs w:val="20"/>
                <w:color w:val="auto"/>
              </w:rPr>
            </w:pPr>
            <w:r>
              <w:rPr>
                <w:rFonts w:ascii="Arial" w:cs="Arial" w:eastAsia="Arial" w:hAnsi="Arial"/>
                <w:sz w:val="18"/>
                <w:szCs w:val="18"/>
                <w:b w:val="1"/>
                <w:bCs w:val="1"/>
                <w:color w:val="auto"/>
              </w:rPr>
              <w:t>Magnesia Specialties Gross Margin Excluding Freight and Delivery Revenues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8"/>
                <w:szCs w:val="18"/>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8"/>
                <w:szCs w:val="18"/>
                <w:color w:val="auto"/>
                <w:w w:val="91"/>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4"/>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w w:val="97"/>
              </w:rPr>
              <w:t>(Dollars in Thousands)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22,810</w:t>
            </w:r>
          </w:p>
        </w:tc>
        <w:tc>
          <w:tcPr>
            <w:tcW w:w="32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19,391</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67,472</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60,793</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65,149</w:t>
            </w:r>
          </w:p>
        </w:tc>
        <w:tc>
          <w:tcPr>
            <w:tcW w:w="320" w:type="dxa"/>
            <w:vAlign w:val="bottom"/>
          </w:tcPr>
          <w:p>
            <w:pPr>
              <w:spacing w:after="0"/>
              <w:rPr>
                <w:sz w:val="17"/>
                <w:szCs w:val="17"/>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62,174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192,955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8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190,456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(4,905)</w:t>
            </w: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(4,916)</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(14,340)</w:t>
            </w:r>
          </w:p>
        </w:tc>
        <w:tc>
          <w:tcPr>
            <w:tcW w:w="8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(13,986)</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60,244</w:t>
            </w:r>
          </w:p>
        </w:tc>
        <w:tc>
          <w:tcPr>
            <w:tcW w:w="32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57,258</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178,615</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176,470</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37.9%</w:t>
            </w: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33.9%</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37.8%</w:t>
            </w:r>
          </w:p>
        </w:tc>
        <w:tc>
          <w:tcPr>
            <w:tcW w:w="80" w:type="dxa"/>
            <w:vAlign w:val="bottom"/>
            <w:shd w:val="clear" w:color="auto" w:fill="CFF2FA"/>
          </w:tcPr>
          <w:p>
            <w:pPr>
              <w:spacing w:after="0"/>
              <w:rPr>
                <w:sz w:val="17"/>
                <w:szCs w:val="17"/>
                <w:color w:val="auto"/>
              </w:rPr>
            </w:pPr>
          </w:p>
        </w:tc>
        <w:tc>
          <w:tcPr>
            <w:tcW w:w="380" w:type="dxa"/>
            <w:vAlign w:val="bottom"/>
            <w:shd w:val="clear" w:color="auto" w:fill="CFF2FA"/>
          </w:tcPr>
          <w:p>
            <w:pPr>
              <w:spacing w:after="0"/>
              <w:rPr>
                <w:sz w:val="17"/>
                <w:szCs w:val="17"/>
                <w:color w:val="auto"/>
              </w:rPr>
            </w:pPr>
          </w:p>
        </w:tc>
        <w:tc>
          <w:tcPr>
            <w:tcW w:w="94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before interest, income taxes, depreciation, depletion and amortization (“EBITDA”) is a widely accepted financial indicator of a company’s ability to service and/or incur indebtedness. EBITDA is not defined by generally accepted accounting principles and, as such, should not be construed as an alternative to net earnings or operating cash flow. EBITDA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4"/>
          </w:tcPr>
          <w:p>
            <w:pPr>
              <w:ind w:left="140"/>
              <w:spacing w:after="0"/>
              <w:rPr>
                <w:sz w:val="20"/>
                <w:szCs w:val="20"/>
                <w:color w:val="auto"/>
              </w:rPr>
            </w:pPr>
            <w:r>
              <w:rPr>
                <w:rFonts w:ascii="Arial" w:cs="Arial" w:eastAsia="Arial" w:hAnsi="Arial"/>
                <w:sz w:val="18"/>
                <w:szCs w:val="18"/>
                <w:color w:val="auto"/>
              </w:rPr>
              <w:t>Three Months Ended</w:t>
            </w:r>
          </w:p>
        </w:tc>
        <w:tc>
          <w:tcPr>
            <w:tcW w:w="208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Nine Months Ended</w:t>
            </w:r>
          </w:p>
        </w:tc>
      </w:tr>
      <w:tr>
        <w:trPr>
          <w:trHeight w:val="231"/>
        </w:trPr>
        <w:tc>
          <w:tcPr>
            <w:tcW w:w="5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September 30,</w:t>
            </w:r>
          </w:p>
        </w:tc>
        <w:tc>
          <w:tcPr>
            <w:tcW w:w="20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September 30,</w:t>
            </w:r>
          </w:p>
        </w:tc>
      </w:tr>
      <w:tr>
        <w:trPr>
          <w:trHeight w:val="245"/>
        </w:trPr>
        <w:tc>
          <w:tcPr>
            <w:tcW w:w="59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9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2016</w:t>
            </w:r>
          </w:p>
        </w:tc>
        <w:tc>
          <w:tcPr>
            <w:tcW w:w="12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860" w:type="dxa"/>
            <w:vAlign w:val="bottom"/>
            <w:tcBorders>
              <w:top w:val="single" w:sz="8" w:color="auto"/>
            </w:tcBorders>
          </w:tcPr>
          <w:p>
            <w:pPr>
              <w:jc w:val="right"/>
              <w:ind w:right="148"/>
              <w:spacing w:after="0"/>
              <w:rPr>
                <w:sz w:val="20"/>
                <w:szCs w:val="20"/>
                <w:color w:val="auto"/>
              </w:rPr>
            </w:pPr>
            <w:r>
              <w:rPr>
                <w:rFonts w:ascii="Arial" w:cs="Arial" w:eastAsia="Arial" w:hAnsi="Arial"/>
                <w:sz w:val="18"/>
                <w:szCs w:val="18"/>
                <w:color w:val="auto"/>
              </w:rPr>
              <w:t>2016</w:t>
            </w: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r>
      <w:tr>
        <w:trPr>
          <w:trHeight w:val="203"/>
        </w:trPr>
        <w:tc>
          <w:tcPr>
            <w:tcW w:w="5940" w:type="dxa"/>
            <w:vAlign w:val="bottom"/>
            <w:tcBorders>
              <w:top w:val="single" w:sz="8" w:color="CFF0FD"/>
            </w:tcBorders>
            <w:shd w:val="clear" w:color="auto" w:fill="CFF0FD"/>
          </w:tcPr>
          <w:p>
            <w:pPr>
              <w:spacing w:after="0" w:line="203" w:lineRule="exact"/>
              <w:rPr>
                <w:sz w:val="20"/>
                <w:szCs w:val="20"/>
                <w:color w:val="auto"/>
              </w:rPr>
            </w:pPr>
            <w:r>
              <w:rPr>
                <w:rFonts w:ascii="Arial" w:cs="Arial" w:eastAsia="Arial" w:hAnsi="Arial"/>
                <w:sz w:val="18"/>
                <w:szCs w:val="18"/>
                <w:color w:val="auto"/>
              </w:rPr>
              <w:t>Consolidated Earnings Before Interest, Income Taxes, Depreciation,</w:t>
            </w:r>
          </w:p>
        </w:tc>
        <w:tc>
          <w:tcPr>
            <w:tcW w:w="900" w:type="dxa"/>
            <w:vAlign w:val="bottom"/>
            <w:tcBorders>
              <w:top w:val="single" w:sz="8" w:color="CFF0FD"/>
            </w:tcBorders>
            <w:shd w:val="clear" w:color="auto" w:fill="CFF0FD"/>
          </w:tcPr>
          <w:p>
            <w:pPr>
              <w:spacing w:after="0"/>
              <w:rPr>
                <w:sz w:val="17"/>
                <w:szCs w:val="17"/>
                <w:color w:val="auto"/>
              </w:rPr>
            </w:pPr>
          </w:p>
        </w:tc>
        <w:tc>
          <w:tcPr>
            <w:tcW w:w="200" w:type="dxa"/>
            <w:vAlign w:val="bottom"/>
            <w:tcBorders>
              <w:top w:val="single" w:sz="8" w:color="auto"/>
            </w:tcBorders>
            <w:shd w:val="clear" w:color="auto" w:fill="CFF0FD"/>
          </w:tcPr>
          <w:p>
            <w:pPr>
              <w:spacing w:after="0"/>
              <w:rPr>
                <w:sz w:val="17"/>
                <w:szCs w:val="17"/>
                <w:color w:val="auto"/>
              </w:rPr>
            </w:pPr>
          </w:p>
        </w:tc>
        <w:tc>
          <w:tcPr>
            <w:tcW w:w="840" w:type="dxa"/>
            <w:vAlign w:val="bottom"/>
            <w:tcBorders>
              <w:top w:val="single" w:sz="8" w:color="auto"/>
            </w:tcBorders>
            <w:shd w:val="clear" w:color="auto" w:fill="CFF0FD"/>
          </w:tcPr>
          <w:p>
            <w:pPr>
              <w:spacing w:after="0"/>
              <w:rPr>
                <w:sz w:val="17"/>
                <w:szCs w:val="17"/>
                <w:color w:val="auto"/>
              </w:rPr>
            </w:pPr>
          </w:p>
        </w:tc>
        <w:tc>
          <w:tcPr>
            <w:tcW w:w="260" w:type="dxa"/>
            <w:vAlign w:val="bottom"/>
            <w:tcBorders>
              <w:top w:val="single" w:sz="8" w:color="CFF0FD"/>
            </w:tcBorders>
            <w:shd w:val="clear" w:color="auto" w:fill="CFF0FD"/>
          </w:tcPr>
          <w:p>
            <w:pPr>
              <w:spacing w:after="0"/>
              <w:rPr>
                <w:sz w:val="17"/>
                <w:szCs w:val="17"/>
                <w:color w:val="auto"/>
              </w:rPr>
            </w:pPr>
          </w:p>
        </w:tc>
        <w:tc>
          <w:tcPr>
            <w:tcW w:w="960" w:type="dxa"/>
            <w:vAlign w:val="bottom"/>
            <w:tcBorders>
              <w:top w:val="single" w:sz="8" w:color="auto"/>
            </w:tcBorders>
            <w:shd w:val="clear" w:color="auto" w:fill="CFF0FD"/>
          </w:tcPr>
          <w:p>
            <w:pPr>
              <w:spacing w:after="0"/>
              <w:rPr>
                <w:sz w:val="17"/>
                <w:szCs w:val="17"/>
                <w:color w:val="auto"/>
              </w:rPr>
            </w:pPr>
          </w:p>
        </w:tc>
        <w:tc>
          <w:tcPr>
            <w:tcW w:w="240" w:type="dxa"/>
            <w:vAlign w:val="bottom"/>
            <w:tcBorders>
              <w:top w:val="single" w:sz="8" w:color="CFF0FD"/>
            </w:tcBorders>
            <w:shd w:val="clear" w:color="auto" w:fill="CFF0FD"/>
          </w:tcPr>
          <w:p>
            <w:pPr>
              <w:spacing w:after="0"/>
              <w:rPr>
                <w:sz w:val="17"/>
                <w:szCs w:val="17"/>
                <w:color w:val="auto"/>
              </w:rPr>
            </w:pPr>
          </w:p>
        </w:tc>
        <w:tc>
          <w:tcPr>
            <w:tcW w:w="860" w:type="dxa"/>
            <w:vAlign w:val="bottom"/>
            <w:tcBorders>
              <w:top w:val="single" w:sz="8" w:color="auto"/>
            </w:tcBorders>
            <w:shd w:val="clear" w:color="auto" w:fill="CFF0FD"/>
          </w:tcPr>
          <w:p>
            <w:pPr>
              <w:spacing w:after="0"/>
              <w:rPr>
                <w:sz w:val="17"/>
                <w:szCs w:val="17"/>
                <w:color w:val="auto"/>
              </w:rPr>
            </w:pPr>
          </w:p>
        </w:tc>
        <w:tc>
          <w:tcPr>
            <w:tcW w:w="260" w:type="dxa"/>
            <w:vAlign w:val="bottom"/>
            <w:tcBorders>
              <w:top w:val="single" w:sz="8" w:color="CFF0FD"/>
            </w:tcBorders>
            <w:shd w:val="clear" w:color="auto" w:fill="CFF0FD"/>
          </w:tcPr>
          <w:p>
            <w:pPr>
              <w:spacing w:after="0"/>
              <w:rPr>
                <w:sz w:val="17"/>
                <w:szCs w:val="17"/>
                <w:color w:val="auto"/>
              </w:rPr>
            </w:pPr>
          </w:p>
        </w:tc>
        <w:tc>
          <w:tcPr>
            <w:tcW w:w="860" w:type="dxa"/>
            <w:vAlign w:val="bottom"/>
            <w:tcBorders>
              <w:top w:val="single" w:sz="8" w:color="auto"/>
            </w:tcBorders>
            <w:shd w:val="clear" w:color="auto" w:fill="CFF0FD"/>
          </w:tcPr>
          <w:p>
            <w:pPr>
              <w:spacing w:after="0"/>
              <w:rPr>
                <w:sz w:val="17"/>
                <w:szCs w:val="17"/>
                <w:color w:val="auto"/>
              </w:rPr>
            </w:pPr>
          </w:p>
        </w:tc>
        <w:tc>
          <w:tcPr>
            <w:tcW w:w="100" w:type="dxa"/>
            <w:vAlign w:val="bottom"/>
            <w:tcBorders>
              <w:top w:val="single" w:sz="8" w:color="CFF0FD"/>
            </w:tcBorders>
            <w:shd w:val="clear" w:color="auto" w:fill="CFF0FD"/>
          </w:tcPr>
          <w:p>
            <w:pPr>
              <w:spacing w:after="0"/>
              <w:rPr>
                <w:sz w:val="17"/>
                <w:szCs w:val="17"/>
                <w:color w:val="auto"/>
              </w:rPr>
            </w:pPr>
          </w:p>
        </w:tc>
      </w:tr>
      <w:tr>
        <w:trPr>
          <w:trHeight w:val="231"/>
        </w:trPr>
        <w:tc>
          <w:tcPr>
            <w:tcW w:w="5940" w:type="dxa"/>
            <w:vAlign w:val="bottom"/>
            <w:shd w:val="clear" w:color="auto" w:fill="CFF0FD"/>
          </w:tcPr>
          <w:p>
            <w:pPr>
              <w:ind w:left="240"/>
              <w:spacing w:after="0"/>
              <w:rPr>
                <w:sz w:val="20"/>
                <w:szCs w:val="20"/>
                <w:color w:val="auto"/>
              </w:rPr>
            </w:pPr>
            <w:r>
              <w:rPr>
                <w:rFonts w:ascii="Arial" w:cs="Arial" w:eastAsia="Arial" w:hAnsi="Arial"/>
                <w:sz w:val="18"/>
                <w:szCs w:val="18"/>
                <w:color w:val="auto"/>
              </w:rPr>
              <w:t>Depletion and Amortization</w:t>
            </w:r>
          </w:p>
        </w:tc>
        <w:tc>
          <w:tcPr>
            <w:tcW w:w="1100" w:type="dxa"/>
            <w:vAlign w:val="bottom"/>
            <w:gridSpan w:val="2"/>
            <w:shd w:val="clear" w:color="auto" w:fill="CFF0FD"/>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322,796</w:t>
            </w:r>
          </w:p>
        </w:tc>
        <w:tc>
          <w:tcPr>
            <w:tcW w:w="1220" w:type="dxa"/>
            <w:vAlign w:val="bottom"/>
            <w:gridSpan w:val="2"/>
            <w:shd w:val="clear" w:color="auto" w:fill="CFF0FD"/>
          </w:tcPr>
          <w:p>
            <w:pPr>
              <w:jc w:val="right"/>
              <w:ind w:right="20"/>
              <w:spacing w:after="0"/>
              <w:rPr>
                <w:sz w:val="20"/>
                <w:szCs w:val="20"/>
                <w:color w:val="auto"/>
              </w:rPr>
            </w:pPr>
            <w:r>
              <w:rPr>
                <w:rFonts w:ascii="Arial" w:cs="Arial" w:eastAsia="Arial" w:hAnsi="Arial"/>
                <w:sz w:val="18"/>
                <w:szCs w:val="18"/>
                <w:color w:val="auto"/>
              </w:rPr>
              <w:t>$   248,187</w:t>
            </w:r>
          </w:p>
        </w:tc>
        <w:tc>
          <w:tcPr>
            <w:tcW w:w="240" w:type="dxa"/>
            <w:vAlign w:val="bottom"/>
            <w:shd w:val="clear" w:color="auto" w:fill="CFF0FD"/>
          </w:tcPr>
          <w:p>
            <w:pPr>
              <w:spacing w:after="0"/>
              <w:rPr>
                <w:sz w:val="20"/>
                <w:szCs w:val="20"/>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w w:val="98"/>
              </w:rPr>
              <w:t>$  741,898</w:t>
            </w:r>
          </w:p>
        </w:tc>
        <w:tc>
          <w:tcPr>
            <w:tcW w:w="1120" w:type="dxa"/>
            <w:vAlign w:val="bottom"/>
            <w:gridSpan w:val="2"/>
            <w:shd w:val="clear" w:color="auto" w:fill="CFF0FD"/>
          </w:tcPr>
          <w:p>
            <w:pPr>
              <w:jc w:val="right"/>
              <w:ind w:right="20"/>
              <w:spacing w:after="0"/>
              <w:rPr>
                <w:sz w:val="20"/>
                <w:szCs w:val="20"/>
                <w:color w:val="auto"/>
              </w:rPr>
            </w:pPr>
            <w:r>
              <w:rPr>
                <w:rFonts w:ascii="Arial" w:cs="Arial" w:eastAsia="Arial" w:hAnsi="Arial"/>
                <w:sz w:val="18"/>
                <w:szCs w:val="18"/>
                <w:color w:val="auto"/>
              </w:rPr>
              <w:t>$  546,294</w:t>
            </w:r>
          </w:p>
        </w:tc>
        <w:tc>
          <w:tcPr>
            <w:tcW w:w="100" w:type="dxa"/>
            <w:vAlign w:val="bottom"/>
            <w:shd w:val="clear" w:color="auto" w:fill="CFF0FD"/>
          </w:tcPr>
          <w:p>
            <w:pPr>
              <w:spacing w:after="0"/>
              <w:rPr>
                <w:sz w:val="20"/>
                <w:szCs w:val="20"/>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340" w:type="dxa"/>
            <w:vAlign w:val="bottom"/>
            <w:gridSpan w:val="8"/>
          </w:tcPr>
          <w:p>
            <w:pPr>
              <w:spacing w:after="0"/>
              <w:rPr>
                <w:sz w:val="20"/>
                <w:szCs w:val="20"/>
                <w:color w:val="auto"/>
              </w:rPr>
            </w:pPr>
            <w:r>
              <w:rPr>
                <w:rFonts w:ascii="Arial" w:cs="Arial" w:eastAsia="Arial" w:hAnsi="Arial"/>
                <w:sz w:val="18"/>
                <w:szCs w:val="18"/>
                <w:color w:val="auto"/>
              </w:rPr>
              <w:t>A reconciliation of Net Earnings Attributable to Martin Marietta Materials, Inc. to Consolidated EBITDA is as follows: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8"/>
        </w:trPr>
        <w:tc>
          <w:tcPr>
            <w:tcW w:w="5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Three Months Ended</w:t>
            </w:r>
          </w:p>
        </w:tc>
        <w:tc>
          <w:tcPr>
            <w:tcW w:w="160" w:type="dxa"/>
            <w:vAlign w:val="bottom"/>
          </w:tcPr>
          <w:p>
            <w:pPr>
              <w:spacing w:after="0"/>
              <w:rPr>
                <w:sz w:val="24"/>
                <w:szCs w:val="24"/>
                <w:color w:val="auto"/>
              </w:rPr>
            </w:pPr>
          </w:p>
        </w:tc>
        <w:tc>
          <w:tcPr>
            <w:tcW w:w="1920" w:type="dxa"/>
            <w:vAlign w:val="bottom"/>
            <w:gridSpan w:val="6"/>
          </w:tcPr>
          <w:p>
            <w:pPr>
              <w:ind w:left="80"/>
              <w:spacing w:after="0"/>
              <w:rPr>
                <w:sz w:val="20"/>
                <w:szCs w:val="20"/>
                <w:color w:val="auto"/>
              </w:rPr>
            </w:pPr>
            <w:r>
              <w:rPr>
                <w:rFonts w:ascii="Arial" w:cs="Arial" w:eastAsia="Arial" w:hAnsi="Arial"/>
                <w:sz w:val="18"/>
                <w:szCs w:val="18"/>
                <w:color w:val="auto"/>
              </w:rPr>
              <w:t>Nine Months Ended</w:t>
            </w:r>
          </w:p>
        </w:tc>
      </w:tr>
      <w:tr>
        <w:trPr>
          <w:trHeight w:val="231"/>
        </w:trPr>
        <w:tc>
          <w:tcPr>
            <w:tcW w:w="5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8"/>
                <w:szCs w:val="18"/>
                <w:color w:val="auto"/>
                <w:w w:val="91"/>
              </w:rPr>
              <w:t>September 30,</w:t>
            </w:r>
          </w:p>
        </w:tc>
        <w:tc>
          <w:tcPr>
            <w:tcW w:w="160" w:type="dxa"/>
            <w:vAlign w:val="bottom"/>
          </w:tcPr>
          <w:p>
            <w:pPr>
              <w:spacing w:after="0"/>
              <w:rPr>
                <w:sz w:val="20"/>
                <w:szCs w:val="20"/>
                <w:color w:val="auto"/>
              </w:rPr>
            </w:pPr>
          </w:p>
        </w:tc>
        <w:tc>
          <w:tcPr>
            <w:tcW w:w="1920" w:type="dxa"/>
            <w:vAlign w:val="bottom"/>
            <w:gridSpan w:val="6"/>
          </w:tcPr>
          <w:p>
            <w:pPr>
              <w:ind w:left="280"/>
              <w:spacing w:after="0"/>
              <w:rPr>
                <w:sz w:val="20"/>
                <w:szCs w:val="20"/>
                <w:color w:val="auto"/>
              </w:rPr>
            </w:pPr>
            <w:r>
              <w:rPr>
                <w:rFonts w:ascii="Arial" w:cs="Arial" w:eastAsia="Arial" w:hAnsi="Arial"/>
                <w:sz w:val="18"/>
                <w:szCs w:val="18"/>
                <w:color w:val="auto"/>
              </w:rPr>
              <w:t>September 30,</w:t>
            </w:r>
          </w:p>
        </w:tc>
      </w:tr>
      <w:tr>
        <w:trPr>
          <w:trHeight w:val="220"/>
        </w:trPr>
        <w:tc>
          <w:tcPr>
            <w:tcW w:w="5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20"/>
        </w:trPr>
        <w:tc>
          <w:tcPr>
            <w:tcW w:w="5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gridSpan w:val="5"/>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40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159,479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326,526</w:t>
            </w: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205,607</w:t>
            </w:r>
          </w:p>
        </w:tc>
        <w:tc>
          <w:tcPr>
            <w:tcW w:w="100" w:type="dxa"/>
            <w:vAlign w:val="bottom"/>
            <w:shd w:val="clear" w:color="auto" w:fill="CFF0FC"/>
          </w:tcPr>
          <w:p>
            <w:pPr>
              <w:spacing w:after="0"/>
              <w:rPr>
                <w:sz w:val="19"/>
                <w:szCs w:val="19"/>
                <w:color w:val="auto"/>
              </w:rPr>
            </w:pPr>
          </w:p>
        </w:tc>
      </w:tr>
      <w:tr>
        <w:trPr>
          <w:trHeight w:val="227"/>
        </w:trPr>
        <w:tc>
          <w:tcPr>
            <w:tcW w:w="5640" w:type="dxa"/>
            <w:vAlign w:val="bottom"/>
          </w:tcPr>
          <w:p>
            <w:pPr>
              <w:spacing w:after="0"/>
              <w:rPr>
                <w:sz w:val="20"/>
                <w:szCs w:val="20"/>
                <w:color w:val="auto"/>
              </w:rPr>
            </w:pPr>
            <w:r>
              <w:rPr>
                <w:rFonts w:ascii="Arial" w:cs="Arial" w:eastAsia="Arial" w:hAnsi="Arial"/>
                <w:sz w:val="18"/>
                <w:szCs w:val="18"/>
                <w:color w:val="auto"/>
              </w:rPr>
              <w:t>Add back:</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57,344</w:t>
            </w:r>
          </w:p>
        </w:tc>
        <w:tc>
          <w:tcPr>
            <w:tcW w:w="100" w:type="dxa"/>
            <w:vAlign w:val="bottom"/>
            <w:shd w:val="clear" w:color="auto" w:fill="CFF0FC"/>
          </w:tcPr>
          <w:p>
            <w:pPr>
              <w:spacing w:after="0"/>
              <w:rPr>
                <w:sz w:val="19"/>
                <w:szCs w:val="19"/>
                <w:color w:val="auto"/>
              </w:rPr>
            </w:pPr>
          </w:p>
        </w:tc>
      </w:tr>
      <w:tr>
        <w:trPr>
          <w:trHeight w:val="227"/>
        </w:trPr>
        <w:tc>
          <w:tcPr>
            <w:tcW w:w="5640" w:type="dxa"/>
            <w:vAlign w:val="bottom"/>
          </w:tcPr>
          <w:p>
            <w:pPr>
              <w:ind w:left="240"/>
              <w:spacing w:after="0"/>
              <w:rPr>
                <w:sz w:val="20"/>
                <w:szCs w:val="20"/>
                <w:color w:val="auto"/>
              </w:rPr>
            </w:pPr>
            <w:r>
              <w:rPr>
                <w:rFonts w:ascii="Arial" w:cs="Arial" w:eastAsia="Arial" w:hAnsi="Arial"/>
                <w:sz w:val="18"/>
                <w:szCs w:val="18"/>
                <w:color w:val="auto"/>
              </w:rPr>
              <w:t>Income tax expense for controlling interests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70,850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85,556</w:t>
            </w:r>
          </w:p>
        </w:tc>
        <w:tc>
          <w:tcPr>
            <w:tcW w:w="100" w:type="dxa"/>
            <w:vAlign w:val="bottom"/>
          </w:tcPr>
          <w:p>
            <w:pPr>
              <w:spacing w:after="0"/>
              <w:rPr>
                <w:sz w:val="19"/>
                <w:szCs w:val="19"/>
                <w:color w:val="auto"/>
              </w:rPr>
            </w:pPr>
          </w:p>
        </w:tc>
      </w:tr>
      <w:tr>
        <w:trPr>
          <w:trHeight w:val="227"/>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depletion and amortization expense</w:t>
            </w:r>
          </w:p>
        </w:tc>
        <w:tc>
          <w:tcPr>
            <w:tcW w:w="1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71,899</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197,787</w:t>
            </w:r>
          </w:p>
        </w:tc>
        <w:tc>
          <w:tcPr>
            <w:tcW w:w="100" w:type="dxa"/>
            <w:vAlign w:val="bottom"/>
            <w:shd w:val="clear" w:color="auto" w:fill="CFF0FC"/>
          </w:tcPr>
          <w:p>
            <w:pPr>
              <w:spacing w:after="0"/>
              <w:rPr>
                <w:sz w:val="19"/>
                <w:szCs w:val="19"/>
                <w:color w:val="auto"/>
              </w:rPr>
            </w:pPr>
          </w:p>
        </w:tc>
      </w:tr>
      <w:tr>
        <w:trPr>
          <w:trHeight w:val="220"/>
        </w:trPr>
        <w:tc>
          <w:tcPr>
            <w:tcW w:w="5640" w:type="dxa"/>
            <w:vAlign w:val="bottom"/>
          </w:tcPr>
          <w:p>
            <w:pPr>
              <w:spacing w:after="0"/>
              <w:rPr>
                <w:sz w:val="20"/>
                <w:szCs w:val="20"/>
                <w:color w:val="auto"/>
              </w:rPr>
            </w:pPr>
            <w:r>
              <w:rPr>
                <w:rFonts w:ascii="Arial" w:cs="Arial" w:eastAsia="Arial" w:hAnsi="Arial"/>
                <w:sz w:val="18"/>
                <w:szCs w:val="18"/>
                <w:color w:val="auto"/>
              </w:rPr>
              <w:t>Consolidated EBITDA</w:t>
            </w:r>
          </w:p>
        </w:tc>
        <w:tc>
          <w:tcPr>
            <w:tcW w:w="1200" w:type="dxa"/>
            <w:vAlign w:val="bottom"/>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322,796</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248,187</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546,294</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presents the earnings per diluted share impact and operating earnings impact of the loss on the sale of the California cement operations, including related expenses. This non-GAAP measure is presented for investors and analysts to evaluate and forecast the Corporation’s ongoing financial results, as the loss on the divestiture and related expenses are nonrecurring.</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shows the calculation of the impact of the loss on the sale of the California cement operations and other related expenses on earnings per diluted share for the three and nine months ended September 30, 2015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Three Months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Nine Months</w:t>
            </w:r>
          </w:p>
        </w:tc>
        <w:tc>
          <w:tcPr>
            <w:tcW w:w="0" w:type="dxa"/>
            <w:vAlign w:val="bottom"/>
          </w:tcPr>
          <w:p>
            <w:pPr>
              <w:spacing w:after="0"/>
              <w:rPr>
                <w:sz w:val="1"/>
                <w:szCs w:val="1"/>
                <w:color w:val="auto"/>
              </w:rPr>
            </w:pPr>
          </w:p>
        </w:tc>
      </w:tr>
      <w:tr>
        <w:trPr>
          <w:trHeight w:val="23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20"/>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on the sale of the California cement operations and other related expenses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(11,856)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03"/>
        </w:trPr>
        <w:tc>
          <w:tcPr>
            <w:tcW w:w="84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After-tax impact of the loss on the sale of the California cement operations and other</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related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16,853</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8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67,108</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67,470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Per diluted share impact of the loss on the sale of the California cement operations</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and other related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Per diluted share impact of recording a valuation allowance for certain net operating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480" w:type="dxa"/>
            <w:vAlign w:val="bottom"/>
          </w:tcPr>
          <w:p>
            <w:pPr>
              <w:ind w:left="240"/>
              <w:spacing w:after="0"/>
              <w:rPr>
                <w:sz w:val="20"/>
                <w:szCs w:val="20"/>
                <w:color w:val="auto"/>
              </w:rPr>
            </w:pPr>
            <w:r>
              <w:rPr>
                <w:rFonts w:ascii="Arial" w:cs="Arial" w:eastAsia="Arial" w:hAnsi="Arial"/>
                <w:sz w:val="18"/>
                <w:szCs w:val="18"/>
                <w:color w:val="auto"/>
              </w:rPr>
              <w:t>loss carry forwards as a result of the sale of the California cement operations</w:t>
            </w: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84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Total per diluted share impact of the loss on the sale of the California cement</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operations and related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following shows the calculation of the impact of the loss on the sale of the California cement operations and related expenses on operation earnings for the three and nine months ended September 30, 2015 (dollars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68"/>
              <w:spacing w:after="0"/>
              <w:rPr>
                <w:sz w:val="20"/>
                <w:szCs w:val="20"/>
                <w:color w:val="auto"/>
              </w:rPr>
            </w:pPr>
            <w:r>
              <w:rPr>
                <w:rFonts w:ascii="Arial" w:cs="Arial" w:eastAsia="Arial" w:hAnsi="Arial"/>
                <w:sz w:val="18"/>
                <w:szCs w:val="18"/>
                <w:color w:val="auto"/>
                <w:w w:val="93"/>
              </w:rPr>
              <w:t>Three Months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Nine Months</w:t>
            </w:r>
          </w:p>
        </w:tc>
      </w:tr>
      <w:tr>
        <w:trPr>
          <w:trHeight w:val="23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48"/>
              <w:spacing w:after="0"/>
              <w:rPr>
                <w:sz w:val="20"/>
                <w:szCs w:val="20"/>
                <w:color w:val="auto"/>
              </w:rPr>
            </w:pPr>
            <w:r>
              <w:rPr>
                <w:rFonts w:ascii="Arial" w:cs="Arial" w:eastAsia="Arial" w:hAnsi="Arial"/>
                <w:sz w:val="18"/>
                <w:szCs w:val="18"/>
                <w:color w:val="auto"/>
              </w:rPr>
              <w:t>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Ended</w:t>
            </w:r>
          </w:p>
        </w:tc>
      </w:tr>
      <w:tr>
        <w:trPr>
          <w:trHeight w:val="220"/>
        </w:trPr>
        <w:tc>
          <w:tcPr>
            <w:tcW w:w="8480" w:type="dxa"/>
            <w:vAlign w:val="bottom"/>
            <w:tcBorders>
              <w:top w:val="single" w:sz="8" w:color="CFF0FD"/>
            </w:tcBorders>
            <w:shd w:val="clear" w:color="auto" w:fill="CFF0FD"/>
          </w:tcPr>
          <w:p>
            <w:pPr>
              <w:spacing w:after="0"/>
              <w:rPr>
                <w:sz w:val="20"/>
                <w:szCs w:val="20"/>
                <w:color w:val="auto"/>
              </w:rPr>
            </w:pPr>
            <w:r>
              <w:rPr>
                <w:rFonts w:ascii="Arial" w:cs="Arial" w:eastAsia="Arial" w:hAnsi="Arial"/>
                <w:sz w:val="18"/>
                <w:szCs w:val="18"/>
                <w:color w:val="auto"/>
              </w:rPr>
              <w:t>Earnings from operations, as reported</w:t>
            </w:r>
          </w:p>
        </w:tc>
        <w:tc>
          <w:tcPr>
            <w:tcW w:w="120" w:type="dxa"/>
            <w:vAlign w:val="bottom"/>
            <w:tcBorders>
              <w:top w:val="single" w:sz="8" w:color="auto"/>
            </w:tcBorders>
            <w:shd w:val="clear" w:color="auto" w:fill="CFF0FD"/>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179,498</w:t>
            </w:r>
          </w:p>
        </w:tc>
        <w:tc>
          <w:tcPr>
            <w:tcW w:w="280" w:type="dxa"/>
            <w:vAlign w:val="bottom"/>
            <w:tcBorders>
              <w:top w:val="single" w:sz="8" w:color="CFF0FD"/>
            </w:tcBorders>
            <w:shd w:val="clear" w:color="auto" w:fill="CFF0FD"/>
          </w:tcPr>
          <w:p>
            <w:pPr>
              <w:spacing w:after="0"/>
              <w:rPr>
                <w:sz w:val="19"/>
                <w:szCs w:val="19"/>
                <w:color w:val="auto"/>
              </w:rPr>
            </w:pPr>
          </w:p>
        </w:tc>
        <w:tc>
          <w:tcPr>
            <w:tcW w:w="100" w:type="dxa"/>
            <w:vAlign w:val="bottom"/>
            <w:tcBorders>
              <w:top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342,052</w:t>
            </w:r>
          </w:p>
        </w:tc>
        <w:tc>
          <w:tcPr>
            <w:tcW w:w="100" w:type="dxa"/>
            <w:vAlign w:val="bottom"/>
            <w:tcBorders>
              <w:top w:val="single" w:sz="8" w:color="CFF0FD"/>
            </w:tcBorders>
            <w:shd w:val="clear" w:color="auto" w:fill="CFF0FD"/>
          </w:tcPr>
          <w:p>
            <w:pPr>
              <w:spacing w:after="0"/>
              <w:rPr>
                <w:sz w:val="19"/>
                <w:szCs w:val="19"/>
                <w:color w:val="auto"/>
              </w:rPr>
            </w:pPr>
          </w:p>
        </w:tc>
      </w:tr>
      <w:tr>
        <w:trPr>
          <w:trHeight w:val="227"/>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the sale of the California cement operations and other related expenses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28,709</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29,888</w:t>
            </w:r>
          </w:p>
        </w:tc>
        <w:tc>
          <w:tcPr>
            <w:tcW w:w="100" w:type="dxa"/>
            <w:vAlign w:val="bottom"/>
            <w:tcBorders>
              <w:bottom w:val="single" w:sz="8" w:color="CFF0FC"/>
            </w:tcBorders>
          </w:tcPr>
          <w:p>
            <w:pPr>
              <w:spacing w:after="0"/>
              <w:rPr>
                <w:sz w:val="19"/>
                <w:szCs w:val="19"/>
                <w:color w:val="auto"/>
              </w:rPr>
            </w:pPr>
          </w:p>
        </w:tc>
      </w:tr>
      <w:tr>
        <w:trPr>
          <w:trHeight w:val="220"/>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earnings from operations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208,207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presents the change in cement business shipments, excluding shipments attributable to the California cement operations which were divested in September 2015, from the prior-year quarter. Management presents this measure as it presents cement shipments on a comparable basis. (shipments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2540" w:type="dxa"/>
            <w:vAlign w:val="bottom"/>
            <w:gridSpan w:val="4"/>
          </w:tcPr>
          <w:p>
            <w:pPr>
              <w:jc w:val="center"/>
              <w:ind w:left="328"/>
              <w:spacing w:after="0"/>
              <w:rPr>
                <w:sz w:val="20"/>
                <w:szCs w:val="20"/>
                <w:color w:val="auto"/>
              </w:rPr>
            </w:pPr>
            <w:r>
              <w:rPr>
                <w:rFonts w:ascii="Arial" w:cs="Arial" w:eastAsia="Arial" w:hAnsi="Arial"/>
                <w:sz w:val="18"/>
                <w:szCs w:val="18"/>
                <w:color w:val="auto"/>
                <w:w w:val="92"/>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color w:val="auto"/>
                <w:w w:val="8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34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40" w:type="dxa"/>
            <w:vAlign w:val="bottom"/>
            <w:gridSpan w:val="2"/>
          </w:tcPr>
          <w:p>
            <w:pPr>
              <w:spacing w:after="0"/>
              <w:rPr>
                <w:sz w:val="20"/>
                <w:szCs w:val="20"/>
                <w:color w:val="auto"/>
              </w:rPr>
            </w:pPr>
            <w:r>
              <w:rPr>
                <w:rFonts w:ascii="Arial" w:cs="Arial" w:eastAsia="Arial" w:hAnsi="Arial"/>
                <w:sz w:val="18"/>
                <w:szCs w:val="18"/>
                <w:color w:val="auto"/>
              </w:rPr>
              <w:t>Cement shipments</w:t>
            </w:r>
          </w:p>
        </w:tc>
        <w:tc>
          <w:tcPr>
            <w:tcW w:w="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4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Cement shipments attributable to the California cement operations</w:t>
            </w:r>
          </w:p>
        </w:tc>
        <w:tc>
          <w:tcPr>
            <w:tcW w:w="1640" w:type="dxa"/>
            <w:vAlign w:val="bottom"/>
            <w:gridSpan w:val="3"/>
            <w:shd w:val="clear" w:color="auto" w:fill="CFF0FC"/>
          </w:tcPr>
          <w:p>
            <w:pPr>
              <w:jc w:val="right"/>
              <w:ind w:right="1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3" w:lineRule="exact"/>
              <w:rPr>
                <w:sz w:val="20"/>
                <w:szCs w:val="20"/>
                <w:color w:val="auto"/>
              </w:rPr>
            </w:pPr>
            <w:r>
              <w:rPr>
                <w:rFonts w:ascii="Arial" w:cs="Arial" w:eastAsia="Arial" w:hAnsi="Arial"/>
                <w:sz w:val="18"/>
                <w:szCs w:val="18"/>
                <w:color w:val="auto"/>
              </w:rPr>
              <w:t>Cement shipments excluding shipments attributable to the California cement</w:t>
            </w: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220" w:type="dxa"/>
            <w:vAlign w:val="bottom"/>
            <w:gridSpan w:val="2"/>
          </w:tcPr>
          <w:p>
            <w:pPr>
              <w:jc w:val="right"/>
              <w:ind w:right="8148"/>
              <w:spacing w:after="0"/>
              <w:rPr>
                <w:sz w:val="20"/>
                <w:szCs w:val="20"/>
                <w:color w:val="auto"/>
              </w:rPr>
            </w:pPr>
            <w:r>
              <w:rPr>
                <w:rFonts w:ascii="Arial" w:cs="Arial" w:eastAsia="Arial" w:hAnsi="Arial"/>
                <w:sz w:val="18"/>
                <w:szCs w:val="18"/>
                <w:color w:val="auto"/>
              </w:rPr>
              <w:t>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905</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Decrease in cement shipments, excluding shipments attributable to the California cement operations</w:t>
            </w:r>
          </w:p>
        </w:tc>
        <w:tc>
          <w:tcPr>
            <w:tcW w:w="9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40" w:type="dxa"/>
            <w:vAlign w:val="bottom"/>
            <w:gridSpan w:val="3"/>
          </w:tcPr>
          <w:p>
            <w:pPr>
              <w:spacing w:after="0"/>
              <w:rPr>
                <w:sz w:val="20"/>
                <w:szCs w:val="20"/>
                <w:color w:val="auto"/>
              </w:rPr>
            </w:pPr>
            <w:r>
              <w:rPr>
                <w:rFonts w:ascii="Arial" w:cs="Arial" w:eastAsia="Arial" w:hAnsi="Arial"/>
                <w:sz w:val="18"/>
                <w:szCs w:val="18"/>
                <w:color w:val="auto"/>
              </w:rPr>
              <w:t>RESULTS OF OPERATIONS FOR THE THREE MONTHS ENDED SEPTEMBER 30, 2016</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40" w:type="dxa"/>
            <w:vAlign w:val="bottom"/>
            <w:gridSpan w:val="3"/>
          </w:tcPr>
          <w:p>
            <w:pPr>
              <w:spacing w:after="0"/>
              <w:rPr>
                <w:sz w:val="20"/>
                <w:szCs w:val="20"/>
                <w:color w:val="auto"/>
              </w:rPr>
            </w:pPr>
            <w:r>
              <w:rPr>
                <w:rFonts w:ascii="Arial" w:cs="Arial" w:eastAsia="Arial" w:hAnsi="Arial"/>
                <w:sz w:val="18"/>
                <w:szCs w:val="18"/>
                <w:color w:val="auto"/>
                <w:w w:val="92"/>
              </w:rPr>
              <w:t>Significant items for the quarter ended September 30, 2016 (unless noted, all comparisons are versus the prior-year quarter):</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60" w:hanging="381"/>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net sales of $1.04 billion compared with $1.01 billion, an increase of 3.3%</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Aggregates product line price increase of 8.5%; aggregates product line volume decline of 4.7%</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Cement business net sales of $60.1 million and gross profit of $29.7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Magnesia Specialties net sales of $60.2 million and gross profit of $22.8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gross margin (excluding freight and delivery revenues) of 28.2%, an increase of 210 basis points</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selling, general and administrative expenses (“SG&amp;A”) of $56.3 million, or 5.4% of net sales</w:t>
      </w:r>
    </w:p>
    <w:p>
      <w:pPr>
        <w:spacing w:after="0" w:line="57" w:lineRule="exact"/>
        <w:rPr>
          <w:rFonts w:ascii="Arial" w:cs="Arial" w:eastAsia="Arial" w:hAnsi="Arial"/>
          <w:sz w:val="18"/>
          <w:szCs w:val="18"/>
          <w:color w:val="auto"/>
        </w:rPr>
      </w:pPr>
    </w:p>
    <w:p>
      <w:pPr>
        <w:ind w:left="760" w:hanging="381"/>
        <w:spacing w:after="0" w:line="294"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Consolidated earnings from operations of $240.4 million compared with adjusted consolidated earnings from operations of $208.2 million (which excludes the loss on the sale of the California cement operations and additional related expenses), an increase of 15.5%</w:t>
      </w:r>
    </w:p>
    <w:p>
      <w:pPr>
        <w:ind w:left="760" w:hanging="381"/>
        <w:spacing w:after="0" w:line="280"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per diluted share of $2.49 compared with adjusted earnings per diluted share of $2.04 (which excludes the $0.30 per diluted share impact of the sale of the California cement operations and related expenses)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net sales, gross profit (loss), selling, general and administrative expenses and earnings (loss) from operations data for the Corporation and its reportable segments for the three months ended September 30, 2016 and 2015. In each case, the data is stated as a percentage of net sales of the Corporation or the relevant segment, as the case may be.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8"/>
                <w:szCs w:val="18"/>
                <w:color w:val="auto"/>
                <w:w w:val="92"/>
              </w:rPr>
              <w:t>Three Months Ended September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2016</w:t>
            </w:r>
          </w:p>
        </w:tc>
        <w:tc>
          <w:tcPr>
            <w:tcW w:w="1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2015</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ind w:right="428"/>
              <w:spacing w:after="0" w:line="203" w:lineRule="exact"/>
              <w:rPr>
                <w:sz w:val="20"/>
                <w:szCs w:val="20"/>
                <w:color w:val="auto"/>
              </w:rPr>
            </w:pPr>
            <w:r>
              <w:rPr>
                <w:rFonts w:ascii="Arial" w:cs="Arial" w:eastAsia="Arial" w:hAnsi="Arial"/>
                <w:sz w:val="18"/>
                <w:szCs w:val="18"/>
                <w:color w:val="auto"/>
              </w:rPr>
              <w:t>% of</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08"/>
              <w:spacing w:after="0" w:line="203" w:lineRule="exact"/>
              <w:rPr>
                <w:sz w:val="20"/>
                <w:szCs w:val="20"/>
                <w:color w:val="auto"/>
              </w:rPr>
            </w:pPr>
            <w:r>
              <w:rPr>
                <w:rFonts w:ascii="Arial" w:cs="Arial" w:eastAsia="Arial" w:hAnsi="Arial"/>
                <w:sz w:val="18"/>
                <w:szCs w:val="18"/>
                <w:color w:val="auto"/>
                <w:w w:val="99"/>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ind w:right="800"/>
              <w:spacing w:after="0"/>
              <w:rPr>
                <w:sz w:val="20"/>
                <w:szCs w:val="20"/>
                <w:color w:val="auto"/>
              </w:rPr>
            </w:pPr>
            <w:r>
              <w:rPr>
                <w:rFonts w:ascii="Arial" w:cs="Arial" w:eastAsia="Arial" w:hAnsi="Arial"/>
                <w:sz w:val="18"/>
                <w:szCs w:val="18"/>
                <w:color w:val="auto"/>
              </w:rPr>
              <w:t>Amount</w:t>
            </w:r>
          </w:p>
        </w:tc>
        <w:tc>
          <w:tcPr>
            <w:tcW w:w="1300" w:type="dxa"/>
            <w:vAlign w:val="bottom"/>
          </w:tcPr>
          <w:p>
            <w:pPr>
              <w:jc w:val="right"/>
              <w:ind w:right="248"/>
              <w:spacing w:after="0"/>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 Sales</w:t>
            </w:r>
          </w:p>
        </w:tc>
        <w:tc>
          <w:tcPr>
            <w:tcW w:w="0" w:type="dxa"/>
            <w:vAlign w:val="bottom"/>
          </w:tcPr>
          <w:p>
            <w:pPr>
              <w:spacing w:after="0"/>
              <w:rPr>
                <w:sz w:val="1"/>
                <w:szCs w:val="1"/>
                <w:color w:val="auto"/>
              </w:rPr>
            </w:pPr>
          </w:p>
        </w:tc>
      </w:tr>
      <w:tr>
        <w:trPr>
          <w:trHeight w:val="227"/>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gridSpan w:val="6"/>
          </w:tcPr>
          <w:p>
            <w:pPr>
              <w:jc w:val="center"/>
              <w:ind w:right="580"/>
              <w:spacing w:after="0"/>
              <w:rPr>
                <w:sz w:val="20"/>
                <w:szCs w:val="20"/>
                <w:color w:val="auto"/>
              </w:rPr>
            </w:pPr>
            <w:r>
              <w:rPr>
                <w:rFonts w:ascii="Arial" w:cs="Arial" w:eastAsia="Arial" w:hAnsi="Arial"/>
                <w:sz w:val="18"/>
                <w:szCs w:val="18"/>
                <w:i w:val="1"/>
                <w:iCs w:val="1"/>
                <w:color w:val="auto"/>
                <w:w w:val="94"/>
              </w:rPr>
              <w:t>(Dollars in Thousands)</w:t>
            </w: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275,791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265,653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526,585</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493,505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882,420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60,090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60,244</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1,002,754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1,005,218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35,590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1,038,344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1,005,218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Heritage: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103,596</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15,902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119,896</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102,925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239,394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211,780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22,810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(6,910)</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288,736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262,505</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Aggregates Business – Mid-America Group</w:t>
            </w:r>
          </w:p>
        </w:tc>
        <w:tc>
          <w:tcPr>
            <w:tcW w:w="2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Total Acquisitions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Consolidated</w:t>
            </w: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292,568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center"/>
              <w:ind w:right="580"/>
              <w:spacing w:after="0"/>
              <w:rPr>
                <w:sz w:val="20"/>
                <w:szCs w:val="20"/>
                <w:color w:val="auto"/>
              </w:rPr>
            </w:pPr>
            <w:r>
              <w:rPr>
                <w:rFonts w:ascii="Arial" w:cs="Arial" w:eastAsia="Arial" w:hAnsi="Arial"/>
                <w:sz w:val="18"/>
                <w:szCs w:val="18"/>
                <w:color w:val="auto"/>
                <w:w w:val="92"/>
              </w:rPr>
              <w:t>Three Months Ended September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2016</w:t>
            </w: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2015</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left="148"/>
              <w:spacing w:after="0" w:line="203" w:lineRule="exact"/>
              <w:rPr>
                <w:sz w:val="20"/>
                <w:szCs w:val="20"/>
                <w:color w:val="auto"/>
              </w:rPr>
            </w:pPr>
            <w:r>
              <w:rPr>
                <w:rFonts w:ascii="Arial" w:cs="Arial" w:eastAsia="Arial" w:hAnsi="Arial"/>
                <w:sz w:val="18"/>
                <w:szCs w:val="18"/>
                <w:color w:val="auto"/>
                <w:w w:val="99"/>
              </w:rPr>
              <w:t>% of</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08"/>
              <w:spacing w:after="0" w:line="203" w:lineRule="exact"/>
              <w:rPr>
                <w:sz w:val="20"/>
                <w:szCs w:val="20"/>
                <w:color w:val="auto"/>
              </w:rPr>
            </w:pPr>
            <w:r>
              <w:rPr>
                <w:rFonts w:ascii="Arial" w:cs="Arial" w:eastAsia="Arial" w:hAnsi="Arial"/>
                <w:sz w:val="18"/>
                <w:szCs w:val="18"/>
                <w:color w:val="auto"/>
                <w:w w:val="99"/>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ind w:right="800"/>
              <w:spacing w:after="0"/>
              <w:rPr>
                <w:sz w:val="20"/>
                <w:szCs w:val="20"/>
                <w:color w:val="auto"/>
              </w:rPr>
            </w:pPr>
            <w:r>
              <w:rPr>
                <w:rFonts w:ascii="Arial" w:cs="Arial" w:eastAsia="Arial" w:hAnsi="Arial"/>
                <w:sz w:val="18"/>
                <w:szCs w:val="18"/>
                <w:color w:val="auto"/>
              </w:rPr>
              <w:t>Amount</w:t>
            </w:r>
          </w:p>
        </w:tc>
        <w:tc>
          <w:tcPr>
            <w:tcW w:w="960" w:type="dxa"/>
            <w:vAlign w:val="bottom"/>
          </w:tcPr>
          <w:p>
            <w:pPr>
              <w:jc w:val="center"/>
              <w:ind w:left="148"/>
              <w:spacing w:after="0"/>
              <w:rPr>
                <w:sz w:val="20"/>
                <w:szCs w:val="20"/>
                <w:color w:val="auto"/>
              </w:rPr>
            </w:pPr>
            <w:r>
              <w:rPr>
                <w:rFonts w:ascii="Arial" w:cs="Arial" w:eastAsia="Arial" w:hAnsi="Arial"/>
                <w:sz w:val="18"/>
                <w:szCs w:val="18"/>
                <w:color w:val="auto"/>
                <w:w w:val="92"/>
              </w:rPr>
              <w:t>Net Sales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 Sales</w:t>
            </w:r>
          </w:p>
        </w:tc>
        <w:tc>
          <w:tcPr>
            <w:tcW w:w="0" w:type="dxa"/>
            <w:vAlign w:val="bottom"/>
          </w:tcPr>
          <w:p>
            <w:pPr>
              <w:spacing w:after="0"/>
              <w:rPr>
                <w:sz w:val="1"/>
                <w:szCs w:val="1"/>
                <w:color w:val="auto"/>
              </w:rPr>
            </w:pPr>
          </w:p>
        </w:tc>
      </w:tr>
      <w:tr>
        <w:trPr>
          <w:trHeight w:val="227"/>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Selling, general &amp; administrative expenses: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gridSpan w:val="7"/>
          </w:tcPr>
          <w:p>
            <w:pPr>
              <w:jc w:val="center"/>
              <w:ind w:right="580"/>
              <w:spacing w:after="0"/>
              <w:rPr>
                <w:sz w:val="20"/>
                <w:szCs w:val="20"/>
                <w:color w:val="auto"/>
              </w:rPr>
            </w:pPr>
            <w:r>
              <w:rPr>
                <w:rFonts w:ascii="Arial" w:cs="Arial" w:eastAsia="Arial" w:hAnsi="Arial"/>
                <w:sz w:val="18"/>
                <w:szCs w:val="18"/>
                <w:i w:val="1"/>
                <w:iCs w:val="1"/>
                <w:color w:val="auto"/>
                <w:w w:val="94"/>
              </w:rPr>
              <w:t>(Dollars in Thousands)</w:t>
            </w: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12,896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15,717</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32,907</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54,887</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56,348</w:t>
            </w:r>
          </w:p>
        </w:tc>
        <w:tc>
          <w:tcPr>
            <w:tcW w:w="3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54,887</w:t>
            </w:r>
          </w:p>
        </w:tc>
        <w:tc>
          <w:tcPr>
            <w:tcW w:w="2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Earnings (Loss) from operations: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91,886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33.3</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85,693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14.8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107,766</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20.5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211,522</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24.0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180,794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33.8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(17,567)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(21,050)</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237,292</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23.7</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Mid-America Group</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Total Consolidated</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240,355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23.1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179,498</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2015, net sales, gross profit, SG&amp;A and loss from operations for the California cement operations were $30,781,000, $3,332,000, $2,433,000 and $28,947,000, respectively. The loss from operations for the three months ended September 30, 2015 includes a loss on the divestiture of the California cement operations of $28,709,000.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Aggregates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line for the Aggregates business, which reflect the elimination of inter-product line sales,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92"/>
              </w:rPr>
              <w:t>Three Months Ended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3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September 30,</w:t>
            </w:r>
          </w:p>
        </w:tc>
        <w:tc>
          <w:tcPr>
            <w:tcW w:w="1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60" w:type="dxa"/>
            <w:vAlign w:val="bottom"/>
          </w:tcPr>
          <w:p>
            <w:pPr>
              <w:spacing w:after="0"/>
              <w:rPr>
                <w:sz w:val="19"/>
                <w:szCs w:val="19"/>
                <w:color w:val="auto"/>
              </w:rPr>
            </w:pPr>
          </w:p>
        </w:tc>
        <w:tc>
          <w:tcPr>
            <w:tcW w:w="14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6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1460" w:type="dxa"/>
            <w:vAlign w:val="bottom"/>
          </w:tcPr>
          <w:p>
            <w:pPr>
              <w:spacing w:after="0"/>
              <w:rPr>
                <w:sz w:val="19"/>
                <w:szCs w:val="19"/>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Aggregates</w:t>
            </w:r>
          </w:p>
        </w:tc>
        <w:tc>
          <w:tcPr>
            <w:tcW w:w="1460" w:type="dxa"/>
            <w:vAlign w:val="bottom"/>
          </w:tcPr>
          <w:p>
            <w:pPr>
              <w:jc w:val="right"/>
              <w:ind w:right="129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538,028</w:t>
            </w:r>
          </w:p>
        </w:tc>
        <w:tc>
          <w:tcPr>
            <w:tcW w:w="11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529,993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Asphalt and Paving</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110,025</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Ready Mixed Concrete</w:t>
            </w:r>
          </w:p>
        </w:tc>
        <w:tc>
          <w:tcPr>
            <w:tcW w:w="1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234,367</w:t>
            </w:r>
          </w:p>
        </w:tc>
        <w:tc>
          <w:tcPr>
            <w:tcW w:w="3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882,420</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Acquisitions:</w:t>
            </w: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Asphalt and Paving</w:t>
            </w:r>
          </w:p>
        </w:tc>
        <w:tc>
          <w:tcPr>
            <w:tcW w:w="1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1,541</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29,313</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Acquisitions</w:t>
            </w:r>
          </w:p>
        </w:tc>
        <w:tc>
          <w:tcPr>
            <w:tcW w:w="1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35,590</w:t>
            </w:r>
          </w:p>
        </w:tc>
        <w:tc>
          <w:tcPr>
            <w:tcW w:w="3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1460" w:type="dxa"/>
            <w:vAlign w:val="bottom"/>
            <w:tcBorders>
              <w:bottom w:val="single" w:sz="8" w:color="auto"/>
            </w:tcBorders>
            <w:shd w:val="clear" w:color="auto" w:fill="CFF0FC"/>
          </w:tcPr>
          <w:p>
            <w:pPr>
              <w:jc w:val="right"/>
              <w:ind w:right="1298"/>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918,010</w:t>
            </w:r>
          </w:p>
        </w:tc>
        <w:tc>
          <w:tcPr>
            <w:tcW w:w="3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837,441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volume and pricing data and shipments data for the aggregates product line.</w:t>
      </w:r>
    </w:p>
    <w:p>
      <w:pPr>
        <w:spacing w:after="0" w:line="23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September 30,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8"/>
              </w:rPr>
              <w:t>Volume</w:t>
            </w:r>
          </w:p>
        </w:tc>
        <w:tc>
          <w:tcPr>
            <w:tcW w:w="4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Pricing</w:t>
            </w:r>
          </w:p>
        </w:tc>
        <w:tc>
          <w:tcPr>
            <w:tcW w:w="160" w:type="dxa"/>
            <w:vAlign w:val="bottom"/>
            <w:tcBorders>
              <w:bottom w:val="single" w:sz="8" w:color="CFF0FC"/>
            </w:tcBorders>
          </w:tcPr>
          <w:p>
            <w:pPr>
              <w:spacing w:after="0"/>
              <w:rPr>
                <w:sz w:val="19"/>
                <w:szCs w:val="19"/>
                <w:color w:val="auto"/>
              </w:rPr>
            </w:pPr>
          </w:p>
        </w:tc>
      </w:tr>
      <w:tr>
        <w:trPr>
          <w:trHeight w:val="22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Volume/Pricing Variance </w:t>
            </w:r>
            <w:r>
              <w:rPr>
                <w:rFonts w:ascii="Arial" w:cs="Arial" w:eastAsia="Arial" w:hAnsi="Arial"/>
                <w:sz w:val="15"/>
                <w:szCs w:val="15"/>
                <w:color w:val="auto"/>
              </w:rPr>
              <w:t>(1)</w:t>
            </w: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7"/>
        </w:trPr>
        <w:tc>
          <w:tcPr>
            <w:tcW w:w="8820" w:type="dxa"/>
            <w:vAlign w:val="bottom"/>
            <w:gridSpan w:val="2"/>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8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Mid-America Group</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27"/>
        </w:trPr>
        <w:tc>
          <w:tcPr>
            <w:tcW w:w="8820" w:type="dxa"/>
            <w:vAlign w:val="bottom"/>
            <w:gridSpan w:val="2"/>
          </w:tcPr>
          <w:p>
            <w:pPr>
              <w:ind w:left="240"/>
              <w:spacing w:after="0"/>
              <w:rPr>
                <w:sz w:val="20"/>
                <w:szCs w:val="20"/>
                <w:color w:val="auto"/>
              </w:rPr>
            </w:pPr>
            <w:r>
              <w:rPr>
                <w:rFonts w:ascii="Arial" w:cs="Arial" w:eastAsia="Arial" w:hAnsi="Arial"/>
                <w:sz w:val="18"/>
                <w:szCs w:val="18"/>
                <w:color w:val="auto"/>
              </w:rPr>
              <w:t>Southeast Group</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27"/>
        </w:trPr>
        <w:tc>
          <w:tcPr>
            <w:tcW w:w="8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West Group</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r>
      <w:tr>
        <w:trPr>
          <w:trHeight w:val="227"/>
        </w:trPr>
        <w:tc>
          <w:tcPr>
            <w:tcW w:w="8820" w:type="dxa"/>
            <w:vAlign w:val="bottom"/>
            <w:gridSpan w:val="2"/>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27"/>
        </w:trPr>
        <w:tc>
          <w:tcPr>
            <w:tcW w:w="8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(3)</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gridSpan w:val="7"/>
          </w:tcPr>
          <w:p>
            <w:pPr>
              <w:jc w:val="center"/>
              <w:ind w:right="140"/>
              <w:spacing w:after="0"/>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60" w:type="dxa"/>
            <w:vAlign w:val="bottom"/>
            <w:tcBorders>
              <w:bottom w:val="single" w:sz="8" w:color="auto"/>
            </w:tcBorders>
            <w:gridSpan w:val="5"/>
          </w:tcPr>
          <w:p>
            <w:pPr>
              <w:jc w:val="center"/>
              <w:ind w:left="1008"/>
              <w:spacing w:after="0"/>
              <w:rPr>
                <w:sz w:val="20"/>
                <w:szCs w:val="20"/>
                <w:color w:val="auto"/>
              </w:rPr>
            </w:pPr>
            <w:r>
              <w:rPr>
                <w:rFonts w:ascii="Arial" w:cs="Arial" w:eastAsia="Arial" w:hAnsi="Arial"/>
                <w:sz w:val="18"/>
                <w:szCs w:val="18"/>
                <w:color w:val="auto"/>
                <w:w w:val="89"/>
              </w:rPr>
              <w:t>September 30,</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Shipments</w:t>
            </w:r>
          </w:p>
        </w:tc>
        <w:tc>
          <w:tcPr>
            <w:tcW w:w="3460" w:type="dxa"/>
            <w:vAlign w:val="bottom"/>
            <w:gridSpan w:val="6"/>
          </w:tcPr>
          <w:p>
            <w:pPr>
              <w:jc w:val="center"/>
              <w:spacing w:after="0"/>
              <w:rPr>
                <w:sz w:val="20"/>
                <w:szCs w:val="20"/>
                <w:color w:val="auto"/>
              </w:rPr>
            </w:pPr>
            <w:r>
              <w:rPr>
                <w:rFonts w:ascii="Arial" w:cs="Arial" w:eastAsia="Arial" w:hAnsi="Arial"/>
                <w:sz w:val="18"/>
                <w:szCs w:val="18"/>
                <w:i w:val="1"/>
                <w:iCs w:val="1"/>
                <w:color w:val="auto"/>
                <w:w w:val="90"/>
              </w:rPr>
              <w:t>(Tons 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8"/>
                <w:szCs w:val="18"/>
                <w:color w:val="auto"/>
              </w:rPr>
              <w:t>Mid-America Group</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21,799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Southeast Group</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tcBorders>
              <w:bottom w:val="single" w:sz="8" w:color="CFF0FC"/>
            </w:tcBorders>
            <w:gridSpan w:val="2"/>
          </w:tcPr>
          <w:p>
            <w:pPr>
              <w:ind w:left="220"/>
              <w:spacing w:after="0"/>
              <w:rPr>
                <w:sz w:val="20"/>
                <w:szCs w:val="20"/>
                <w:color w:val="auto"/>
              </w:rPr>
            </w:pPr>
            <w:r>
              <w:rPr>
                <w:rFonts w:ascii="Arial" w:cs="Arial" w:eastAsia="Arial" w:hAnsi="Arial"/>
                <w:sz w:val="18"/>
                <w:szCs w:val="18"/>
                <w:color w:val="auto"/>
              </w:rPr>
              <w:t>West Group</w:t>
            </w: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17,901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44,809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(3)</w:t>
            </w: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45,239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gridSpan w:val="5"/>
          </w:tcPr>
          <w:p>
            <w:pPr>
              <w:jc w:val="center"/>
              <w:ind w:left="628"/>
              <w:spacing w:after="0"/>
              <w:rPr>
                <w:sz w:val="20"/>
                <w:szCs w:val="20"/>
                <w:color w:val="auto"/>
              </w:rPr>
            </w:pPr>
            <w:r>
              <w:rPr>
                <w:rFonts w:ascii="Arial" w:cs="Arial" w:eastAsia="Arial" w:hAnsi="Arial"/>
                <w:sz w:val="18"/>
                <w:szCs w:val="18"/>
                <w:color w:val="auto"/>
                <w:w w:val="92"/>
              </w:rPr>
              <w:t>Three Months Ended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left="648"/>
              <w:spacing w:after="0"/>
              <w:rPr>
                <w:sz w:val="20"/>
                <w:szCs w:val="20"/>
                <w:color w:val="auto"/>
              </w:rPr>
            </w:pPr>
            <w:r>
              <w:rPr>
                <w:rFonts w:ascii="Arial" w:cs="Arial" w:eastAsia="Arial" w:hAnsi="Arial"/>
                <w:sz w:val="18"/>
                <w:szCs w:val="18"/>
                <w:color w:val="auto"/>
                <w:w w:val="89"/>
              </w:rPr>
              <w:t>September 30,</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0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8"/>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Shipments</w:t>
            </w:r>
          </w:p>
        </w:tc>
        <w:tc>
          <w:tcPr>
            <w:tcW w:w="2360" w:type="dxa"/>
            <w:vAlign w:val="bottom"/>
            <w:gridSpan w:val="5"/>
          </w:tcPr>
          <w:p>
            <w:pPr>
              <w:jc w:val="center"/>
              <w:ind w:left="648"/>
              <w:spacing w:after="0"/>
              <w:rPr>
                <w:sz w:val="20"/>
                <w:szCs w:val="20"/>
                <w:color w:val="auto"/>
              </w:rPr>
            </w:pPr>
            <w:r>
              <w:rPr>
                <w:rFonts w:ascii="Arial" w:cs="Arial" w:eastAsia="Arial" w:hAnsi="Arial"/>
                <w:sz w:val="18"/>
                <w:szCs w:val="18"/>
                <w:i w:val="1"/>
                <w:iCs w:val="1"/>
                <w:color w:val="auto"/>
                <w:w w:val="90"/>
              </w:rPr>
              <w:t>(Tons in Thousands)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8"/>
                <w:szCs w:val="18"/>
                <w:color w:val="auto"/>
              </w:rPr>
              <w:t>Tons to external customers</w:t>
            </w:r>
          </w:p>
        </w:tc>
        <w:tc>
          <w:tcPr>
            <w:tcW w:w="1400" w:type="dxa"/>
            <w:vAlign w:val="bottom"/>
          </w:tcPr>
          <w:p>
            <w:pPr>
              <w:jc w:val="right"/>
              <w:spacing w:after="0"/>
              <w:rPr>
                <w:sz w:val="20"/>
                <w:szCs w:val="20"/>
                <w:color w:val="auto"/>
              </w:rPr>
            </w:pPr>
            <w:r>
              <w:rPr>
                <w:rFonts w:ascii="Arial" w:cs="Arial" w:eastAsia="Arial" w:hAnsi="Arial"/>
                <w:sz w:val="18"/>
                <w:szCs w:val="18"/>
                <w:color w:val="auto"/>
              </w:rPr>
              <w:t>41,588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480" w:type="dxa"/>
            <w:vAlign w:val="bottom"/>
            <w:gridSpan w:val="2"/>
          </w:tcPr>
          <w:p>
            <w:pPr>
              <w:spacing w:after="0"/>
              <w:rPr>
                <w:sz w:val="20"/>
                <w:szCs w:val="20"/>
                <w:color w:val="auto"/>
              </w:rPr>
            </w:pPr>
            <w:r>
              <w:rPr>
                <w:rFonts w:ascii="Arial" w:cs="Arial" w:eastAsia="Arial" w:hAnsi="Arial"/>
                <w:sz w:val="18"/>
                <w:szCs w:val="18"/>
                <w:color w:val="auto"/>
              </w:rPr>
              <w:t>Total heritage aggregates tons</w:t>
            </w:r>
          </w:p>
        </w:tc>
        <w:tc>
          <w:tcPr>
            <w:tcW w:w="3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44,809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 aggregates tons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60" w:hanging="259"/>
        <w:spacing w:after="0"/>
        <w:tabs>
          <w:tab w:leader="none" w:pos="260" w:val="left"/>
        </w:tabs>
        <w:numPr>
          <w:ilvl w:val="0"/>
          <w:numId w:val="21"/>
        </w:numPr>
        <w:rPr>
          <w:rFonts w:ascii="Arial" w:cs="Arial" w:eastAsia="Arial" w:hAnsi="Arial"/>
          <w:sz w:val="14"/>
          <w:szCs w:val="14"/>
          <w:i w:val="1"/>
          <w:iCs w:val="1"/>
          <w:color w:val="auto"/>
        </w:rPr>
      </w:pPr>
      <w:r>
        <w:rPr>
          <w:rFonts w:ascii="Arial" w:cs="Arial" w:eastAsia="Arial" w:hAnsi="Arial"/>
          <w:sz w:val="17"/>
          <w:szCs w:val="17"/>
          <w:i w:val="1"/>
          <w:iCs w:val="1"/>
          <w:color w:val="auto"/>
        </w:rPr>
        <w:t>Volume/pricing variances reflect the percentage increase/(decrease) from the comparable period in the prior year.</w:t>
      </w:r>
    </w:p>
    <w:p>
      <w:pPr>
        <w:spacing w:after="0" w:line="18" w:lineRule="exact"/>
        <w:rPr>
          <w:rFonts w:ascii="Arial" w:cs="Arial" w:eastAsia="Arial" w:hAnsi="Arial"/>
          <w:sz w:val="14"/>
          <w:szCs w:val="14"/>
          <w:i w:val="1"/>
          <w:iCs w:val="1"/>
          <w:color w:val="auto"/>
        </w:rPr>
      </w:pPr>
    </w:p>
    <w:p>
      <w:pPr>
        <w:ind w:left="260" w:hanging="259"/>
        <w:spacing w:after="0" w:line="247" w:lineRule="auto"/>
        <w:tabs>
          <w:tab w:leader="none" w:pos="260" w:val="left"/>
        </w:tabs>
        <w:numPr>
          <w:ilvl w:val="0"/>
          <w:numId w:val="21"/>
        </w:numPr>
        <w:rPr>
          <w:rFonts w:ascii="Arial" w:cs="Arial" w:eastAsia="Arial" w:hAnsi="Arial"/>
          <w:sz w:val="14"/>
          <w:szCs w:val="14"/>
          <w:i w:val="1"/>
          <w:iCs w:val="1"/>
          <w:color w:val="auto"/>
        </w:rPr>
      </w:pPr>
      <w:r>
        <w:rPr>
          <w:rFonts w:ascii="Arial" w:cs="Arial" w:eastAsia="Arial" w:hAnsi="Arial"/>
          <w:sz w:val="17"/>
          <w:szCs w:val="17"/>
          <w:i w:val="1"/>
          <w:iCs w:val="1"/>
          <w:color w:val="auto"/>
        </w:rPr>
        <w:t>Heritage Aggregates Product Line and Heritage Aggregates Operations exclude volume and pricing data for acquisitions that have not been included in operations for a full year.</w:t>
      </w:r>
    </w:p>
    <w:p>
      <w:pPr>
        <w:spacing w:after="0" w:line="1" w:lineRule="exact"/>
        <w:rPr>
          <w:rFonts w:ascii="Arial" w:cs="Arial" w:eastAsia="Arial" w:hAnsi="Arial"/>
          <w:sz w:val="14"/>
          <w:szCs w:val="14"/>
          <w:i w:val="1"/>
          <w:iCs w:val="1"/>
          <w:color w:val="auto"/>
        </w:rPr>
      </w:pPr>
    </w:p>
    <w:p>
      <w:pPr>
        <w:ind w:left="260" w:hanging="259"/>
        <w:spacing w:after="0"/>
        <w:tabs>
          <w:tab w:leader="none" w:pos="260" w:val="left"/>
        </w:tabs>
        <w:numPr>
          <w:ilvl w:val="0"/>
          <w:numId w:val="21"/>
        </w:numPr>
        <w:rPr>
          <w:rFonts w:ascii="Arial" w:cs="Arial" w:eastAsia="Arial" w:hAnsi="Arial"/>
          <w:sz w:val="14"/>
          <w:szCs w:val="14"/>
          <w:i w:val="1"/>
          <w:iCs w:val="1"/>
          <w:color w:val="auto"/>
        </w:rPr>
      </w:pPr>
      <w:r>
        <w:rPr>
          <w:rFonts w:ascii="Arial" w:cs="Arial" w:eastAsia="Arial" w:hAnsi="Arial"/>
          <w:sz w:val="17"/>
          <w:szCs w:val="17"/>
          <w:i w:val="1"/>
          <w:iCs w:val="1"/>
          <w:color w:val="auto"/>
        </w:rPr>
        <w:t>Aggregates Product Line includes all acquisitions from the date of acquisition and divestitures through the date of disposal.</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Aggregates product line shipments to the infrastructure market comprised 42% of quarterly volumes and decreased 7.2%. Infrastructure shipments in the third quarter were impacted by significant rainfall and project start-up delays, primarily in Texas, which deferred shipments and led to reduced public-sector volumes.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nonresidential market represented 31% of quarterly aggregates product line shipments and declined 4.3%. The Mid-America Group achieved a 5.0% increase, driven by growth in office, retail and industrial development in North Carolina and South Carolina. The Southeast Group and West Group each experienced a decline in nonresidential activity, primarily related to weather deferrals and further reductions in energy demand.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residential market accounted for 18% of quarterly aggregates product line shipments. Volumes to this segment increased 3.0%, due to the continued housing recovery. While the pace of housing permit growth has slowed, Dallas, Atlanta and Denver all continue to rank in the top ten in the country. In fact, the increase in housing permits in Dallas for the trailing-twelve months led the nation. ChemRock/Rail market accounted for the remaining 9% of aggregates product line volumes. The volume decline in this segment principally reflects reduced ballast shipments driven by reduced energy demand, which impacts transportation and results in lower capital and maintenance activity by railroads.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Overall, aggregates product line shipments decreased 4.7%, reflecting various department of transportation delays, weather-driven impacts in addition to reduced energy-related shipments and lower ballast demand.</w:t>
      </w:r>
    </w:p>
    <w:p>
      <w:pPr>
        <w:spacing w:after="0" w:line="4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average per-ton selling price for the heritage aggregates product line was $12.77 and $11.76 for the three months ended September 30, 2016 and 2015, respectively. The heritage aggregates product line pricing increase of 8.6% reflects growth in all reportable groups, led by the 13.7% increase in the West Group. The most significant improvement was achieved in the central Texas region. The Southeast Group and Mid-America Group reported increases of 7.4% and 4.7%, respectively. For the three months ended September 30, 2016 the average per-ton selling price for the acquired aggregates product line was $10.86. The acquired locations, which are in the Colorado market, have a lower average selling price due to its inherent trucking market compared with the Corporation’s overall aggregates business, which includes markets that have transportation components in the average selling price.</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Corporation’s aggregates-related downstream product lines include ready mixed concrete, asphalt and paving businesses in Arkansas, Colorado, Texas and Wyoming. Average selling prices by product line for the Corporation’s aggregates-related downstream product lines are as follows:</w:t>
      </w:r>
    </w:p>
    <w:p>
      <w:pPr>
        <w:spacing w:after="0" w:line="1"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0" w:type="dxa"/>
            <w:vAlign w:val="bottom"/>
            <w:tcBorders>
              <w:bottom w:val="single" w:sz="8" w:color="CFF0FC"/>
            </w:tcBorders>
          </w:tcPr>
          <w:p>
            <w:pPr>
              <w:spacing w:after="0"/>
              <w:rPr>
                <w:sz w:val="19"/>
                <w:szCs w:val="19"/>
                <w:color w:val="auto"/>
              </w:rPr>
            </w:pPr>
          </w:p>
        </w:tc>
        <w:tc>
          <w:tcPr>
            <w:tcW w:w="2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2016</w:t>
            </w:r>
          </w:p>
        </w:tc>
        <w:tc>
          <w:tcPr>
            <w:tcW w:w="220" w:type="dxa"/>
            <w:vAlign w:val="bottom"/>
            <w:tcBorders>
              <w:top w:val="single" w:sz="8" w:color="auto"/>
              <w:bottom w:val="single" w:sz="8" w:color="CFF0FC"/>
            </w:tcBorders>
          </w:tcPr>
          <w:p>
            <w:pPr>
              <w:spacing w:after="0"/>
              <w:rPr>
                <w:sz w:val="19"/>
                <w:szCs w:val="19"/>
                <w:color w:val="auto"/>
              </w:rPr>
            </w:pPr>
          </w:p>
        </w:tc>
        <w:tc>
          <w:tcPr>
            <w:tcW w:w="2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19"/>
                <w:szCs w:val="19"/>
                <w:color w:val="auto"/>
              </w:rPr>
            </w:pPr>
          </w:p>
        </w:tc>
      </w:tr>
      <w:tr>
        <w:trPr>
          <w:trHeight w:val="22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800" w:type="dxa"/>
            <w:vAlign w:val="bottom"/>
          </w:tcPr>
          <w:p>
            <w:pPr>
              <w:ind w:left="120"/>
              <w:spacing w:after="0"/>
              <w:rPr>
                <w:sz w:val="20"/>
                <w:szCs w:val="20"/>
                <w:color w:val="auto"/>
              </w:rPr>
            </w:pPr>
            <w:r>
              <w:rPr>
                <w:rFonts w:ascii="Arial" w:cs="Arial" w:eastAsia="Arial" w:hAnsi="Arial"/>
                <w:sz w:val="18"/>
                <w:szCs w:val="18"/>
                <w:color w:val="auto"/>
              </w:rPr>
              <w:t>Asphalt</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$39.18/ton</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$43.00/ton</w:t>
            </w:r>
          </w:p>
        </w:tc>
      </w:tr>
      <w:tr>
        <w:trPr>
          <w:trHeight w:val="227"/>
        </w:trPr>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Ready Mixed Concrete</w:t>
            </w:r>
          </w:p>
        </w:tc>
        <w:tc>
          <w:tcPr>
            <w:tcW w:w="24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2"/>
              </w:rPr>
              <w:t>$105.04/yd</w:t>
            </w:r>
            <w:r>
              <w:rPr>
                <w:rFonts w:ascii="Arial" w:cs="Arial" w:eastAsia="Arial" w:hAnsi="Arial"/>
                <w:sz w:val="15"/>
                <w:szCs w:val="15"/>
                <w:color w:val="auto"/>
                <w:w w:val="92"/>
              </w:rPr>
              <w:t>3</w:t>
            </w:r>
          </w:p>
        </w:tc>
        <w:tc>
          <w:tcPr>
            <w:tcW w:w="22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$98.15/yd³</w:t>
            </w:r>
          </w:p>
        </w:tc>
      </w:tr>
      <w:tr>
        <w:trPr>
          <w:trHeight w:val="227"/>
        </w:trPr>
        <w:tc>
          <w:tcPr>
            <w:tcW w:w="6800" w:type="dxa"/>
            <w:vAlign w:val="bottom"/>
          </w:tcPr>
          <w:p>
            <w:pPr>
              <w:spacing w:after="0"/>
              <w:rPr>
                <w:sz w:val="20"/>
                <w:szCs w:val="20"/>
                <w:color w:val="auto"/>
              </w:rPr>
            </w:pPr>
            <w:r>
              <w:rPr>
                <w:rFonts w:ascii="Arial" w:cs="Arial" w:eastAsia="Arial" w:hAnsi="Arial"/>
                <w:sz w:val="18"/>
                <w:szCs w:val="18"/>
                <w:color w:val="auto"/>
              </w:rPr>
              <w:t>Acquisitions:</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Asphalt</w:t>
            </w:r>
          </w:p>
        </w:tc>
        <w:tc>
          <w:tcPr>
            <w:tcW w:w="24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1"/>
              </w:rPr>
              <w:t>$44.18/ton</w:t>
            </w:r>
          </w:p>
        </w:tc>
        <w:tc>
          <w:tcPr>
            <w:tcW w:w="22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35"/>
        </w:trPr>
        <w:tc>
          <w:tcPr>
            <w:tcW w:w="6800" w:type="dxa"/>
            <w:vAlign w:val="bottom"/>
          </w:tcPr>
          <w:p>
            <w:pPr>
              <w:ind w:left="120"/>
              <w:spacing w:after="0"/>
              <w:rPr>
                <w:sz w:val="20"/>
                <w:szCs w:val="20"/>
                <w:color w:val="auto"/>
              </w:rPr>
            </w:pPr>
            <w:r>
              <w:rPr>
                <w:rFonts w:ascii="Arial" w:cs="Arial" w:eastAsia="Arial" w:hAnsi="Arial"/>
                <w:sz w:val="18"/>
                <w:szCs w:val="18"/>
                <w:color w:val="auto"/>
              </w:rPr>
              <w:t>Ready Mixed Concrete</w:t>
            </w:r>
          </w:p>
        </w:tc>
        <w:tc>
          <w:tcPr>
            <w:tcW w:w="24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$97.67/yd³</w:t>
            </w:r>
          </w:p>
        </w:tc>
        <w:tc>
          <w:tcPr>
            <w:tcW w:w="2200" w:type="dxa"/>
            <w:vAlign w:val="bottom"/>
            <w:gridSpan w:val="2"/>
          </w:tcPr>
          <w:p>
            <w:pPr>
              <w:ind w:left="1000"/>
              <w:spacing w:after="0"/>
              <w:rPr>
                <w:sz w:val="20"/>
                <w:szCs w:val="20"/>
                <w:color w:val="auto"/>
              </w:rPr>
            </w:pPr>
            <w:r>
              <w:rPr>
                <w:rFonts w:ascii="Arial" w:cs="Arial" w:eastAsia="Arial" w:hAnsi="Arial"/>
                <w:sz w:val="18"/>
                <w:szCs w:val="18"/>
                <w:color w:val="auto"/>
              </w:rPr>
              <w:t>—</w:t>
            </w:r>
          </w:p>
        </w:tc>
      </w:tr>
    </w:tbl>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asphalt pricing is primarily attributable to the divestiture of the San Antonio Asphalt operations sold in fourth quarter 2015, which had a higher average selling price. Additionally, asphalt and paving contracts in the Rocky Mountain Division contain accelerator clauses to reflect cost fluctuations in the raw materials. Liquid asphalt, a key raw material in the manufacturing process, declined during the quarter, resulting in a lower average selling price.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Unit shipments by product line for the Corporation’s aggregates-related downstream product lines are as follows:</w:t>
      </w:r>
    </w:p>
    <w:p>
      <w:pPr>
        <w:spacing w:after="0" w:line="234"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gridSpan w:val="2"/>
          </w:tcPr>
          <w:p>
            <w:pPr>
              <w:spacing w:after="0"/>
              <w:rPr>
                <w:sz w:val="19"/>
                <w:szCs w:val="19"/>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8"/>
                <w:szCs w:val="18"/>
                <w:color w:val="auto"/>
              </w:rPr>
              <w:t>2016</w:t>
            </w:r>
          </w:p>
        </w:tc>
        <w:tc>
          <w:tcPr>
            <w:tcW w:w="5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60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Asphalt Product Line (in thousands):</w:t>
            </w:r>
          </w:p>
        </w:tc>
        <w:tc>
          <w:tcPr>
            <w:tcW w:w="12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Heritage: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560" w:type="dxa"/>
            <w:vAlign w:val="bottom"/>
          </w:tcPr>
          <w:p>
            <w:pPr>
              <w:jc w:val="right"/>
              <w:spacing w:after="0"/>
              <w:rPr>
                <w:sz w:val="20"/>
                <w:szCs w:val="20"/>
                <w:color w:val="auto"/>
              </w:rPr>
            </w:pPr>
            <w:r>
              <w:rPr>
                <w:rFonts w:ascii="Arial" w:cs="Arial" w:eastAsia="Arial" w:hAnsi="Arial"/>
                <w:sz w:val="18"/>
                <w:szCs w:val="18"/>
                <w:color w:val="auto"/>
              </w:rPr>
              <w:t>755</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asphalt tons</w:t>
            </w: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40" w:type="dxa"/>
            <w:vAlign w:val="bottom"/>
            <w:gridSpan w:val="2"/>
          </w:tcPr>
          <w:p>
            <w:pPr>
              <w:spacing w:after="0" w:line="205" w:lineRule="exact"/>
              <w:rPr>
                <w:sz w:val="20"/>
                <w:szCs w:val="20"/>
                <w:color w:val="auto"/>
              </w:rPr>
            </w:pPr>
            <w:r>
              <w:rPr>
                <w:rFonts w:ascii="Arial" w:cs="Arial" w:eastAsia="Arial" w:hAnsi="Arial"/>
                <w:sz w:val="18"/>
                <w:szCs w:val="18"/>
                <w:color w:val="auto"/>
              </w:rPr>
              <w:t>Acquisitions:</w:t>
            </w:r>
          </w:p>
        </w:tc>
        <w:tc>
          <w:tcPr>
            <w:tcW w:w="1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acquisitions asphalt tons</w:t>
            </w: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Ready Mixed Concrete (in thousands of cubic yards):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Heritage</w:t>
            </w:r>
          </w:p>
        </w:tc>
        <w:tc>
          <w:tcPr>
            <w:tcW w:w="560" w:type="dxa"/>
            <w:vAlign w:val="bottom"/>
          </w:tcPr>
          <w:p>
            <w:pPr>
              <w:jc w:val="right"/>
              <w:spacing w:after="0"/>
              <w:rPr>
                <w:sz w:val="20"/>
                <w:szCs w:val="20"/>
                <w:color w:val="auto"/>
              </w:rPr>
            </w:pPr>
            <w:r>
              <w:rPr>
                <w:rFonts w:ascii="Arial" w:cs="Arial" w:eastAsia="Arial" w:hAnsi="Arial"/>
                <w:sz w:val="18"/>
                <w:szCs w:val="18"/>
                <w:color w:val="auto"/>
              </w:rPr>
              <w:t>2,188</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Acquisitions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440" w:type="dxa"/>
            <w:vAlign w:val="bottom"/>
            <w:gridSpan w:val="2"/>
          </w:tcPr>
          <w:p>
            <w:pPr>
              <w:spacing w:after="0"/>
              <w:rPr>
                <w:sz w:val="20"/>
                <w:szCs w:val="20"/>
                <w:color w:val="auto"/>
              </w:rPr>
            </w:pPr>
            <w:r>
              <w:rPr>
                <w:rFonts w:ascii="Arial" w:cs="Arial" w:eastAsia="Arial" w:hAnsi="Arial"/>
                <w:sz w:val="18"/>
                <w:szCs w:val="18"/>
                <w:color w:val="auto"/>
              </w:rPr>
              <w:t>Total cubic yards</w:t>
            </w:r>
          </w:p>
        </w:tc>
        <w:tc>
          <w:tcPr>
            <w:tcW w:w="1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3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decline in asphalt product line shipments is primarily attributable to the divestiture of San Antonio Asphalt operations, sold in fourth quarter 2015, which contributed 209,000 tons during the three months ended September 30, 2015.</w:t>
      </w:r>
    </w:p>
    <w:p>
      <w:pPr>
        <w:spacing w:after="0" w:line="4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ready mixed concrete product line continued to benefit from strong demand and better pricing. Inclusive of operations acquired during the quarter, these factors drove a 17.8% increase in shipments and a 6.1% increase in average selling price. Increased sales led to a 380-basis-point improvement in gross margin (excluding freight and delivery revenues). Excluding the results of businesses acquired in 2016, ready mixed concrete volumes and average selling price increased 3.6% and 7.0%, respectively, driving gross margin expansion (excluding freight and delivery revenues) of 415 basis points.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Cement Business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quarter, the Cement business generated $60.1 million of net sales and $29.7 million of gross profit. Cement shipments declined while pricing improved by 0.3% (excluding the impact of the California cement operations sold in 2015). The business’ reported quarterly gross margin (excluding freight and delivery revenues) of 49.5%, an expansion of 570-basis-points compared to prior year (excluding the impact of the California cement operations sold in 2015). The increase in gross margin is primarily attributable to disciplined cost control, including lower kiln maintenance costs.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2016, the business incurred $1.8 million in planned cement kiln maintenance costs, and expects to incur $9.7 million in the fourth quarter. Kiln maintenance costs in 2015 for the Texas plants were $3.4 million, $3.5 million, $3.2 million and $9.3 million for the first, second, third and fourth quarters,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Cement shipments and adjusted average-selling price for the three months ended September 30, 2016 and 2015 were (tons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2"/>
              </w:rPr>
              <w:t>Three Months Ended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8"/>
                <w:szCs w:val="18"/>
                <w:color w:val="auto"/>
              </w:rPr>
              <w:t>2016</w:t>
            </w: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89"/>
              </w:rPr>
              <w:t>September 30,</w:t>
            </w:r>
          </w:p>
        </w:tc>
        <w:tc>
          <w:tcPr>
            <w:tcW w:w="1320" w:type="dxa"/>
            <w:vAlign w:val="bottom"/>
            <w:vMerge w:val="restart"/>
          </w:tcPr>
          <w:p>
            <w:pPr>
              <w:jc w:val="right"/>
              <w:ind w:right="74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Tons to external customers</w:t>
            </w: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tons used in other product lines</w:t>
            </w: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cement tons</w:t>
            </w: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California cement tons</w:t>
            </w:r>
          </w:p>
        </w:tc>
        <w:tc>
          <w:tcPr>
            <w:tcW w:w="13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cement tons</w:t>
            </w:r>
          </w:p>
        </w:tc>
        <w:tc>
          <w:tcPr>
            <w:tcW w:w="1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average-selling price per ton</w:t>
            </w:r>
            <w:r>
              <w:rPr>
                <w:rFonts w:ascii="Arial" w:cs="Arial" w:eastAsia="Arial" w:hAnsi="Arial"/>
                <w:sz w:val="15"/>
                <w:szCs w:val="15"/>
                <w:color w:val="auto"/>
              </w:rPr>
              <w:t>1</w:t>
            </w:r>
          </w:p>
        </w:tc>
        <w:tc>
          <w:tcPr>
            <w:tcW w:w="1300" w:type="dxa"/>
            <w:vAlign w:val="bottom"/>
            <w:tcBorders>
              <w:bottom w:val="single" w:sz="8" w:color="auto"/>
            </w:tcBorders>
            <w:shd w:val="clear" w:color="auto" w:fill="CFF0FC"/>
          </w:tcPr>
          <w:p>
            <w:pPr>
              <w:jc w:val="right"/>
              <w:ind w:right="110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103.08</w:t>
            </w:r>
          </w:p>
        </w:tc>
        <w:tc>
          <w:tcPr>
            <w:tcW w:w="3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hanging="99"/>
        <w:spacing w:after="0"/>
        <w:tabs>
          <w:tab w:leader="none" w:pos="100" w:val="left"/>
        </w:tabs>
        <w:numPr>
          <w:ilvl w:val="0"/>
          <w:numId w:val="22"/>
        </w:numPr>
        <w:rPr>
          <w:rFonts w:ascii="Arial" w:cs="Arial" w:eastAsia="Arial" w:hAnsi="Arial"/>
          <w:sz w:val="14"/>
          <w:szCs w:val="14"/>
          <w:i w:val="1"/>
          <w:iCs w:val="1"/>
          <w:color w:val="auto"/>
        </w:rPr>
      </w:pPr>
      <w:r>
        <w:rPr>
          <w:rFonts w:ascii="Arial" w:cs="Arial" w:eastAsia="Arial" w:hAnsi="Arial"/>
          <w:sz w:val="17"/>
          <w:szCs w:val="17"/>
          <w:i w:val="1"/>
          <w:iCs w:val="1"/>
          <w:color w:val="auto"/>
        </w:rPr>
        <w:t>Excludes the impact of the California cement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-123825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decline in 2016 shipments is primarily attributable to the prior-year divestiture of the California operations, which accounted for 328,000 tons in the third-quarter of 2015 coupled with a decline in energy sector demand in southern Texas.</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Portland Cement Association, or PCA, forecasts favorable supply/demand imbalance in Texas over the next several years and growth each year through 2019.</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Magnesia Specialties Business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Magnesia Specialties delivered record performance and generated a 5.2% increase in third-quarter net sales of $60.2 million as a result of higher chemical product line sales partially offset by lower shipments of dolomitic lime and periclase. Gross margin (excluding freight and delivery revenues) of 37.9% in the quarter expanded 400 basis points, driven by lower energy and kiln outage costs compared with the prior year. Third-quarter earnings from operations were $20.4 million compared with $17.0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rollforward of consolidated gross profit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40" w:type="dxa"/>
            <w:vAlign w:val="bottom"/>
          </w:tcPr>
          <w:p>
            <w:pPr>
              <w:spacing w:after="0"/>
              <w:rPr>
                <w:sz w:val="20"/>
                <w:szCs w:val="20"/>
                <w:color w:val="auto"/>
              </w:rPr>
            </w:pPr>
            <w:r>
              <w:rPr>
                <w:rFonts w:ascii="Arial" w:cs="Arial" w:eastAsia="Arial" w:hAnsi="Arial"/>
                <w:sz w:val="18"/>
                <w:szCs w:val="18"/>
                <w:color w:val="auto"/>
              </w:rPr>
              <w:t>Consolidated gross profit, quarter ended September 30, 2015</w:t>
            </w:r>
          </w:p>
        </w:tc>
        <w:tc>
          <w:tcPr>
            <w:tcW w:w="3160" w:type="dxa"/>
            <w:vAlign w:val="bottom"/>
            <w:gridSpan w:val="2"/>
          </w:tcPr>
          <w:p>
            <w:pPr>
              <w:jc w:val="right"/>
              <w:ind w:right="543"/>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262,505</w:t>
            </w:r>
          </w:p>
        </w:tc>
        <w:tc>
          <w:tcPr>
            <w:tcW w:w="100" w:type="dxa"/>
            <w:vAlign w:val="bottom"/>
          </w:tcPr>
          <w:p>
            <w:pPr>
              <w:spacing w:after="0"/>
              <w:rPr>
                <w:sz w:val="20"/>
                <w:szCs w:val="20"/>
                <w:color w:val="auto"/>
              </w:rPr>
            </w:pPr>
          </w:p>
        </w:tc>
      </w:tr>
      <w:tr>
        <w:trPr>
          <w:trHeight w:val="220"/>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Heritage aggregates product line:</w:t>
            </w:r>
          </w:p>
        </w:tc>
        <w:tc>
          <w:tcPr>
            <w:tcW w:w="24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940" w:type="dxa"/>
            <w:vAlign w:val="bottom"/>
          </w:tcPr>
          <w:p>
            <w:pPr>
              <w:ind w:left="240"/>
              <w:spacing w:after="0"/>
              <w:rPr>
                <w:sz w:val="20"/>
                <w:szCs w:val="20"/>
                <w:color w:val="auto"/>
              </w:rPr>
            </w:pPr>
            <w:r>
              <w:rPr>
                <w:rFonts w:ascii="Arial" w:cs="Arial" w:eastAsia="Arial" w:hAnsi="Arial"/>
                <w:sz w:val="18"/>
                <w:szCs w:val="18"/>
                <w:color w:val="auto"/>
              </w:rPr>
              <w:t>Volume</w:t>
            </w:r>
          </w:p>
        </w:tc>
        <w:tc>
          <w:tcPr>
            <w:tcW w:w="2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(32,443)</w:t>
            </w:r>
          </w:p>
        </w:tc>
      </w:tr>
      <w:tr>
        <w:trPr>
          <w:trHeight w:val="227"/>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Pricing</w:t>
            </w:r>
          </w:p>
        </w:tc>
        <w:tc>
          <w:tcPr>
            <w:tcW w:w="2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45,399</w:t>
            </w:r>
          </w:p>
        </w:tc>
        <w:tc>
          <w:tcPr>
            <w:tcW w:w="100" w:type="dxa"/>
            <w:vAlign w:val="bottom"/>
            <w:shd w:val="clear" w:color="auto" w:fill="CFF0FC"/>
          </w:tcPr>
          <w:p>
            <w:pPr>
              <w:spacing w:after="0"/>
              <w:rPr>
                <w:sz w:val="19"/>
                <w:szCs w:val="19"/>
                <w:color w:val="auto"/>
              </w:rPr>
            </w:pPr>
          </w:p>
        </w:tc>
      </w:tr>
      <w:tr>
        <w:trPr>
          <w:trHeight w:val="227"/>
        </w:trPr>
        <w:tc>
          <w:tcPr>
            <w:tcW w:w="6940" w:type="dxa"/>
            <w:vAlign w:val="bottom"/>
          </w:tcPr>
          <w:p>
            <w:pPr>
              <w:ind w:left="240"/>
              <w:spacing w:after="0"/>
              <w:rPr>
                <w:sz w:val="20"/>
                <w:szCs w:val="20"/>
                <w:color w:val="auto"/>
              </w:rPr>
            </w:pPr>
            <w:r>
              <w:rPr>
                <w:rFonts w:ascii="Arial" w:cs="Arial" w:eastAsia="Arial" w:hAnsi="Arial"/>
                <w:sz w:val="18"/>
                <w:szCs w:val="18"/>
                <w:color w:val="auto"/>
              </w:rPr>
              <w:t>Cost increases, net</w:t>
            </w:r>
          </w:p>
        </w:tc>
        <w:tc>
          <w:tcPr>
            <w:tcW w:w="2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(5,833)</w:t>
            </w:r>
          </w:p>
        </w:tc>
      </w:tr>
      <w:tr>
        <w:trPr>
          <w:trHeight w:val="220"/>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heritage aggregates product line gross profit</w:t>
            </w:r>
          </w:p>
        </w:tc>
        <w:tc>
          <w:tcPr>
            <w:tcW w:w="24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940" w:type="dxa"/>
            <w:vAlign w:val="bottom"/>
          </w:tcPr>
          <w:p>
            <w:pPr>
              <w:spacing w:after="0"/>
              <w:rPr>
                <w:sz w:val="20"/>
                <w:szCs w:val="20"/>
                <w:color w:val="auto"/>
              </w:rPr>
            </w:pPr>
            <w:r>
              <w:rPr>
                <w:rFonts w:ascii="Arial" w:cs="Arial" w:eastAsia="Arial" w:hAnsi="Arial"/>
                <w:sz w:val="18"/>
                <w:szCs w:val="18"/>
                <w:color w:val="auto"/>
              </w:rPr>
              <w:t>Change in gross profit:</w:t>
            </w:r>
          </w:p>
        </w:tc>
        <w:tc>
          <w:tcPr>
            <w:tcW w:w="2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Heritage aggregates-related downstream product lines</w:t>
            </w:r>
          </w:p>
        </w:tc>
        <w:tc>
          <w:tcPr>
            <w:tcW w:w="2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100" w:type="dxa"/>
            <w:vAlign w:val="bottom"/>
            <w:shd w:val="clear" w:color="auto" w:fill="CFF0FC"/>
          </w:tcPr>
          <w:p>
            <w:pPr>
              <w:spacing w:after="0"/>
              <w:rPr>
                <w:sz w:val="19"/>
                <w:szCs w:val="19"/>
                <w:color w:val="auto"/>
              </w:rPr>
            </w:pPr>
          </w:p>
        </w:tc>
      </w:tr>
      <w:tr>
        <w:trPr>
          <w:trHeight w:val="227"/>
        </w:trPr>
        <w:tc>
          <w:tcPr>
            <w:tcW w:w="6940" w:type="dxa"/>
            <w:vAlign w:val="bottom"/>
          </w:tcPr>
          <w:p>
            <w:pPr>
              <w:ind w:left="240"/>
              <w:spacing w:after="0"/>
              <w:rPr>
                <w:sz w:val="20"/>
                <w:szCs w:val="20"/>
                <w:color w:val="auto"/>
              </w:rPr>
            </w:pPr>
            <w:r>
              <w:rPr>
                <w:rFonts w:ascii="Arial" w:cs="Arial" w:eastAsia="Arial" w:hAnsi="Arial"/>
                <w:sz w:val="18"/>
                <w:szCs w:val="18"/>
                <w:color w:val="auto"/>
              </w:rPr>
              <w:t>Acquired aggregates business operations</w:t>
            </w:r>
          </w:p>
        </w:tc>
        <w:tc>
          <w:tcPr>
            <w:tcW w:w="2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r>
      <w:tr>
        <w:trPr>
          <w:trHeight w:val="227"/>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Cement</w:t>
            </w:r>
            <w:r>
              <w:rPr>
                <w:rFonts w:ascii="Arial" w:cs="Arial" w:eastAsia="Arial" w:hAnsi="Arial"/>
                <w:sz w:val="15"/>
                <w:szCs w:val="15"/>
                <w:color w:val="auto"/>
              </w:rPr>
              <w:t>1</w:t>
            </w:r>
          </w:p>
        </w:tc>
        <w:tc>
          <w:tcPr>
            <w:tcW w:w="2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(8,519)</w:t>
            </w:r>
          </w:p>
        </w:tc>
      </w:tr>
      <w:tr>
        <w:trPr>
          <w:trHeight w:val="227"/>
        </w:trPr>
        <w:tc>
          <w:tcPr>
            <w:tcW w:w="6940" w:type="dxa"/>
            <w:vAlign w:val="bottom"/>
          </w:tcPr>
          <w:p>
            <w:pPr>
              <w:ind w:left="240"/>
              <w:spacing w:after="0"/>
              <w:rPr>
                <w:sz w:val="20"/>
                <w:szCs w:val="20"/>
                <w:color w:val="auto"/>
              </w:rPr>
            </w:pPr>
            <w:r>
              <w:rPr>
                <w:rFonts w:ascii="Arial" w:cs="Arial" w:eastAsia="Arial" w:hAnsi="Arial"/>
                <w:sz w:val="18"/>
                <w:szCs w:val="18"/>
                <w:color w:val="auto"/>
              </w:rPr>
              <w:t>Magnesia Specialties</w:t>
            </w:r>
          </w:p>
        </w:tc>
        <w:tc>
          <w:tcPr>
            <w:tcW w:w="2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19"/>
                <w:szCs w:val="19"/>
                <w:color w:val="auto"/>
              </w:rPr>
            </w:pPr>
          </w:p>
        </w:tc>
      </w:tr>
      <w:tr>
        <w:trPr>
          <w:trHeight w:val="227"/>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4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consolidated gross profit</w:t>
            </w:r>
          </w:p>
        </w:tc>
        <w:tc>
          <w:tcPr>
            <w:tcW w:w="24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30,063</w:t>
            </w:r>
          </w:p>
        </w:tc>
        <w:tc>
          <w:tcPr>
            <w:tcW w:w="100" w:type="dxa"/>
            <w:vAlign w:val="bottom"/>
            <w:tcBorders>
              <w:bottom w:val="single" w:sz="8" w:color="CFF0FC"/>
            </w:tcBorders>
          </w:tcPr>
          <w:p>
            <w:pPr>
              <w:spacing w:after="0"/>
              <w:rPr>
                <w:sz w:val="19"/>
                <w:szCs w:val="19"/>
                <w:color w:val="auto"/>
              </w:rPr>
            </w:pPr>
          </w:p>
        </w:tc>
      </w:tr>
      <w:tr>
        <w:trPr>
          <w:trHeight w:val="22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gross profit, quarter ended September 30, 2016</w:t>
            </w:r>
          </w:p>
        </w:tc>
        <w:tc>
          <w:tcPr>
            <w:tcW w:w="2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292,568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12" w:lineRule="exact"/>
        <w:rPr>
          <w:sz w:val="20"/>
          <w:szCs w:val="20"/>
          <w:color w:val="auto"/>
        </w:rPr>
      </w:pPr>
    </w:p>
    <w:p>
      <w:pPr>
        <w:ind w:left="5200" w:right="1840" w:hanging="5201"/>
        <w:spacing w:after="0" w:line="522" w:lineRule="auto"/>
        <w:rPr>
          <w:sz w:val="20"/>
          <w:szCs w:val="20"/>
          <w:color w:val="auto"/>
        </w:rPr>
      </w:pPr>
      <w:r>
        <w:rPr>
          <w:rFonts w:ascii="Arial" w:cs="Arial" w:eastAsia="Arial" w:hAnsi="Arial"/>
          <w:sz w:val="14"/>
          <w:szCs w:val="14"/>
          <w:i w:val="1"/>
          <w:iCs w:val="1"/>
          <w:color w:val="auto"/>
        </w:rPr>
        <w:t>1</w:t>
      </w:r>
      <w:r>
        <w:rPr>
          <w:rFonts w:ascii="Arial" w:cs="Arial" w:eastAsia="Arial" w:hAnsi="Arial"/>
          <w:sz w:val="16"/>
          <w:szCs w:val="16"/>
          <w:i w:val="1"/>
          <w:iCs w:val="1"/>
          <w:color w:val="auto"/>
        </w:rPr>
        <w:t>Includes impact of California cement operations. Excluding California cement operations, gross profit would have decreased by $5,187,000.</w:t>
      </w:r>
      <w:r>
        <w:rPr>
          <w:rFonts w:ascii="Arial" w:cs="Arial" w:eastAsia="Arial" w:hAnsi="Arial"/>
          <w:sz w:val="14"/>
          <w:szCs w:val="14"/>
          <w:i w:val="1"/>
          <w:iCs w:val="1"/>
          <w:color w:val="auto"/>
        </w:rPr>
        <w:t xml:space="preserve"> </w:t>
      </w:r>
      <w:r>
        <w:rPr>
          <w:rFonts w:ascii="Arial" w:cs="Arial" w:eastAsia="Arial" w:hAnsi="Arial"/>
          <w:sz w:val="18"/>
          <w:szCs w:val="18"/>
          <w:color w:val="auto"/>
        </w:rPr>
        <w:t>Page 39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-539115</wp:posOffset>
            </wp:positionV>
            <wp:extent cx="12172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48260</wp:posOffset>
            </wp:positionV>
            <wp:extent cx="729678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gridSpan w:val="2"/>
          </w:tcPr>
          <w:p>
            <w:pPr>
              <w:spacing w:after="0"/>
              <w:rPr>
                <w:sz w:val="20"/>
                <w:szCs w:val="20"/>
                <w:color w:val="auto"/>
              </w:rPr>
            </w:pPr>
            <w:r>
              <w:rPr>
                <w:rFonts w:ascii="Arial" w:cs="Arial" w:eastAsia="Arial" w:hAnsi="Arial"/>
                <w:sz w:val="18"/>
                <w:szCs w:val="18"/>
                <w:color w:val="auto"/>
              </w:rPr>
              <w:t>Gross profit (loss) by business is as follows:</w:t>
            </w:r>
          </w:p>
        </w:tc>
        <w:tc>
          <w:tcPr>
            <w:tcW w:w="1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92"/>
              </w:rPr>
              <w:t>Three Months Ended</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September 30,</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6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00" w:type="dxa"/>
            <w:vAlign w:val="bottom"/>
            <w:vMerge w:val="restart"/>
          </w:tcPr>
          <w:p>
            <w:pPr>
              <w:spacing w:after="0"/>
              <w:rPr>
                <w:sz w:val="20"/>
                <w:szCs w:val="20"/>
                <w:color w:val="auto"/>
              </w:rPr>
            </w:pPr>
            <w:r>
              <w:rPr>
                <w:rFonts w:ascii="Arial" w:cs="Arial" w:eastAsia="Arial" w:hAnsi="Arial"/>
                <w:sz w:val="18"/>
                <w:szCs w:val="18"/>
                <w:color w:val="auto"/>
                <w:w w:val="93"/>
              </w:rPr>
              <w:t>Gross profit (loss):</w:t>
            </w:r>
          </w:p>
        </w:tc>
        <w:tc>
          <w:tcPr>
            <w:tcW w:w="3240" w:type="dxa"/>
            <w:vAlign w:val="bottom"/>
            <w:vMerge w:val="restart"/>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Heritage:</w:t>
            </w:r>
          </w:p>
        </w:tc>
        <w:tc>
          <w:tcPr>
            <w:tcW w:w="13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460"/>
              <w:spacing w:after="0"/>
              <w:rPr>
                <w:sz w:val="20"/>
                <w:szCs w:val="20"/>
                <w:color w:val="auto"/>
              </w:rPr>
            </w:pPr>
            <w:r>
              <w:rPr>
                <w:rFonts w:ascii="Arial" w:cs="Arial" w:eastAsia="Arial" w:hAnsi="Arial"/>
                <w:sz w:val="18"/>
                <w:szCs w:val="18"/>
                <w:color w:val="auto"/>
              </w:rPr>
              <w:t>Aggregates</w:t>
            </w:r>
          </w:p>
        </w:tc>
        <w:tc>
          <w:tcPr>
            <w:tcW w:w="2960" w:type="dxa"/>
            <w:vAlign w:val="bottom"/>
            <w:gridSpan w:val="2"/>
          </w:tcPr>
          <w:p>
            <w:pPr>
              <w:jc w:val="right"/>
              <w:ind w:right="141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173,289</w:t>
            </w:r>
          </w:p>
        </w:tc>
        <w:tc>
          <w:tcPr>
            <w:tcW w:w="400" w:type="dxa"/>
            <w:vAlign w:val="bottom"/>
          </w:tcPr>
          <w:p>
            <w:pPr>
              <w:spacing w:after="0"/>
              <w:rPr>
                <w:sz w:val="19"/>
                <w:szCs w:val="19"/>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166,166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Asphalt and Paving</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30,038</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Ready Mixed Concrete</w:t>
            </w:r>
          </w:p>
        </w:tc>
        <w:tc>
          <w:tcPr>
            <w:tcW w:w="13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36,067</w:t>
            </w:r>
          </w:p>
        </w:tc>
        <w:tc>
          <w:tcPr>
            <w:tcW w:w="4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Total Aggregates Business</w:t>
            </w:r>
          </w:p>
        </w:tc>
        <w:tc>
          <w:tcPr>
            <w:tcW w:w="138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239,394</w:t>
            </w:r>
          </w:p>
        </w:tc>
        <w:tc>
          <w:tcPr>
            <w:tcW w:w="4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Cement</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29,725</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Magnesia Specialties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22,810</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(3,193)</w:t>
            </w:r>
          </w:p>
        </w:tc>
        <w:tc>
          <w:tcPr>
            <w:tcW w:w="84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20"/>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13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288,736</w:t>
            </w:r>
          </w:p>
        </w:tc>
        <w:tc>
          <w:tcPr>
            <w:tcW w:w="4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(295)</w:t>
            </w:r>
          </w:p>
        </w:tc>
        <w:tc>
          <w:tcPr>
            <w:tcW w:w="8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Asphalt and Paving</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3,765</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Acquisitions</w:t>
            </w:r>
          </w:p>
        </w:tc>
        <w:tc>
          <w:tcPr>
            <w:tcW w:w="1380" w:type="dxa"/>
            <w:vAlign w:val="bottom"/>
            <w:tcBorders>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4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41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292,568</w:t>
            </w:r>
          </w:p>
        </w:tc>
        <w:tc>
          <w:tcPr>
            <w:tcW w:w="4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gross margin (excluding freight and delivery revenues) for the quarter was 28.2%, a 210-basis-point improvement compared with the prior-year quarter. The increase reflects pricing growth, management’s cost-disciplined approach and divesting the lower-margin California cement operations at the end of the third quarter of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SG&amp;A was 5.4% of net sales, flat compared with the prior-year quarter.</w:t>
      </w:r>
    </w:p>
    <w:p>
      <w:pPr>
        <w:spacing w:after="0" w:line="1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third quarter, consolidated other operating income and expenses, net, was income of $4.6 million in 2016 and an expense of $26.0 million in 2015. Operating income and expenses, net, for 2015 reflects the net loss recognized on the disposal of the California cement operations.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nonoperating income and expenses, net, includes foreign currency transaction gains and losses, interest and other miscellaneous income and equity adjustments for nonconsolidated affiliates. Consolidated other nonoperating income and expenses, net, was income of $10.6 million and $4.5 million for the quarter ended September 30, 2016 and 2015,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respectively. The increase in income in 2016 compared to 2015 is primarily attributable to a net gain recognized on the purchase of the remaining interest in a joint venture.</w:t>
      </w:r>
    </w:p>
    <w:p>
      <w:pPr>
        <w:spacing w:after="0" w:line="4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estimated effective income tax rate for the quarter was 30.6%. For the year, the Corporation expects to fully utilize the remaining allowable net operating loss carryforwards of $33 million acquired with TXI.</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FOR THE NINE MONTHS ENDED SEPTEMBER 30, 2016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for the nine months ended September 30, 2016 (unless noted, all comparisons are versus the prior-year period):</w:t>
      </w:r>
    </w:p>
    <w:p>
      <w:pPr>
        <w:spacing w:after="0" w:line="108" w:lineRule="exact"/>
        <w:rPr>
          <w:sz w:val="20"/>
          <w:szCs w:val="20"/>
          <w:color w:val="auto"/>
        </w:rPr>
      </w:pPr>
    </w:p>
    <w:p>
      <w:pPr>
        <w:ind w:left="760" w:hanging="381"/>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net sales of $2.7 billion compared with $2.5 billion, an increase of 8.1%</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Aggregates product line volume increase of 1.8%; aggregates product line price increase of 7.9%</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Cement business net sales of $189.8 million and gross profit of $86.3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Magnesia Specialties net sales of $178.6 million and gross profit of $67.5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gross margin (excluding freight and delivery revenues) of 25.4%, an increase of 380 basis points</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SG&amp;A of $177.7 million, or 6.6% of net sales</w:t>
      </w:r>
    </w:p>
    <w:p>
      <w:pPr>
        <w:spacing w:after="0" w:line="57" w:lineRule="exact"/>
        <w:rPr>
          <w:rFonts w:ascii="Arial" w:cs="Arial" w:eastAsia="Arial" w:hAnsi="Arial"/>
          <w:sz w:val="18"/>
          <w:szCs w:val="18"/>
          <w:color w:val="auto"/>
        </w:rPr>
      </w:pPr>
    </w:p>
    <w:p>
      <w:pPr>
        <w:ind w:left="760" w:hanging="381"/>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earnings from operations of $511.9 million compared with $371.9 million (which excludes the loss on the sale of the California cement operations and additional related expenses)</w:t>
      </w:r>
    </w:p>
    <w:p>
      <w:pPr>
        <w:spacing w:after="0" w:line="1" w:lineRule="exact"/>
        <w:rPr>
          <w:rFonts w:ascii="Arial" w:cs="Arial" w:eastAsia="Arial" w:hAnsi="Arial"/>
          <w:sz w:val="18"/>
          <w:szCs w:val="18"/>
          <w:color w:val="auto"/>
        </w:rPr>
      </w:pPr>
    </w:p>
    <w:p>
      <w:pPr>
        <w:ind w:left="760" w:hanging="381"/>
        <w:spacing w:after="0" w:line="280"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per diluted share of $5.08 compared with $3.34 (which excludes the $0.31 per diluted share impact of the sale of the California cement operations and related expenses)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net sales, gross profit (loss), selling, general and administrative expenses and earnings (loss) from operations data for the Corporation and its reportable segments for the nine months ended September 30, 2016 and 2015. In each case, the data is stated as a percentage of net sales of the Corporation or the relevant segment, as the case may be.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8"/>
                <w:szCs w:val="18"/>
                <w:color w:val="auto"/>
                <w:w w:val="92"/>
              </w:rPr>
              <w:t>Nine Months Ended September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2016</w:t>
            </w:r>
          </w:p>
        </w:tc>
        <w:tc>
          <w:tcPr>
            <w:tcW w:w="1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2015</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48"/>
              <w:spacing w:after="0" w:line="203"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8"/>
              <w:spacing w:after="0" w:line="203"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1280" w:type="dxa"/>
            <w:vAlign w:val="bottom"/>
          </w:tcPr>
          <w:p>
            <w:pPr>
              <w:jc w:val="right"/>
              <w:ind w:right="288"/>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3"/>
          </w:tcPr>
          <w:p>
            <w:pPr>
              <w:jc w:val="right"/>
              <w:ind w:right="90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Net Sales</w:t>
            </w:r>
          </w:p>
        </w:tc>
        <w:tc>
          <w:tcPr>
            <w:tcW w:w="0" w:type="dxa"/>
            <w:vAlign w:val="bottom"/>
          </w:tcPr>
          <w:p>
            <w:pPr>
              <w:spacing w:after="0"/>
              <w:rPr>
                <w:sz w:val="1"/>
                <w:szCs w:val="1"/>
                <w:color w:val="auto"/>
              </w:rPr>
            </w:pPr>
          </w:p>
        </w:tc>
      </w:tr>
      <w:tr>
        <w:trPr>
          <w:trHeight w:val="227"/>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6"/>
          </w:tcPr>
          <w:p>
            <w:pPr>
              <w:jc w:val="center"/>
              <w:ind w:right="620"/>
              <w:spacing w:after="0"/>
              <w:rPr>
                <w:sz w:val="20"/>
                <w:szCs w:val="20"/>
                <w:color w:val="auto"/>
              </w:rPr>
            </w:pPr>
            <w:r>
              <w:rPr>
                <w:rFonts w:ascii="Arial" w:cs="Arial" w:eastAsia="Arial" w:hAnsi="Arial"/>
                <w:sz w:val="18"/>
                <w:szCs w:val="18"/>
                <w:i w:val="1"/>
                <w:iCs w:val="1"/>
                <w:color w:val="auto"/>
                <w:w w:val="94"/>
              </w:rPr>
              <w:t>(Dollars in Thousands)</w:t>
            </w: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708,151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632,772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214,536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1,328,592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1,156,075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2,266,748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2,003,383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189,754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307,489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178,615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176,470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2,635,117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2,487,342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52,623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2,687,740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2,487,342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 (loss):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Heritage: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52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184,708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41,779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24,060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West Group</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270,947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196,243</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536,356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405,011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Cement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67,472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60,793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(8,604)</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(16,528)</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681,507</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536,918</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Aggregates Business – Mid-America Group</w:t>
            </w: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 Acquisitions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Consolidated</w:t>
            </w:r>
          </w:p>
        </w:tc>
        <w:tc>
          <w:tcPr>
            <w:tcW w:w="2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683,903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536,918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right="620"/>
              <w:spacing w:after="0"/>
              <w:rPr>
                <w:sz w:val="20"/>
                <w:szCs w:val="20"/>
                <w:color w:val="auto"/>
              </w:rPr>
            </w:pPr>
            <w:r>
              <w:rPr>
                <w:rFonts w:ascii="Arial" w:cs="Arial" w:eastAsia="Arial" w:hAnsi="Arial"/>
                <w:sz w:val="18"/>
                <w:szCs w:val="18"/>
                <w:color w:val="auto"/>
                <w:w w:val="92"/>
              </w:rPr>
              <w:t>Nine Months Ended September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2016</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2015</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108"/>
              <w:spacing w:after="0" w:line="203" w:lineRule="exact"/>
              <w:rPr>
                <w:sz w:val="20"/>
                <w:szCs w:val="20"/>
                <w:color w:val="auto"/>
              </w:rPr>
            </w:pPr>
            <w:r>
              <w:rPr>
                <w:rFonts w:ascii="Arial" w:cs="Arial" w:eastAsia="Arial" w:hAnsi="Arial"/>
                <w:sz w:val="18"/>
                <w:szCs w:val="18"/>
                <w:color w:val="auto"/>
                <w:w w:val="99"/>
              </w:rPr>
              <w:t>% of</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8"/>
              <w:spacing w:after="0" w:line="203"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920" w:type="dxa"/>
            <w:vAlign w:val="bottom"/>
          </w:tcPr>
          <w:p>
            <w:pPr>
              <w:jc w:val="center"/>
              <w:ind w:left="88"/>
              <w:spacing w:after="0"/>
              <w:rPr>
                <w:sz w:val="20"/>
                <w:szCs w:val="20"/>
                <w:color w:val="auto"/>
              </w:rPr>
            </w:pPr>
            <w:r>
              <w:rPr>
                <w:rFonts w:ascii="Arial" w:cs="Arial" w:eastAsia="Arial" w:hAnsi="Arial"/>
                <w:sz w:val="18"/>
                <w:szCs w:val="18"/>
                <w:color w:val="auto"/>
                <w:w w:val="89"/>
              </w:rPr>
              <w:t>Net Sales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3"/>
          </w:tcPr>
          <w:p>
            <w:pPr>
              <w:jc w:val="right"/>
              <w:ind w:right="90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Net Sales</w:t>
            </w:r>
          </w:p>
        </w:tc>
        <w:tc>
          <w:tcPr>
            <w:tcW w:w="0" w:type="dxa"/>
            <w:vAlign w:val="bottom"/>
          </w:tcPr>
          <w:p>
            <w:pPr>
              <w:spacing w:after="0"/>
              <w:rPr>
                <w:sz w:val="1"/>
                <w:szCs w:val="1"/>
                <w:color w:val="auto"/>
              </w:rPr>
            </w:pPr>
          </w:p>
        </w:tc>
      </w:tr>
      <w:tr>
        <w:trPr>
          <w:trHeight w:val="227"/>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Selling, general &amp; administrative expenses: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7"/>
          </w:tcPr>
          <w:p>
            <w:pPr>
              <w:jc w:val="center"/>
              <w:ind w:right="620"/>
              <w:spacing w:after="0"/>
              <w:rPr>
                <w:sz w:val="20"/>
                <w:szCs w:val="20"/>
                <w:color w:val="auto"/>
              </w:rPr>
            </w:pPr>
            <w:r>
              <w:rPr>
                <w:rFonts w:ascii="Arial" w:cs="Arial" w:eastAsia="Arial" w:hAnsi="Arial"/>
                <w:sz w:val="18"/>
                <w:szCs w:val="18"/>
                <w:i w:val="1"/>
                <w:iCs w:val="1"/>
                <w:color w:val="auto"/>
                <w:w w:val="94"/>
              </w:rPr>
              <w:t>(Dollars in Thousands)</w:t>
            </w: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39,447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39,187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102,139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176,644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161,120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177,718</w:t>
            </w:r>
          </w:p>
        </w:tc>
        <w:tc>
          <w:tcPr>
            <w:tcW w:w="2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161,120</w:t>
            </w:r>
          </w:p>
        </w:tc>
        <w:tc>
          <w:tcPr>
            <w:tcW w:w="2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Earnings (Loss) from operations: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186,861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26.4</w:t>
            </w:r>
          </w:p>
        </w:tc>
        <w:tc>
          <w:tcPr>
            <w:tcW w:w="5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148,385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r>
              <w:rPr>
                <w:rFonts w:ascii="Arial" w:cs="Arial" w:eastAsia="Arial" w:hAnsi="Arial"/>
                <w:sz w:val="15"/>
                <w:szCs w:val="15"/>
                <w:color w:val="auto"/>
              </w:rPr>
              <w:t>(1)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225,683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1"/>
              </w:rPr>
              <w:t>17.0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151,201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442,933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19.5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310,431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Cement</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70,584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37.2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(63,168)</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(59,371)</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510,519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19.4</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342,052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Mid-America Group</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511,867</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19.0</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342,052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r>
              <w:rPr>
                <w:rFonts w:ascii="Arial" w:cs="Arial" w:eastAsia="Arial" w:hAnsi="Arial"/>
                <w:sz w:val="18"/>
                <w:szCs w:val="18"/>
                <w:color w:val="auto"/>
              </w:rPr>
              <w:t>Net sales by product line for the Aggregates business are follows:</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93"/>
              </w:rPr>
              <w:t>Nine Months Ended</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3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September 30,</w:t>
            </w:r>
          </w:p>
        </w:tc>
        <w:tc>
          <w:tcPr>
            <w:tcW w:w="1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60" w:type="dxa"/>
            <w:vAlign w:val="bottom"/>
          </w:tcPr>
          <w:p>
            <w:pPr>
              <w:spacing w:after="0"/>
              <w:rPr>
                <w:sz w:val="19"/>
                <w:szCs w:val="19"/>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6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1420" w:type="dxa"/>
            <w:vAlign w:val="bottom"/>
          </w:tcPr>
          <w:p>
            <w:pPr>
              <w:spacing w:after="0"/>
              <w:rPr>
                <w:sz w:val="19"/>
                <w:szCs w:val="19"/>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Aggregates</w:t>
            </w:r>
          </w:p>
        </w:tc>
        <w:tc>
          <w:tcPr>
            <w:tcW w:w="1420" w:type="dxa"/>
            <w:vAlign w:val="bottom"/>
          </w:tcPr>
          <w:p>
            <w:pPr>
              <w:jc w:val="right"/>
              <w:ind w:right="1258"/>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1,453,702</w:t>
            </w:r>
          </w:p>
        </w:tc>
        <w:tc>
          <w:tcPr>
            <w:tcW w:w="11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1,343,821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Asphalt and Paving</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186,114</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Ready Mixed Concrete</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626,932</w:t>
            </w:r>
          </w:p>
        </w:tc>
        <w:tc>
          <w:tcPr>
            <w:tcW w:w="3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2,266,748</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Acquisitions:</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11,784</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Asphalt and Paving</w:t>
            </w:r>
          </w:p>
        </w:tc>
        <w:tc>
          <w:tcPr>
            <w:tcW w:w="1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2,418</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38,421</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Acquisitions</w:t>
            </w:r>
          </w:p>
        </w:tc>
        <w:tc>
          <w:tcPr>
            <w:tcW w:w="1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52,623</w:t>
            </w:r>
          </w:p>
        </w:tc>
        <w:tc>
          <w:tcPr>
            <w:tcW w:w="3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1420" w:type="dxa"/>
            <w:vAlign w:val="bottom"/>
            <w:tcBorders>
              <w:bottom w:val="single" w:sz="8" w:color="auto"/>
            </w:tcBorders>
            <w:shd w:val="clear" w:color="auto" w:fill="CFF0FC"/>
          </w:tcPr>
          <w:p>
            <w:pPr>
              <w:jc w:val="right"/>
              <w:ind w:right="125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2,319,371</w:t>
            </w:r>
          </w:p>
        </w:tc>
        <w:tc>
          <w:tcPr>
            <w:tcW w:w="3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2,003,383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volume and pricing data and shipments data for the aggregates product line.</w:t>
      </w:r>
    </w:p>
    <w:p>
      <w:pPr>
        <w:spacing w:after="0" w:line="108"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Nine Months Ended</w:t>
      </w:r>
    </w:p>
    <w:p>
      <w:pPr>
        <w:spacing w:after="0" w:line="28"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September 30,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Volume</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Pricing</w:t>
            </w:r>
          </w:p>
        </w:tc>
        <w:tc>
          <w:tcPr>
            <w:tcW w:w="160" w:type="dxa"/>
            <w:vAlign w:val="bottom"/>
            <w:tcBorders>
              <w:bottom w:val="single" w:sz="8" w:color="CFF0FC"/>
            </w:tcBorders>
          </w:tcPr>
          <w:p>
            <w:pPr>
              <w:spacing w:after="0"/>
              <w:rPr>
                <w:sz w:val="19"/>
                <w:szCs w:val="19"/>
                <w:color w:val="auto"/>
              </w:rPr>
            </w:pPr>
          </w:p>
        </w:tc>
      </w:tr>
      <w:tr>
        <w:trPr>
          <w:trHeight w:val="22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Volume/Pricing Variance </w:t>
            </w:r>
            <w:r>
              <w:rPr>
                <w:rFonts w:ascii="Arial" w:cs="Arial" w:eastAsia="Arial" w:hAnsi="Arial"/>
                <w:sz w:val="15"/>
                <w:szCs w:val="15"/>
                <w:color w:val="auto"/>
              </w:rPr>
              <w:t>(1)</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7"/>
        </w:trPr>
        <w:tc>
          <w:tcPr>
            <w:tcW w:w="8860" w:type="dxa"/>
            <w:vAlign w:val="bottom"/>
            <w:gridSpan w:val="2"/>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8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Mid-America Group</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7.0%</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r>
      <w:tr>
        <w:trPr>
          <w:trHeight w:val="227"/>
        </w:trPr>
        <w:tc>
          <w:tcPr>
            <w:tcW w:w="8860" w:type="dxa"/>
            <w:vAlign w:val="bottom"/>
            <w:gridSpan w:val="2"/>
          </w:tcPr>
          <w:p>
            <w:pPr>
              <w:ind w:left="240"/>
              <w:spacing w:after="0"/>
              <w:rPr>
                <w:sz w:val="20"/>
                <w:szCs w:val="20"/>
                <w:color w:val="auto"/>
              </w:rPr>
            </w:pPr>
            <w:r>
              <w:rPr>
                <w:rFonts w:ascii="Arial" w:cs="Arial" w:eastAsia="Arial" w:hAnsi="Arial"/>
                <w:sz w:val="18"/>
                <w:szCs w:val="18"/>
                <w:color w:val="auto"/>
              </w:rPr>
              <w:t>Southeast Group</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27"/>
        </w:trPr>
        <w:tc>
          <w:tcPr>
            <w:tcW w:w="8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West Group</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w:t>
            </w:r>
          </w:p>
        </w:tc>
      </w:tr>
      <w:tr>
        <w:trPr>
          <w:trHeight w:val="227"/>
        </w:trPr>
        <w:tc>
          <w:tcPr>
            <w:tcW w:w="8860" w:type="dxa"/>
            <w:vAlign w:val="bottom"/>
            <w:gridSpan w:val="2"/>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27"/>
        </w:trPr>
        <w:tc>
          <w:tcPr>
            <w:tcW w:w="8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(3)</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40" w:type="dxa"/>
            <w:vAlign w:val="bottom"/>
          </w:tcPr>
          <w:p>
            <w:pPr>
              <w:spacing w:after="0"/>
              <w:rPr>
                <w:sz w:val="19"/>
                <w:szCs w:val="19"/>
                <w:color w:val="auto"/>
              </w:rPr>
            </w:pPr>
          </w:p>
        </w:tc>
        <w:tc>
          <w:tcPr>
            <w:tcW w:w="2480" w:type="dxa"/>
            <w:vAlign w:val="bottom"/>
            <w:gridSpan w:val="3"/>
          </w:tcPr>
          <w:p>
            <w:pPr>
              <w:jc w:val="center"/>
              <w:ind w:left="888"/>
              <w:spacing w:after="0"/>
              <w:rPr>
                <w:sz w:val="20"/>
                <w:szCs w:val="20"/>
                <w:color w:val="auto"/>
              </w:rPr>
            </w:pPr>
            <w:r>
              <w:rPr>
                <w:rFonts w:ascii="Arial" w:cs="Arial" w:eastAsia="Arial" w:hAnsi="Arial"/>
                <w:sz w:val="18"/>
                <w:szCs w:val="18"/>
                <w:color w:val="auto"/>
                <w:w w:val="94"/>
              </w:rPr>
              <w:t>Nine Months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840" w:type="dxa"/>
            <w:vAlign w:val="bottom"/>
          </w:tcPr>
          <w:p>
            <w:pPr>
              <w:spacing w:after="0"/>
              <w:rPr>
                <w:sz w:val="20"/>
                <w:szCs w:val="20"/>
                <w:color w:val="auto"/>
              </w:rPr>
            </w:pPr>
          </w:p>
        </w:tc>
        <w:tc>
          <w:tcPr>
            <w:tcW w:w="248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8"/>
                <w:szCs w:val="18"/>
                <w:color w:val="auto"/>
                <w:w w:val="89"/>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1580" w:type="dxa"/>
            <w:vAlign w:val="bottom"/>
            <w:tcBorders>
              <w:bottom w:val="single" w:sz="8" w:color="auto"/>
            </w:tcBorders>
          </w:tcPr>
          <w:p>
            <w:pPr>
              <w:jc w:val="right"/>
              <w:ind w:right="508"/>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Shipments</w:t>
            </w:r>
          </w:p>
        </w:tc>
        <w:tc>
          <w:tcPr>
            <w:tcW w:w="3460" w:type="dxa"/>
            <w:vAlign w:val="bottom"/>
            <w:gridSpan w:val="4"/>
          </w:tcPr>
          <w:p>
            <w:pPr>
              <w:jc w:val="center"/>
              <w:spacing w:after="0"/>
              <w:rPr>
                <w:sz w:val="20"/>
                <w:szCs w:val="20"/>
                <w:color w:val="auto"/>
              </w:rPr>
            </w:pPr>
            <w:r>
              <w:rPr>
                <w:rFonts w:ascii="Arial" w:cs="Arial" w:eastAsia="Arial" w:hAnsi="Arial"/>
                <w:sz w:val="18"/>
                <w:szCs w:val="18"/>
                <w:i w:val="1"/>
                <w:iCs w:val="1"/>
                <w:color w:val="auto"/>
                <w:w w:val="90"/>
              </w:rPr>
              <w:t>(Tons 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tcPr>
          <w:p>
            <w:pPr>
              <w:ind w:left="240"/>
              <w:spacing w:after="0"/>
              <w:rPr>
                <w:sz w:val="20"/>
                <w:szCs w:val="20"/>
                <w:color w:val="auto"/>
              </w:rPr>
            </w:pPr>
            <w:r>
              <w:rPr>
                <w:rFonts w:ascii="Arial" w:cs="Arial" w:eastAsia="Arial" w:hAnsi="Arial"/>
                <w:sz w:val="18"/>
                <w:szCs w:val="18"/>
                <w:color w:val="auto"/>
              </w:rPr>
              <w:t>Mid-America Group</w:t>
            </w:r>
          </w:p>
        </w:tc>
        <w:tc>
          <w:tcPr>
            <w:tcW w:w="1580" w:type="dxa"/>
            <w:vAlign w:val="bottom"/>
          </w:tcPr>
          <w:p>
            <w:pPr>
              <w:jc w:val="right"/>
              <w:spacing w:after="0"/>
              <w:rPr>
                <w:sz w:val="20"/>
                <w:szCs w:val="20"/>
                <w:color w:val="auto"/>
              </w:rPr>
            </w:pPr>
            <w:r>
              <w:rPr>
                <w:rFonts w:ascii="Arial" w:cs="Arial" w:eastAsia="Arial" w:hAnsi="Arial"/>
                <w:sz w:val="18"/>
                <w:szCs w:val="18"/>
                <w:color w:val="auto"/>
              </w:rPr>
              <w:t>54,809</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Southeast Group</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West Group</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49,878</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119,489</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tcPr>
          <w:p>
            <w:pPr>
              <w:spacing w:after="0"/>
              <w:rPr>
                <w:sz w:val="20"/>
                <w:szCs w:val="20"/>
                <w:color w:val="auto"/>
              </w:rPr>
            </w:pPr>
            <w:r>
              <w:rPr>
                <w:rFonts w:ascii="Arial" w:cs="Arial" w:eastAsia="Arial" w:hAnsi="Arial"/>
                <w:sz w:val="18"/>
                <w:szCs w:val="18"/>
                <w:color w:val="auto"/>
              </w:rPr>
              <w:t>Acquisitions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(3)</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60" w:hanging="259"/>
        <w:spacing w:after="0"/>
        <w:tabs>
          <w:tab w:leader="none" w:pos="260" w:val="left"/>
        </w:tabs>
        <w:numPr>
          <w:ilvl w:val="0"/>
          <w:numId w:val="24"/>
        </w:numPr>
        <w:rPr>
          <w:rFonts w:ascii="Arial" w:cs="Arial" w:eastAsia="Arial" w:hAnsi="Arial"/>
          <w:sz w:val="14"/>
          <w:szCs w:val="14"/>
          <w:i w:val="1"/>
          <w:iCs w:val="1"/>
          <w:color w:val="auto"/>
        </w:rPr>
      </w:pPr>
      <w:r>
        <w:rPr>
          <w:rFonts w:ascii="Arial" w:cs="Arial" w:eastAsia="Arial" w:hAnsi="Arial"/>
          <w:sz w:val="17"/>
          <w:szCs w:val="17"/>
          <w:i w:val="1"/>
          <w:iCs w:val="1"/>
          <w:color w:val="auto"/>
        </w:rPr>
        <w:t>Volume/pricing variances reflect the percentage increase/(decrease) from the comparable period in the prior year.</w:t>
      </w:r>
    </w:p>
    <w:p>
      <w:pPr>
        <w:spacing w:after="0" w:line="18" w:lineRule="exact"/>
        <w:rPr>
          <w:rFonts w:ascii="Arial" w:cs="Arial" w:eastAsia="Arial" w:hAnsi="Arial"/>
          <w:sz w:val="14"/>
          <w:szCs w:val="14"/>
          <w:i w:val="1"/>
          <w:iCs w:val="1"/>
          <w:color w:val="auto"/>
        </w:rPr>
      </w:pPr>
    </w:p>
    <w:p>
      <w:pPr>
        <w:ind w:left="260" w:hanging="259"/>
        <w:spacing w:after="0" w:line="247" w:lineRule="auto"/>
        <w:tabs>
          <w:tab w:leader="none" w:pos="260" w:val="left"/>
        </w:tabs>
        <w:numPr>
          <w:ilvl w:val="0"/>
          <w:numId w:val="24"/>
        </w:numPr>
        <w:rPr>
          <w:rFonts w:ascii="Arial" w:cs="Arial" w:eastAsia="Arial" w:hAnsi="Arial"/>
          <w:sz w:val="14"/>
          <w:szCs w:val="14"/>
          <w:i w:val="1"/>
          <w:iCs w:val="1"/>
          <w:color w:val="auto"/>
        </w:rPr>
      </w:pPr>
      <w:r>
        <w:rPr>
          <w:rFonts w:ascii="Arial" w:cs="Arial" w:eastAsia="Arial" w:hAnsi="Arial"/>
          <w:sz w:val="17"/>
          <w:szCs w:val="17"/>
          <w:i w:val="1"/>
          <w:iCs w:val="1"/>
          <w:color w:val="auto"/>
        </w:rPr>
        <w:t>Heritage Aggregates Product Line and Heritage Aggregates Operations exclude volume and pricing data for acquisitions that have not been included in operations for a full year.</w:t>
      </w:r>
    </w:p>
    <w:p>
      <w:pPr>
        <w:spacing w:after="0" w:line="1" w:lineRule="exact"/>
        <w:rPr>
          <w:rFonts w:ascii="Arial" w:cs="Arial" w:eastAsia="Arial" w:hAnsi="Arial"/>
          <w:sz w:val="14"/>
          <w:szCs w:val="14"/>
          <w:i w:val="1"/>
          <w:iCs w:val="1"/>
          <w:color w:val="auto"/>
        </w:rPr>
      </w:pPr>
    </w:p>
    <w:p>
      <w:pPr>
        <w:ind w:left="260" w:hanging="259"/>
        <w:spacing w:after="0"/>
        <w:tabs>
          <w:tab w:leader="none" w:pos="260" w:val="left"/>
        </w:tabs>
        <w:numPr>
          <w:ilvl w:val="0"/>
          <w:numId w:val="24"/>
        </w:numPr>
        <w:rPr>
          <w:rFonts w:ascii="Arial" w:cs="Arial" w:eastAsia="Arial" w:hAnsi="Arial"/>
          <w:sz w:val="14"/>
          <w:szCs w:val="14"/>
          <w:i w:val="1"/>
          <w:iCs w:val="1"/>
          <w:color w:val="auto"/>
        </w:rPr>
      </w:pPr>
      <w:r>
        <w:rPr>
          <w:rFonts w:ascii="Arial" w:cs="Arial" w:eastAsia="Arial" w:hAnsi="Arial"/>
          <w:sz w:val="17"/>
          <w:szCs w:val="17"/>
          <w:i w:val="1"/>
          <w:iCs w:val="1"/>
          <w:color w:val="auto"/>
        </w:rPr>
        <w:t>Aggregates Product Line includes all acquisitions from the date of acquisition and divestitures through the date of disposal.</w:t>
      </w:r>
    </w:p>
    <w:p>
      <w:pPr>
        <w:spacing w:after="0" w:line="192"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Nine Months Ended</w:t>
      </w:r>
    </w:p>
    <w:p>
      <w:pPr>
        <w:spacing w:after="0" w:line="28"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Shipments</w:t>
            </w:r>
          </w:p>
        </w:tc>
        <w:tc>
          <w:tcPr>
            <w:tcW w:w="1600" w:type="dxa"/>
            <w:vAlign w:val="bottom"/>
            <w:gridSpan w:val="3"/>
          </w:tcPr>
          <w:p>
            <w:pPr>
              <w:ind w:left="60"/>
              <w:spacing w:after="0"/>
              <w:rPr>
                <w:sz w:val="20"/>
                <w:szCs w:val="20"/>
                <w:color w:val="auto"/>
              </w:rPr>
            </w:pPr>
            <w:r>
              <w:rPr>
                <w:rFonts w:ascii="Arial" w:cs="Arial" w:eastAsia="Arial" w:hAnsi="Arial"/>
                <w:sz w:val="18"/>
                <w:szCs w:val="18"/>
                <w:i w:val="1"/>
                <w:iCs w:val="1"/>
                <w:color w:val="auto"/>
                <w:w w:val="92"/>
              </w:rPr>
              <w:t>(Tons in Thousands)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tcPr>
          <w:p>
            <w:pPr>
              <w:ind w:left="220"/>
              <w:spacing w:after="0"/>
              <w:rPr>
                <w:sz w:val="20"/>
                <w:szCs w:val="20"/>
                <w:color w:val="auto"/>
              </w:rPr>
            </w:pPr>
            <w:r>
              <w:rPr>
                <w:rFonts w:ascii="Arial" w:cs="Arial" w:eastAsia="Arial" w:hAnsi="Arial"/>
                <w:sz w:val="18"/>
                <w:szCs w:val="18"/>
                <w:color w:val="auto"/>
              </w:rPr>
              <w:t>Tons to external customers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111,748</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480" w:type="dxa"/>
            <w:vAlign w:val="bottom"/>
            <w:gridSpan w:val="2"/>
          </w:tcPr>
          <w:p>
            <w:pPr>
              <w:spacing w:after="0"/>
              <w:rPr>
                <w:sz w:val="20"/>
                <w:szCs w:val="20"/>
                <w:color w:val="auto"/>
              </w:rPr>
            </w:pPr>
            <w:r>
              <w:rPr>
                <w:rFonts w:ascii="Arial" w:cs="Arial" w:eastAsia="Arial" w:hAnsi="Arial"/>
                <w:sz w:val="18"/>
                <w:szCs w:val="18"/>
                <w:color w:val="auto"/>
              </w:rPr>
              <w:t>Total heritage aggregates tons</w:t>
            </w:r>
          </w:p>
        </w:tc>
        <w:tc>
          <w:tcPr>
            <w:tcW w:w="1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119,489</w:t>
            </w:r>
          </w:p>
        </w:tc>
        <w:tc>
          <w:tcPr>
            <w:tcW w:w="3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118,297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6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 aggregates tons</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per-ton average selling price for the heritage aggregates product line was $12.85 and $11.90 for the nine months ended September 30, 2016 and 2015,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760" w:type="dxa"/>
            <w:vAlign w:val="bottom"/>
            <w:gridSpan w:val="9"/>
          </w:tcPr>
          <w:p>
            <w:pPr>
              <w:spacing w:after="0"/>
              <w:rPr>
                <w:sz w:val="20"/>
                <w:szCs w:val="20"/>
                <w:color w:val="auto"/>
              </w:rPr>
            </w:pPr>
            <w:r>
              <w:rPr>
                <w:rFonts w:ascii="Arial" w:cs="Arial" w:eastAsia="Arial" w:hAnsi="Arial"/>
                <w:sz w:val="18"/>
                <w:szCs w:val="18"/>
                <w:color w:val="auto"/>
              </w:rPr>
              <w:t>Average selling prices by product line for the Corporation’s aggregates-related downstream operations are as follows: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gridSpan w:val="6"/>
          </w:tcPr>
          <w:p>
            <w:pPr>
              <w:jc w:val="center"/>
              <w:ind w:right="8"/>
              <w:spacing w:after="0"/>
              <w:rPr>
                <w:sz w:val="20"/>
                <w:szCs w:val="20"/>
                <w:color w:val="auto"/>
              </w:rPr>
            </w:pPr>
            <w:r>
              <w:rPr>
                <w:rFonts w:ascii="Arial" w:cs="Arial" w:eastAsia="Arial" w:hAnsi="Arial"/>
                <w:sz w:val="18"/>
                <w:szCs w:val="18"/>
                <w:color w:val="auto"/>
                <w:w w:val="94"/>
              </w:rPr>
              <w:t>Nine Months Ended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1068"/>
              <w:spacing w:after="0"/>
              <w:rPr>
                <w:sz w:val="20"/>
                <w:szCs w:val="20"/>
                <w:color w:val="auto"/>
              </w:rPr>
            </w:pPr>
            <w:r>
              <w:rPr>
                <w:rFonts w:ascii="Arial" w:cs="Arial" w:eastAsia="Arial" w:hAnsi="Arial"/>
                <w:sz w:val="18"/>
                <w:szCs w:val="18"/>
                <w:color w:val="auto"/>
                <w:w w:val="89"/>
              </w:rPr>
              <w:t>September 30,</w:t>
            </w: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700" w:type="dxa"/>
            <w:vAlign w:val="bottom"/>
            <w:gridSpan w:val="2"/>
          </w:tcPr>
          <w:p>
            <w:pPr>
              <w:jc w:val="center"/>
              <w:ind w:left="388"/>
              <w:spacing w:after="0"/>
              <w:rPr>
                <w:sz w:val="20"/>
                <w:szCs w:val="20"/>
                <w:color w:val="auto"/>
              </w:rPr>
            </w:pPr>
            <w:r>
              <w:rPr>
                <w:rFonts w:ascii="Arial" w:cs="Arial" w:eastAsia="Arial" w:hAnsi="Arial"/>
                <w:sz w:val="18"/>
                <w:szCs w:val="18"/>
                <w:color w:val="auto"/>
                <w:w w:val="94"/>
              </w:rPr>
              <w:t>2016</w:t>
            </w:r>
          </w:p>
        </w:tc>
        <w:tc>
          <w:tcPr>
            <w:tcW w:w="2260" w:type="dxa"/>
            <w:vAlign w:val="bottom"/>
            <w:gridSpan w:val="5"/>
          </w:tcPr>
          <w:p>
            <w:pPr>
              <w:jc w:val="center"/>
              <w:ind w:left="1168"/>
              <w:spacing w:after="0"/>
              <w:rPr>
                <w:sz w:val="20"/>
                <w:szCs w:val="20"/>
                <w:color w:val="auto"/>
              </w:rPr>
            </w:pPr>
            <w:r>
              <w:rPr>
                <w:rFonts w:ascii="Arial" w:cs="Arial" w:eastAsia="Arial" w:hAnsi="Arial"/>
                <w:sz w:val="18"/>
                <w:szCs w:val="18"/>
                <w:color w:val="auto"/>
                <w:w w:val="89"/>
              </w:rPr>
              <w:t>2015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Heritage:</w:t>
            </w:r>
          </w:p>
        </w:tc>
        <w:tc>
          <w:tcPr>
            <w:tcW w:w="6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Asphalt</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right="68"/>
              <w:spacing w:after="0"/>
              <w:rPr>
                <w:sz w:val="20"/>
                <w:szCs w:val="20"/>
                <w:color w:val="auto"/>
              </w:rPr>
            </w:pPr>
            <w:r>
              <w:rPr>
                <w:rFonts w:ascii="Arial" w:cs="Arial" w:eastAsia="Arial" w:hAnsi="Arial"/>
                <w:sz w:val="18"/>
                <w:szCs w:val="18"/>
                <w:color w:val="auto"/>
                <w:w w:val="91"/>
              </w:rPr>
              <w:t>$38.71/ton</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48"/>
              <w:spacing w:after="0"/>
              <w:rPr>
                <w:sz w:val="20"/>
                <w:szCs w:val="20"/>
                <w:color w:val="auto"/>
              </w:rPr>
            </w:pPr>
            <w:r>
              <w:rPr>
                <w:rFonts w:ascii="Arial" w:cs="Arial" w:eastAsia="Arial" w:hAnsi="Arial"/>
                <w:sz w:val="18"/>
                <w:szCs w:val="18"/>
                <w:color w:val="auto"/>
                <w:w w:val="93"/>
              </w:rPr>
              <w:t>$42.80/ton</w:t>
            </w: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Ready Mixed Concrete</w:t>
            </w:r>
          </w:p>
        </w:tc>
        <w:tc>
          <w:tcPr>
            <w:tcW w:w="640" w:type="dxa"/>
            <w:vAlign w:val="bottom"/>
          </w:tcPr>
          <w:p>
            <w:pPr>
              <w:spacing w:after="0"/>
              <w:rPr>
                <w:sz w:val="19"/>
                <w:szCs w:val="19"/>
                <w:color w:val="auto"/>
              </w:rPr>
            </w:pPr>
          </w:p>
        </w:tc>
        <w:tc>
          <w:tcPr>
            <w:tcW w:w="1060" w:type="dxa"/>
            <w:vAlign w:val="bottom"/>
          </w:tcPr>
          <w:p>
            <w:pPr>
              <w:jc w:val="center"/>
              <w:ind w:right="68"/>
              <w:spacing w:after="0"/>
              <w:rPr>
                <w:sz w:val="20"/>
                <w:szCs w:val="20"/>
                <w:color w:val="auto"/>
              </w:rPr>
            </w:pPr>
            <w:r>
              <w:rPr>
                <w:rFonts w:ascii="Arial" w:cs="Arial" w:eastAsia="Arial" w:hAnsi="Arial"/>
                <w:sz w:val="18"/>
                <w:szCs w:val="18"/>
                <w:color w:val="auto"/>
                <w:w w:val="94"/>
              </w:rPr>
              <w:t>$104.25/yd³</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center"/>
              <w:ind w:left="148"/>
              <w:spacing w:after="0"/>
              <w:rPr>
                <w:sz w:val="20"/>
                <w:szCs w:val="20"/>
                <w:color w:val="auto"/>
              </w:rPr>
            </w:pPr>
            <w:r>
              <w:rPr>
                <w:rFonts w:ascii="Arial" w:cs="Arial" w:eastAsia="Arial" w:hAnsi="Arial"/>
                <w:sz w:val="18"/>
                <w:szCs w:val="18"/>
                <w:color w:val="auto"/>
                <w:w w:val="94"/>
              </w:rPr>
              <w:t>$94.27/yd³</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Acquisitions:</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Asphalt</w:t>
            </w:r>
          </w:p>
        </w:tc>
        <w:tc>
          <w:tcPr>
            <w:tcW w:w="640" w:type="dxa"/>
            <w:vAlign w:val="bottom"/>
          </w:tcPr>
          <w:p>
            <w:pPr>
              <w:spacing w:after="0"/>
              <w:rPr>
                <w:sz w:val="19"/>
                <w:szCs w:val="19"/>
                <w:color w:val="auto"/>
              </w:rPr>
            </w:pPr>
          </w:p>
        </w:tc>
        <w:tc>
          <w:tcPr>
            <w:tcW w:w="1060" w:type="dxa"/>
            <w:vAlign w:val="bottom"/>
          </w:tcPr>
          <w:p>
            <w:pPr>
              <w:jc w:val="center"/>
              <w:ind w:right="68"/>
              <w:spacing w:after="0"/>
              <w:rPr>
                <w:sz w:val="20"/>
                <w:szCs w:val="20"/>
                <w:color w:val="auto"/>
              </w:rPr>
            </w:pPr>
            <w:r>
              <w:rPr>
                <w:rFonts w:ascii="Arial" w:cs="Arial" w:eastAsia="Arial" w:hAnsi="Arial"/>
                <w:sz w:val="18"/>
                <w:szCs w:val="18"/>
                <w:color w:val="auto"/>
                <w:w w:val="91"/>
              </w:rPr>
              <w:t>$44.03/ton</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Ready Mixed Concrete</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right="68"/>
              <w:spacing w:after="0"/>
              <w:rPr>
                <w:sz w:val="20"/>
                <w:szCs w:val="20"/>
                <w:color w:val="auto"/>
              </w:rPr>
            </w:pPr>
            <w:r>
              <w:rPr>
                <w:rFonts w:ascii="Arial" w:cs="Arial" w:eastAsia="Arial" w:hAnsi="Arial"/>
                <w:sz w:val="18"/>
                <w:szCs w:val="18"/>
                <w:color w:val="auto"/>
                <w:w w:val="94"/>
              </w:rPr>
              <w:t>$101.01/yd³</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500" w:type="dxa"/>
            <w:vAlign w:val="bottom"/>
            <w:gridSpan w:val="4"/>
          </w:tcPr>
          <w:p>
            <w:pPr>
              <w:spacing w:after="0"/>
              <w:rPr>
                <w:sz w:val="20"/>
                <w:szCs w:val="20"/>
                <w:color w:val="auto"/>
              </w:rPr>
            </w:pPr>
            <w:r>
              <w:rPr>
                <w:rFonts w:ascii="Arial" w:cs="Arial" w:eastAsia="Arial" w:hAnsi="Arial"/>
                <w:sz w:val="18"/>
                <w:szCs w:val="18"/>
                <w:color w:val="auto"/>
                <w:w w:val="96"/>
              </w:rPr>
              <w:t>Unit shipments by product line for the Corporation’s aggregates-related downstream operations are as follows: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gridSpan w:val="5"/>
          </w:tcPr>
          <w:p>
            <w:pPr>
              <w:jc w:val="center"/>
              <w:ind w:right="448"/>
              <w:spacing w:after="0"/>
              <w:rPr>
                <w:sz w:val="20"/>
                <w:szCs w:val="20"/>
                <w:color w:val="auto"/>
              </w:rPr>
            </w:pPr>
            <w:r>
              <w:rPr>
                <w:rFonts w:ascii="Arial" w:cs="Arial" w:eastAsia="Arial" w:hAnsi="Arial"/>
                <w:sz w:val="18"/>
                <w:szCs w:val="18"/>
                <w:color w:val="auto"/>
                <w:w w:val="93"/>
              </w:rPr>
              <w:t>Nine Months Ended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428"/>
              <w:spacing w:after="0"/>
              <w:rPr>
                <w:sz w:val="20"/>
                <w:szCs w:val="20"/>
                <w:color w:val="auto"/>
              </w:rPr>
            </w:pPr>
            <w:r>
              <w:rPr>
                <w:rFonts w:ascii="Arial" w:cs="Arial" w:eastAsia="Arial" w:hAnsi="Arial"/>
                <w:sz w:val="18"/>
                <w:szCs w:val="18"/>
                <w:color w:val="auto"/>
                <w:w w:val="89"/>
              </w:rPr>
              <w:t>September 30,</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2016</w:t>
            </w:r>
          </w:p>
        </w:tc>
        <w:tc>
          <w:tcPr>
            <w:tcW w:w="2260" w:type="dxa"/>
            <w:vAlign w:val="bottom"/>
            <w:gridSpan w:val="5"/>
          </w:tcPr>
          <w:p>
            <w:pPr>
              <w:ind w:left="172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Asphalt Product Line (in thousands):</w:t>
            </w:r>
          </w:p>
        </w:tc>
        <w:tc>
          <w:tcPr>
            <w:tcW w:w="6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Tons to external customers</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6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800" w:type="dxa"/>
            <w:vAlign w:val="bottom"/>
            <w:gridSpan w:val="2"/>
          </w:tcPr>
          <w:p>
            <w:pPr>
              <w:spacing w:after="0"/>
              <w:rPr>
                <w:sz w:val="20"/>
                <w:szCs w:val="20"/>
                <w:color w:val="auto"/>
              </w:rPr>
            </w:pPr>
            <w:r>
              <w:rPr>
                <w:rFonts w:ascii="Arial" w:cs="Arial" w:eastAsia="Arial" w:hAnsi="Arial"/>
                <w:sz w:val="18"/>
                <w:szCs w:val="18"/>
                <w:color w:val="auto"/>
              </w:rPr>
              <w:t>Total heritage asphalt tons</w:t>
            </w:r>
          </w:p>
        </w:tc>
        <w:tc>
          <w:tcPr>
            <w:tcW w:w="64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Acquisitions:</w:t>
            </w:r>
          </w:p>
        </w:tc>
        <w:tc>
          <w:tcPr>
            <w:tcW w:w="6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Tons to external customers</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6800" w:type="dxa"/>
            <w:vAlign w:val="bottom"/>
            <w:gridSpan w:val="2"/>
          </w:tcPr>
          <w:p>
            <w:pPr>
              <w:spacing w:after="0"/>
              <w:rPr>
                <w:sz w:val="20"/>
                <w:szCs w:val="20"/>
                <w:color w:val="auto"/>
              </w:rPr>
            </w:pPr>
            <w:r>
              <w:rPr>
                <w:rFonts w:ascii="Arial" w:cs="Arial" w:eastAsia="Arial" w:hAnsi="Arial"/>
                <w:sz w:val="18"/>
                <w:szCs w:val="18"/>
                <w:color w:val="auto"/>
              </w:rPr>
              <w:t>Total acquisitions asphalt tons</w:t>
            </w:r>
          </w:p>
        </w:tc>
        <w:tc>
          <w:tcPr>
            <w:tcW w:w="64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78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Ready Mixed Concrete (in thousands of cubic yards):</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Heritage</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5,893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cubic yards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Cement shipments and adjusted average-selling price per ton for the nine months ended September 30, 2016 and 2015 were (tons in thousands):</w:t>
      </w:r>
    </w:p>
    <w:p>
      <w:pPr>
        <w:spacing w:after="0" w:line="3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rPr>
              <w:t>2016</w:t>
            </w:r>
          </w:p>
        </w:tc>
        <w:tc>
          <w:tcPr>
            <w:tcW w:w="6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00" w:type="dxa"/>
            <w:vAlign w:val="bottom"/>
            <w:gridSpan w:val="2"/>
          </w:tcPr>
          <w:p>
            <w:pPr>
              <w:spacing w:after="0"/>
              <w:rPr>
                <w:sz w:val="20"/>
                <w:szCs w:val="20"/>
                <w:color w:val="auto"/>
              </w:rPr>
            </w:pPr>
            <w:r>
              <w:rPr>
                <w:rFonts w:ascii="Arial" w:cs="Arial" w:eastAsia="Arial" w:hAnsi="Arial"/>
                <w:sz w:val="18"/>
                <w:szCs w:val="18"/>
                <w:color w:val="auto"/>
              </w:rPr>
              <w:t>Tons to external customers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1,837</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Internal tons used in other product lines</w:t>
            </w:r>
          </w:p>
        </w:tc>
        <w:tc>
          <w:tcPr>
            <w:tcW w:w="1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Total cement tons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2,716</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Less: California cement tons</w:t>
            </w:r>
          </w:p>
        </w:tc>
        <w:tc>
          <w:tcPr>
            <w:tcW w:w="1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900" w:type="dxa"/>
            <w:vAlign w:val="bottom"/>
            <w:gridSpan w:val="2"/>
          </w:tcPr>
          <w:p>
            <w:pPr>
              <w:spacing w:after="0"/>
              <w:rPr>
                <w:sz w:val="20"/>
                <w:szCs w:val="20"/>
                <w:color w:val="auto"/>
              </w:rPr>
            </w:pPr>
            <w:r>
              <w:rPr>
                <w:rFonts w:ascii="Arial" w:cs="Arial" w:eastAsia="Arial" w:hAnsi="Arial"/>
                <w:sz w:val="18"/>
                <w:szCs w:val="18"/>
                <w:color w:val="auto"/>
              </w:rPr>
              <w:t>Adjusted cement tons</w:t>
            </w:r>
          </w:p>
        </w:tc>
        <w:tc>
          <w:tcPr>
            <w:tcW w:w="1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36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8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Adjusted average-selling price per ton</w:t>
            </w:r>
            <w:r>
              <w:rPr>
                <w:rFonts w:ascii="Arial" w:cs="Arial" w:eastAsia="Arial" w:hAnsi="Arial"/>
                <w:sz w:val="15"/>
                <w:szCs w:val="15"/>
                <w:color w:val="auto"/>
              </w:rPr>
              <w:t>1</w:t>
            </w:r>
          </w:p>
        </w:tc>
        <w:tc>
          <w:tcPr>
            <w:tcW w:w="1360" w:type="dxa"/>
            <w:vAlign w:val="bottom"/>
          </w:tcPr>
          <w:p>
            <w:pPr>
              <w:jc w:val="right"/>
              <w:ind w:right="116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101.37</w:t>
            </w:r>
          </w:p>
        </w:tc>
        <w:tc>
          <w:tcPr>
            <w:tcW w:w="360" w:type="dxa"/>
            <w:vAlign w:val="bottom"/>
          </w:tcPr>
          <w:p>
            <w:pPr>
              <w:spacing w:after="0"/>
              <w:rPr>
                <w:sz w:val="20"/>
                <w:szCs w:val="20"/>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-4445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00" w:hanging="99"/>
        <w:spacing w:after="0"/>
        <w:tabs>
          <w:tab w:leader="none" w:pos="100" w:val="left"/>
        </w:tabs>
        <w:numPr>
          <w:ilvl w:val="0"/>
          <w:numId w:val="25"/>
        </w:numPr>
        <w:rPr>
          <w:rFonts w:ascii="Arial" w:cs="Arial" w:eastAsia="Arial" w:hAnsi="Arial"/>
          <w:sz w:val="14"/>
          <w:szCs w:val="14"/>
          <w:i w:val="1"/>
          <w:iCs w:val="1"/>
          <w:color w:val="auto"/>
        </w:rPr>
      </w:pPr>
      <w:r>
        <w:rPr>
          <w:rFonts w:ascii="Arial" w:cs="Arial" w:eastAsia="Arial" w:hAnsi="Arial"/>
          <w:sz w:val="17"/>
          <w:szCs w:val="17"/>
          <w:i w:val="1"/>
          <w:iCs w:val="1"/>
          <w:color w:val="auto"/>
        </w:rPr>
        <w:t>Excludes the impact of the divested California cement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-123825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2016, Magnesia Specialties reported net sales of $178.6 million compared with $176.5 million. Earnings from operations were $60.2 million compared with $53.5 million, an increase of 340 basis points. The increase in earnings from operations was primarily attributable to lower production costs, specifically related to energy and maintenance expenses.</w:t>
      </w:r>
    </w:p>
    <w:p>
      <w:pPr>
        <w:spacing w:after="0" w:line="16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Consolidated gross margin (excluding freight and delivery revenues) was 25.4% for 2016 versus 21.6% for 2015. The following presents a rollforward of the Corporation’s gross profit (dollars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Consolidated gross profit, nine months ended September 30, 2015</w:t>
            </w:r>
          </w:p>
        </w:tc>
        <w:tc>
          <w:tcPr>
            <w:tcW w:w="700" w:type="dxa"/>
            <w:vAlign w:val="bottom"/>
            <w:gridSpan w:val="2"/>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536,918</w:t>
            </w:r>
          </w:p>
        </w:tc>
        <w:tc>
          <w:tcPr>
            <w:tcW w:w="100" w:type="dxa"/>
            <w:vAlign w:val="bottom"/>
            <w:shd w:val="clear" w:color="auto" w:fill="CFF0FC"/>
          </w:tcPr>
          <w:p>
            <w:pPr>
              <w:spacing w:after="0"/>
              <w:rPr>
                <w:sz w:val="19"/>
                <w:szCs w:val="19"/>
                <w:color w:val="auto"/>
              </w:rPr>
            </w:pPr>
          </w:p>
        </w:tc>
      </w:tr>
      <w:tr>
        <w:trPr>
          <w:trHeight w:val="220"/>
        </w:trPr>
        <w:tc>
          <w:tcPr>
            <w:tcW w:w="9400" w:type="dxa"/>
            <w:vAlign w:val="bottom"/>
          </w:tcPr>
          <w:p>
            <w:pPr>
              <w:spacing w:after="0"/>
              <w:rPr>
                <w:sz w:val="20"/>
                <w:szCs w:val="20"/>
                <w:color w:val="auto"/>
              </w:rPr>
            </w:pPr>
            <w:r>
              <w:rPr>
                <w:rFonts w:ascii="Arial" w:cs="Arial" w:eastAsia="Arial" w:hAnsi="Arial"/>
                <w:sz w:val="18"/>
                <w:szCs w:val="18"/>
                <w:color w:val="auto"/>
              </w:rPr>
              <w:t>Heritage aggregates product line:</w:t>
            </w: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Volume</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40"/>
              <w:spacing w:after="0"/>
              <w:rPr>
                <w:sz w:val="20"/>
                <w:szCs w:val="20"/>
                <w:color w:val="auto"/>
              </w:rPr>
            </w:pPr>
            <w:r>
              <w:rPr>
                <w:rFonts w:ascii="Arial" w:cs="Arial" w:eastAsia="Arial" w:hAnsi="Arial"/>
                <w:sz w:val="18"/>
                <w:szCs w:val="18"/>
                <w:color w:val="auto"/>
              </w:rPr>
              <w:t>Pricing</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113,669</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increases, net</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(48,851)</w:t>
            </w:r>
          </w:p>
        </w:tc>
      </w:tr>
      <w:tr>
        <w:trPr>
          <w:trHeight w:val="220"/>
        </w:trPr>
        <w:tc>
          <w:tcPr>
            <w:tcW w:w="9400" w:type="dxa"/>
            <w:vAlign w:val="bottom"/>
          </w:tcPr>
          <w:p>
            <w:pPr>
              <w:spacing w:after="0"/>
              <w:rPr>
                <w:sz w:val="20"/>
                <w:szCs w:val="20"/>
                <w:color w:val="auto"/>
              </w:rPr>
            </w:pPr>
            <w:r>
              <w:rPr>
                <w:rFonts w:ascii="Arial" w:cs="Arial" w:eastAsia="Arial" w:hAnsi="Arial"/>
                <w:sz w:val="18"/>
                <w:szCs w:val="18"/>
                <w:color w:val="auto"/>
              </w:rPr>
              <w:t>Change in heritage aggregates product line gross profit</w:t>
            </w: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75,885</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Change in gross profit:</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40"/>
              <w:spacing w:after="0"/>
              <w:rPr>
                <w:sz w:val="20"/>
                <w:szCs w:val="20"/>
                <w:color w:val="auto"/>
              </w:rPr>
            </w:pPr>
            <w:r>
              <w:rPr>
                <w:rFonts w:ascii="Arial" w:cs="Arial" w:eastAsia="Arial" w:hAnsi="Arial"/>
                <w:sz w:val="18"/>
                <w:szCs w:val="18"/>
                <w:color w:val="auto"/>
              </w:rPr>
              <w:t>Heritage aggregates-related downstream product lines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55,460</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Acquired aggregates business operations</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40"/>
              <w:spacing w:after="0"/>
              <w:rPr>
                <w:sz w:val="20"/>
                <w:szCs w:val="20"/>
                <w:color w:val="auto"/>
              </w:rPr>
            </w:pPr>
            <w:r>
              <w:rPr>
                <w:rFonts w:ascii="Arial" w:cs="Arial" w:eastAsia="Arial" w:hAnsi="Arial"/>
                <w:sz w:val="18"/>
                <w:szCs w:val="18"/>
                <w:color w:val="auto"/>
              </w:rPr>
              <w:t>Cement</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r>
      <w:tr>
        <w:trPr>
          <w:trHeight w:val="227"/>
        </w:trPr>
        <w:tc>
          <w:tcPr>
            <w:tcW w:w="9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Magnesia Specialties</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6,679</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100" w:type="dxa"/>
            <w:vAlign w:val="bottom"/>
            <w:tcBorders>
              <w:bottom w:val="single" w:sz="8" w:color="CFF0FC"/>
            </w:tcBorders>
          </w:tcPr>
          <w:p>
            <w:pPr>
              <w:spacing w:after="0"/>
              <w:rPr>
                <w:sz w:val="19"/>
                <w:szCs w:val="19"/>
                <w:color w:val="auto"/>
              </w:rPr>
            </w:pPr>
          </w:p>
        </w:tc>
      </w:tr>
      <w:tr>
        <w:trPr>
          <w:trHeight w:val="22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Change in consolidated gross profit</w:t>
            </w: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146,985</w:t>
            </w:r>
          </w:p>
        </w:tc>
        <w:tc>
          <w:tcPr>
            <w:tcW w:w="100" w:type="dxa"/>
            <w:vAlign w:val="bottom"/>
            <w:shd w:val="clear" w:color="auto" w:fill="CFF0FC"/>
          </w:tcPr>
          <w:p>
            <w:pPr>
              <w:spacing w:after="0"/>
              <w:rPr>
                <w:sz w:val="19"/>
                <w:szCs w:val="19"/>
                <w:color w:val="auto"/>
              </w:rPr>
            </w:pPr>
          </w:p>
        </w:tc>
      </w:tr>
      <w:tr>
        <w:trPr>
          <w:trHeight w:val="220"/>
        </w:trPr>
        <w:tc>
          <w:tcPr>
            <w:tcW w:w="9400" w:type="dxa"/>
            <w:vAlign w:val="bottom"/>
          </w:tcPr>
          <w:p>
            <w:pPr>
              <w:spacing w:after="0"/>
              <w:rPr>
                <w:sz w:val="20"/>
                <w:szCs w:val="20"/>
                <w:color w:val="auto"/>
              </w:rPr>
            </w:pPr>
            <w:r>
              <w:rPr>
                <w:rFonts w:ascii="Arial" w:cs="Arial" w:eastAsia="Arial" w:hAnsi="Arial"/>
                <w:sz w:val="18"/>
                <w:szCs w:val="18"/>
                <w:color w:val="auto"/>
              </w:rPr>
              <w:t>Consolidated gross profit, nine months ended September 30, 2016</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683,903</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 w:lineRule="exact"/>
        <w:rPr>
          <w:sz w:val="20"/>
          <w:szCs w:val="20"/>
          <w:color w:val="auto"/>
        </w:rPr>
      </w:pPr>
    </w:p>
    <w:p>
      <w:pPr>
        <w:ind w:left="5200" w:right="1900" w:hanging="5201"/>
        <w:spacing w:after="0" w:line="522" w:lineRule="auto"/>
        <w:rPr>
          <w:sz w:val="20"/>
          <w:szCs w:val="20"/>
          <w:color w:val="auto"/>
        </w:rPr>
      </w:pPr>
      <w:r>
        <w:rPr>
          <w:rFonts w:ascii="Arial" w:cs="Arial" w:eastAsia="Arial" w:hAnsi="Arial"/>
          <w:sz w:val="14"/>
          <w:szCs w:val="14"/>
          <w:i w:val="1"/>
          <w:iCs w:val="1"/>
          <w:color w:val="auto"/>
        </w:rPr>
        <w:t>1</w:t>
      </w:r>
      <w:r>
        <w:rPr>
          <w:rFonts w:ascii="Arial" w:cs="Arial" w:eastAsia="Arial" w:hAnsi="Arial"/>
          <w:sz w:val="16"/>
          <w:szCs w:val="16"/>
          <w:i w:val="1"/>
          <w:iCs w:val="1"/>
          <w:color w:val="auto"/>
        </w:rPr>
        <w:t>Includes impact of California cement operations. Excluding California cement operations, gross profit would have increased by $1,326,000.</w:t>
      </w:r>
      <w:r>
        <w:rPr>
          <w:rFonts w:ascii="Arial" w:cs="Arial" w:eastAsia="Arial" w:hAnsi="Arial"/>
          <w:sz w:val="14"/>
          <w:szCs w:val="14"/>
          <w:i w:val="1"/>
          <w:iCs w:val="1"/>
          <w:color w:val="auto"/>
        </w:rPr>
        <w:t xml:space="preserve"> </w:t>
      </w:r>
      <w:r>
        <w:rPr>
          <w:rFonts w:ascii="Arial" w:cs="Arial" w:eastAsia="Arial" w:hAnsi="Arial"/>
          <w:sz w:val="18"/>
          <w:szCs w:val="18"/>
          <w:color w:val="auto"/>
        </w:rPr>
        <w:t>Page 47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72967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gridSpan w:val="2"/>
          </w:tcPr>
          <w:p>
            <w:pPr>
              <w:spacing w:after="0"/>
              <w:rPr>
                <w:sz w:val="20"/>
                <w:szCs w:val="20"/>
                <w:color w:val="auto"/>
              </w:rPr>
            </w:pPr>
            <w:r>
              <w:rPr>
                <w:rFonts w:ascii="Arial" w:cs="Arial" w:eastAsia="Arial" w:hAnsi="Arial"/>
                <w:sz w:val="18"/>
                <w:szCs w:val="18"/>
                <w:color w:val="auto"/>
              </w:rPr>
              <w:t>Gross profit (loss) by business is as follows:</w:t>
            </w:r>
          </w:p>
        </w:tc>
        <w:tc>
          <w:tcPr>
            <w:tcW w:w="1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Nine Months Ended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4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00" w:type="dxa"/>
            <w:vAlign w:val="bottom"/>
            <w:gridSpan w:val="3"/>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September 30,</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6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00" w:type="dxa"/>
            <w:vAlign w:val="bottom"/>
            <w:vMerge w:val="restart"/>
          </w:tcPr>
          <w:p>
            <w:pPr>
              <w:spacing w:after="0"/>
              <w:rPr>
                <w:sz w:val="20"/>
                <w:szCs w:val="20"/>
                <w:color w:val="auto"/>
              </w:rPr>
            </w:pPr>
            <w:r>
              <w:rPr>
                <w:rFonts w:ascii="Arial" w:cs="Arial" w:eastAsia="Arial" w:hAnsi="Arial"/>
                <w:sz w:val="18"/>
                <w:szCs w:val="18"/>
                <w:color w:val="auto"/>
                <w:w w:val="93"/>
              </w:rPr>
              <w:t>Gross profit (loss):</w:t>
            </w:r>
          </w:p>
        </w:tc>
        <w:tc>
          <w:tcPr>
            <w:tcW w:w="3240" w:type="dxa"/>
            <w:vAlign w:val="bottom"/>
            <w:vMerge w:val="restart"/>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Heritage:</w:t>
            </w:r>
          </w:p>
        </w:tc>
        <w:tc>
          <w:tcPr>
            <w:tcW w:w="13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460"/>
              <w:spacing w:after="0"/>
              <w:rPr>
                <w:sz w:val="20"/>
                <w:szCs w:val="20"/>
                <w:color w:val="auto"/>
              </w:rPr>
            </w:pPr>
            <w:r>
              <w:rPr>
                <w:rFonts w:ascii="Arial" w:cs="Arial" w:eastAsia="Arial" w:hAnsi="Arial"/>
                <w:sz w:val="18"/>
                <w:szCs w:val="18"/>
                <w:color w:val="auto"/>
              </w:rPr>
              <w:t>Aggregates</w:t>
            </w:r>
          </w:p>
        </w:tc>
        <w:tc>
          <w:tcPr>
            <w:tcW w:w="2960" w:type="dxa"/>
            <w:vAlign w:val="bottom"/>
            <w:gridSpan w:val="2"/>
          </w:tcPr>
          <w:p>
            <w:pPr>
              <w:jc w:val="right"/>
              <w:ind w:right="141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420,742</w:t>
            </w:r>
          </w:p>
        </w:tc>
        <w:tc>
          <w:tcPr>
            <w:tcW w:w="400" w:type="dxa"/>
            <w:vAlign w:val="bottom"/>
          </w:tcPr>
          <w:p>
            <w:pPr>
              <w:spacing w:after="0"/>
              <w:rPr>
                <w:sz w:val="19"/>
                <w:szCs w:val="19"/>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344,857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Asphalt and Paving</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36,728</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Ready Mixed Concrete</w:t>
            </w:r>
          </w:p>
        </w:tc>
        <w:tc>
          <w:tcPr>
            <w:tcW w:w="13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78,886</w:t>
            </w:r>
          </w:p>
        </w:tc>
        <w:tc>
          <w:tcPr>
            <w:tcW w:w="4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Total Aggregates Business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536,356</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Cement</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86,283</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Magnesia Specialties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67,472</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(8,604)</w:t>
            </w:r>
          </w:p>
        </w:tc>
        <w:tc>
          <w:tcPr>
            <w:tcW w:w="84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20"/>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13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681,507</w:t>
            </w:r>
          </w:p>
        </w:tc>
        <w:tc>
          <w:tcPr>
            <w:tcW w:w="4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(2,314)</w:t>
            </w:r>
          </w:p>
        </w:tc>
        <w:tc>
          <w:tcPr>
            <w:tcW w:w="8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Asphalt and Paving</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Acquisitions</w:t>
            </w:r>
          </w:p>
        </w:tc>
        <w:tc>
          <w:tcPr>
            <w:tcW w:w="1380" w:type="dxa"/>
            <w:vAlign w:val="bottom"/>
            <w:tcBorders>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4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41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683,903</w:t>
            </w:r>
          </w:p>
        </w:tc>
        <w:tc>
          <w:tcPr>
            <w:tcW w:w="4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Consolidated SG&amp;A expenses were 6.6% of net sales, up 10 basis points compared with the prior-year period, driven by higher incentive compensation, including share based compensation.</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For the first nine months, consolidated other operating income and expenses, net, was income of $7.9 million in 2016 compared with expense of $28.0 million in 2015. Income in 2016 reflects a favorable settlement of commodity contracts assumed in a 2014 acquisition in the Cement business that were priced above market at that date. In 2015, the Corporation recognized a net loss on the disposal of the California cement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other offsetting amounts, other nonoperating income and expenses, net, are comprised generally of interest income and net equity earnings from nonconsolidated investments. Consolidated other nonoperating income and expenses, net, for the nine months ended September 30, 2016 was income of $19.7 million compared with income of $6.6 million in 2015, primarily driven by a net gain recognized on the purchase of the remaining interest in a joint venture and higher earnings from nonconsolidated equity investees.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operating activities for the nine months ended September 30, 2016 was $414.1 million compared with $319.6 million for the same period in 2015. The increase was primarily attributable to higher earnings before depreciation, depletion and amortization expense. Operating cash flow is primarily derived from consolidated net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earnings before deducting depreciation, depletion and amortization, and the impact of changes in working capital. Depreciation, depletion and amortization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3"/>
          </w:tcPr>
          <w:p>
            <w:pPr>
              <w:jc w:val="center"/>
              <w:ind w:left="528"/>
              <w:spacing w:after="0"/>
              <w:rPr>
                <w:sz w:val="20"/>
                <w:szCs w:val="20"/>
                <w:color w:val="auto"/>
              </w:rPr>
            </w:pPr>
            <w:r>
              <w:rPr>
                <w:rFonts w:ascii="Arial" w:cs="Arial" w:eastAsia="Arial" w:hAnsi="Arial"/>
                <w:sz w:val="18"/>
                <w:szCs w:val="18"/>
                <w:color w:val="auto"/>
                <w:w w:val="94"/>
              </w:rPr>
              <w:t>Nine Months Ended</w:t>
            </w:r>
          </w:p>
        </w:tc>
        <w:tc>
          <w:tcPr>
            <w:tcW w:w="1100" w:type="dxa"/>
            <w:vAlign w:val="bottom"/>
          </w:tcPr>
          <w:p>
            <w:pPr>
              <w:spacing w:after="0"/>
              <w:rPr>
                <w:sz w:val="19"/>
                <w:szCs w:val="19"/>
                <w:color w:val="auto"/>
              </w:rPr>
            </w:pPr>
          </w:p>
        </w:tc>
      </w:tr>
      <w:tr>
        <w:trPr>
          <w:trHeight w:val="231"/>
        </w:trPr>
        <w:tc>
          <w:tcPr>
            <w:tcW w:w="7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September 30,</w:t>
            </w:r>
          </w:p>
        </w:tc>
        <w:tc>
          <w:tcPr>
            <w:tcW w:w="1100" w:type="dxa"/>
            <w:vAlign w:val="bottom"/>
            <w:tcBorders>
              <w:bottom w:val="single" w:sz="8" w:color="auto"/>
            </w:tcBorders>
          </w:tcPr>
          <w:p>
            <w:pPr>
              <w:spacing w:after="0"/>
              <w:rPr>
                <w:sz w:val="20"/>
                <w:szCs w:val="20"/>
                <w:color w:val="auto"/>
              </w:rPr>
            </w:pPr>
          </w:p>
        </w:tc>
      </w:tr>
      <w:tr>
        <w:trPr>
          <w:trHeight w:val="220"/>
        </w:trPr>
        <w:tc>
          <w:tcPr>
            <w:tcW w:w="7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2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8"/>
                <w:szCs w:val="18"/>
                <w:color w:val="auto"/>
                <w:w w:val="84"/>
              </w:rPr>
              <w:t>2015</w:t>
            </w:r>
          </w:p>
        </w:tc>
      </w:tr>
      <w:tr>
        <w:trPr>
          <w:trHeight w:val="215"/>
        </w:trPr>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4"/>
          </w:tcPr>
          <w:p>
            <w:pPr>
              <w:jc w:val="center"/>
              <w:ind w:right="408"/>
              <w:spacing w:after="0"/>
              <w:rPr>
                <w:sz w:val="20"/>
                <w:szCs w:val="20"/>
                <w:color w:val="auto"/>
              </w:rPr>
            </w:pPr>
            <w:r>
              <w:rPr>
                <w:rFonts w:ascii="Arial" w:cs="Arial" w:eastAsia="Arial" w:hAnsi="Arial"/>
                <w:sz w:val="18"/>
                <w:szCs w:val="18"/>
                <w:i w:val="1"/>
                <w:iCs w:val="1"/>
                <w:color w:val="auto"/>
                <w:w w:val="94"/>
              </w:rPr>
              <w:t>(Dollars in Thousands)</w:t>
            </w:r>
          </w:p>
        </w:tc>
      </w:tr>
      <w:tr>
        <w:trPr>
          <w:trHeight w:val="231"/>
        </w:trPr>
        <w:tc>
          <w:tcPr>
            <w:tcW w:w="7840" w:type="dxa"/>
            <w:vAlign w:val="bottom"/>
          </w:tcPr>
          <w:p>
            <w:pPr>
              <w:spacing w:after="0"/>
              <w:rPr>
                <w:sz w:val="20"/>
                <w:szCs w:val="20"/>
                <w:color w:val="auto"/>
              </w:rPr>
            </w:pPr>
            <w:r>
              <w:rPr>
                <w:rFonts w:ascii="Arial" w:cs="Arial" w:eastAsia="Arial" w:hAnsi="Arial"/>
                <w:sz w:val="18"/>
                <w:szCs w:val="18"/>
                <w:color w:val="auto"/>
              </w:rPr>
              <w:t>Depreciation</w:t>
            </w:r>
          </w:p>
        </w:tc>
        <w:tc>
          <w:tcPr>
            <w:tcW w:w="360" w:type="dxa"/>
            <w:vAlign w:val="bottom"/>
          </w:tcPr>
          <w:p>
            <w:pPr>
              <w:jc w:val="right"/>
              <w:ind w:right="168"/>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8"/>
              <w:spacing w:after="0"/>
              <w:rPr>
                <w:sz w:val="20"/>
                <w:szCs w:val="20"/>
                <w:color w:val="auto"/>
              </w:rPr>
            </w:pPr>
            <w:r>
              <w:rPr>
                <w:rFonts w:ascii="Arial" w:cs="Arial" w:eastAsia="Arial" w:hAnsi="Arial"/>
                <w:sz w:val="18"/>
                <w:szCs w:val="18"/>
                <w:color w:val="auto"/>
              </w:rPr>
              <w:t>188,603</w:t>
            </w:r>
          </w:p>
        </w:tc>
        <w:tc>
          <w:tcPr>
            <w:tcW w:w="180" w:type="dxa"/>
            <w:vAlign w:val="bottom"/>
          </w:tcPr>
          <w:p>
            <w:pPr>
              <w:spacing w:after="0"/>
              <w:rPr>
                <w:sz w:val="20"/>
                <w:szCs w:val="20"/>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8"/>
              <w:spacing w:after="0"/>
              <w:rPr>
                <w:sz w:val="20"/>
                <w:szCs w:val="20"/>
                <w:color w:val="auto"/>
              </w:rPr>
            </w:pPr>
            <w:r>
              <w:rPr>
                <w:rFonts w:ascii="Arial" w:cs="Arial" w:eastAsia="Arial" w:hAnsi="Arial"/>
                <w:sz w:val="18"/>
                <w:szCs w:val="18"/>
                <w:color w:val="auto"/>
              </w:rPr>
              <w:t>176,634</w:t>
            </w: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Depletion</w:t>
            </w: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11,666</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10,529</w:t>
            </w:r>
          </w:p>
        </w:tc>
      </w:tr>
      <w:tr>
        <w:trPr>
          <w:trHeight w:val="227"/>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11,728</w:t>
            </w: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12,772</w:t>
            </w:r>
          </w:p>
        </w:tc>
      </w:tr>
      <w:tr>
        <w:trPr>
          <w:trHeight w:val="220"/>
        </w:trPr>
        <w:tc>
          <w:tcPr>
            <w:tcW w:w="78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rPr>
              <w:t>211,997</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rPr>
              <w:t>199,935</w:t>
            </w: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seasonal nature of the construction aggregates business impacts quarterly operating cash flow when compared with the full year. Full-year 2015 net cash provided by operating activities was $573.2 million compared with $319.6 million for the first nine months of 2015.</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first nine months ended September 30, 2016, the Corporation invested $285.5 million of capital into its business. Full-year capital spending is expected to approximate $350 million.</w:t>
      </w:r>
    </w:p>
    <w:p>
      <w:pPr>
        <w:spacing w:after="0" w:line="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first quarter of 2016, the Corporation acquired the outstanding stock of Rocky Mountain Materials and Asphalt, Inc., and Rocky Mountain Premix Inc. The acquisition included four aggregates plants, two asphalt plants and two ready mixed concrete operations, and provides more than 500 million tons of mineral reserves and expands the Corporation’s presence along the Front Range of the Rocky Mountains, home to 80% of Colorado’s population.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2016, the Corporation acquired the remaining interest in Ratliff Ready-Mix, L.P. (“Ratliff”), which operates ready mixed concrete plants in central Texas. Prior to the acquisition, the Corporation owned a 40% interest in Ratliff which was accounted for under the equity method. The Corporation was required to re-measure the existing 40% interest to fair value upon closing of the transaction, resulting in a gain of $5,863,000, which is recorded in other nonoperating income. These operations are reported in the West Group.</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can repurchase its common stock through open-market purchases pursuant to authority granted by its Board of Directors or through private transactions at such prices and upon such terms as the Chief Executive Officer deems appropriate. During the first nine months, the Corporation repurchased 1,244,000 shares of common stock for $190 million. At September 30, 2016, 15,471,000 shares of common stock were remaining under the Corporation’s repurchase authorization.</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Credit Agreement (which consists of a $250 million (original amount) Term Loan Facility and a $350 million Revolving Facility) requires the Corporation’s ratio of consolidated debt to consolidated earnings before interest, taxes, depreciation, depletion and amortization (“EBITDA”), as defined, for the trailing-twelve month period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and the Ratio calculated without such exclusion does not exceed 3.75x. Additionally, if there are no amounts outstanding under the Revolving Facility, consolidated debt, including debt for which the Corporation is a co-borrower,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will be reduced for purposes of the covenant calculation by the Corporation’s unrestricted cash and cash equivalents in excess of $50 million, such reduction not to exceed $200 million.</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Ratio is calculated as debt, including debt for which the Corporation is a co-borrower, divided by consolidated EBITDA, as defined by the Credit Agreement, for the trailing-twelve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noncash items, if they occur, can affect the calculation of consolidated EBITDA.</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amended Credit Agreement, the Corporation adjusted consolidated EBITDA to add back any integration or similar costs or expenses related to the TXI business combination incurred in any period prior to the second anniversary of the closing of the TXI business combination, not to exceed $70,000,000.</w:t>
      </w:r>
    </w:p>
    <w:p>
      <w:pPr>
        <w:spacing w:after="0" w:line="6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At September 30, 2016, the Corporation’s ratio of consolidated debt to consolidated EBITDA, as defined, for the trailing-twelve months EBITDA was 1.89 times and was calculated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October 1, 2015 to</w:t>
            </w:r>
          </w:p>
        </w:tc>
        <w:tc>
          <w:tcPr>
            <w:tcW w:w="0" w:type="dxa"/>
            <w:vAlign w:val="bottom"/>
          </w:tcPr>
          <w:p>
            <w:pPr>
              <w:spacing w:after="0"/>
              <w:rPr>
                <w:sz w:val="1"/>
                <w:szCs w:val="1"/>
                <w:color w:val="auto"/>
              </w:rPr>
            </w:pPr>
          </w:p>
        </w:tc>
      </w:tr>
      <w:tr>
        <w:trPr>
          <w:trHeight w:val="231"/>
        </w:trPr>
        <w:tc>
          <w:tcPr>
            <w:tcW w:w="7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September 30, 2016</w:t>
            </w:r>
          </w:p>
        </w:tc>
        <w:tc>
          <w:tcPr>
            <w:tcW w:w="0" w:type="dxa"/>
            <w:vAlign w:val="bottom"/>
          </w:tcPr>
          <w:p>
            <w:pPr>
              <w:spacing w:after="0"/>
              <w:rPr>
                <w:sz w:val="1"/>
                <w:szCs w:val="1"/>
                <w:color w:val="auto"/>
              </w:rPr>
            </w:pPr>
          </w:p>
        </w:tc>
      </w:tr>
      <w:tr>
        <w:trPr>
          <w:trHeight w:val="215"/>
        </w:trPr>
        <w:tc>
          <w:tcPr>
            <w:tcW w:w="7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right="108"/>
              <w:spacing w:after="0"/>
              <w:rPr>
                <w:sz w:val="20"/>
                <w:szCs w:val="20"/>
                <w:color w:val="auto"/>
              </w:rPr>
            </w:pPr>
            <w:r>
              <w:rPr>
                <w:rFonts w:ascii="Arial" w:cs="Arial" w:eastAsia="Arial" w:hAnsi="Arial"/>
                <w:sz w:val="18"/>
                <w:szCs w:val="18"/>
                <w:i w:val="1"/>
                <w:iCs w:val="1"/>
                <w:color w:val="auto"/>
                <w:w w:val="94"/>
              </w:rPr>
              <w:t>(Dollars 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60" w:type="dxa"/>
            <w:vAlign w:val="bottom"/>
          </w:tcPr>
          <w:p>
            <w:pPr>
              <w:spacing w:after="0"/>
              <w:rPr>
                <w:sz w:val="20"/>
                <w:szCs w:val="20"/>
                <w:color w:val="auto"/>
              </w:rPr>
            </w:pPr>
            <w:r>
              <w:rPr>
                <w:rFonts w:ascii="Arial" w:cs="Arial" w:eastAsia="Arial" w:hAnsi="Arial"/>
                <w:sz w:val="18"/>
                <w:szCs w:val="18"/>
                <w:color w:val="auto"/>
              </w:rPr>
              <w:t>Earnings from continuing operations attributable to Martin Marietta</w:t>
            </w:r>
          </w:p>
        </w:tc>
        <w:tc>
          <w:tcPr>
            <w:tcW w:w="1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409,711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Add back:</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79,839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 expense</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274,672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240"/>
              <w:spacing w:after="0"/>
              <w:rPr>
                <w:sz w:val="20"/>
                <w:szCs w:val="20"/>
                <w:color w:val="auto"/>
              </w:rPr>
            </w:pPr>
            <w:r>
              <w:rPr>
                <w:rFonts w:ascii="Arial" w:cs="Arial" w:eastAsia="Arial" w:hAnsi="Arial"/>
                <w:sz w:val="18"/>
                <w:szCs w:val="18"/>
                <w:color w:val="auto"/>
              </w:rPr>
              <w:t>Deduct: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7"/>
        </w:trPr>
        <w:tc>
          <w:tcPr>
            <w:tcW w:w="7460" w:type="dxa"/>
            <w:vAlign w:val="bottom"/>
          </w:tcPr>
          <w:p>
            <w:pPr>
              <w:ind w:left="240"/>
              <w:spacing w:after="0"/>
              <w:rPr>
                <w:sz w:val="20"/>
                <w:szCs w:val="20"/>
                <w:color w:val="auto"/>
              </w:rPr>
            </w:pPr>
            <w:r>
              <w:rPr>
                <w:rFonts w:ascii="Arial" w:cs="Arial" w:eastAsia="Arial" w:hAnsi="Arial"/>
                <w:sz w:val="18"/>
                <w:szCs w:val="18"/>
                <w:color w:val="auto"/>
              </w:rPr>
              <w:t>Nonrecurring gains, net, on divestitures and acquisition-related expenses, net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(18,296)</w:t>
            </w:r>
          </w:p>
        </w:tc>
        <w:tc>
          <w:tcPr>
            <w:tcW w:w="0" w:type="dxa"/>
            <w:vAlign w:val="bottom"/>
          </w:tcPr>
          <w:p>
            <w:pPr>
              <w:spacing w:after="0"/>
              <w:rPr>
                <w:sz w:val="1"/>
                <w:szCs w:val="1"/>
                <w:color w:val="auto"/>
              </w:rPr>
            </w:pPr>
          </w:p>
        </w:tc>
      </w:tr>
      <w:tr>
        <w:trPr>
          <w:trHeight w:val="220"/>
        </w:trPr>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EBITDA, as defined</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948,595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Consolidated debt, including debt for which the Corporation is a co-borrower,</w:t>
            </w: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46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460" w:type="dxa"/>
            <w:vAlign w:val="bottom"/>
          </w:tcPr>
          <w:p>
            <w:pPr>
              <w:ind w:left="140"/>
              <w:spacing w:after="0"/>
              <w:rPr>
                <w:sz w:val="20"/>
                <w:szCs w:val="20"/>
                <w:color w:val="auto"/>
              </w:rPr>
            </w:pPr>
            <w:r>
              <w:rPr>
                <w:rFonts w:ascii="Arial" w:cs="Arial" w:eastAsia="Arial" w:hAnsi="Arial"/>
                <w:sz w:val="18"/>
                <w:szCs w:val="18"/>
                <w:color w:val="auto"/>
              </w:rPr>
              <w:t>at September 30, 2016</w:t>
            </w:r>
          </w:p>
        </w:tc>
        <w:tc>
          <w:tcPr>
            <w:tcW w:w="1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1,788,702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460" w:type="dxa"/>
            <w:vAlign w:val="bottom"/>
            <w:tcBorders>
              <w:top w:val="single" w:sz="8" w:color="CFF0FC"/>
            </w:tcBorders>
            <w:shd w:val="clear" w:color="auto" w:fill="CFF0FC"/>
          </w:tcPr>
          <w:p>
            <w:pPr>
              <w:spacing w:after="0" w:line="189" w:lineRule="exact"/>
              <w:rPr>
                <w:sz w:val="20"/>
                <w:szCs w:val="20"/>
                <w:color w:val="auto"/>
              </w:rPr>
            </w:pPr>
            <w:r>
              <w:rPr>
                <w:rFonts w:ascii="Arial" w:cs="Arial" w:eastAsia="Arial" w:hAnsi="Arial"/>
                <w:sz w:val="18"/>
                <w:szCs w:val="18"/>
                <w:color w:val="auto"/>
              </w:rPr>
              <w:t>Consolidated debt to consolidated EBITDA, as defined, at September 30, 2016</w:t>
            </w:r>
          </w:p>
        </w:tc>
        <w:tc>
          <w:tcPr>
            <w:tcW w:w="15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the trailing-twelve months EBITDA</w:t>
            </w:r>
          </w:p>
        </w:tc>
        <w:tc>
          <w:tcPr>
            <w:tcW w:w="1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1.89X</w:t>
            </w: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Trade Receivable Facility contains a cross-default provision to the Corporation’s other debt agreements. In the event of a default on the Ratio, the lenders can terminate the Credit Agreement and Trade Receivable Facility and declare any outstanding balances as immediately due. Outstanding amounts on the Trade Receivable Facility have been classified as a current liability on the Corporation’s consolidated balance sheet. On September 28, 2016, the Corporation increased the borrowing capacity from $250,000,000 to $300,000,000 and extended the maturity to September 27, 2017.</w:t>
      </w:r>
    </w:p>
    <w:p>
      <w:pPr>
        <w:spacing w:after="0" w:line="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Cash on hand, along with the Corporation’s projected internal cash flows and availability of financing resources, including its access to debt and equity capital markets, is expected to continue to be sufficient to provide the capital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resources necessary to support anticipated operating needs, cover debt service requirements, meet capital expenditures and discretionary investment needs, fund certain acquisition opportunities that may arise, allow for payment of dividends for the foreseeable future and enable the buyback of shares through the share repurchase program. At September 30, 2016, the Corporation had $438 million of unused borrowing capacity under its Revolving Facility and Trade Receivable Facility, subject to complying with the related leverage covenant. The Revolving Facility expires on November 29, 2018 and the Trade Receivable Facility expires on September 27, 2017.</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Floating Rate Notes have been classified as a noncurrent liability as the Corporation has the intent and ability to refinance on a long-term basis before or at its maturity of June 30, 2017.</w:t>
      </w:r>
    </w:p>
    <w:p>
      <w:pPr>
        <w:spacing w:after="0" w:line="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Corporation may be required to obtain financing to fund certain strategic acquisitions, if any such opportunities arise, or to refinance outstanding debt. Any strategic acquisition of size for cash would likely require an appropriate balance of newly-issued equity with debt in order to maintain a composite investment-grade credit rating. Furthermore, the Corporation is exposed to the credit markets, through the interest cost related to its variable-rate debt, which included borrowings under its Term Loan Facility and Trade Receivable Facility at September 30, 2016. The Corporation is currently rated by three credit rating agencies; two of those agencies’ credit ratings are investment-grade level and the third agency’s credit rating is one level below investment grade. The Corporation’s composite credit rating remains at investment-grade level, which facilitates obtaining financing at lower rates than noninvestment-grade ratings.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TRENDS AND RISKS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Aggregates business, both production and demand, and the demand in the Cement business are significantly affected by erratic weather patterns, seasonal changes and other weather-related conditions. Production and shipment levels for aggregates, asphalt, ready mixed concrete and road paving materials correlate with general construction activity levels, most of which occurs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Corporation. Because of the potentially significant impact of weather on the Corporation’s operations, current-period and year-to-date results are not indicative of expected performance for other interim periods or the full year.</w:t>
      </w:r>
    </w:p>
    <w:p>
      <w:pPr>
        <w:spacing w:after="0" w:line="5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 outlined the risks associated with its business in its Annual Report on Form 10-K for the year ended December 31, 2015. Management continues to evaluate its exposure to all operating risks on an ongoing basis.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encouraged by positive trends in the markets it serves and its ability to execute its strategic business plans. Notably:</w:t>
      </w:r>
    </w:p>
    <w:p>
      <w:pPr>
        <w:spacing w:after="0" w:line="108" w:lineRule="exact"/>
        <w:rPr>
          <w:sz w:val="20"/>
          <w:szCs w:val="20"/>
          <w:color w:val="auto"/>
        </w:rPr>
      </w:pPr>
    </w:p>
    <w:p>
      <w:pPr>
        <w:jc w:val="both"/>
        <w:ind w:left="940" w:hanging="447"/>
        <w:spacing w:after="0" w:line="287"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7"/>
          <w:szCs w:val="17"/>
          <w:color w:val="auto"/>
        </w:rPr>
        <w:t xml:space="preserve">For the public sector, continued modest growth is expected in 2016 as new monies begin to flow into the system, particularly in the second half of the year. Additionally, state initiatives to finance infrastructure projects, including support from the </w:t>
      </w:r>
      <w:r>
        <w:rPr>
          <w:rFonts w:ascii="Arial" w:cs="Arial" w:eastAsia="Arial" w:hAnsi="Arial"/>
          <w:sz w:val="17"/>
          <w:szCs w:val="17"/>
          <w:i w:val="1"/>
          <w:iCs w:val="1"/>
          <w:color w:val="auto"/>
        </w:rPr>
        <w:t>Transportation Infrastructure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Finance and Innovation Act </w:t>
      </w:r>
      <w:r>
        <w:rPr>
          <w:rFonts w:ascii="Arial" w:cs="Arial" w:eastAsia="Arial" w:hAnsi="Arial"/>
          <w:sz w:val="17"/>
          <w:szCs w:val="17"/>
          <w:color w:val="auto"/>
        </w:rPr>
        <w:t>(“TIFIA”), are expected to grow and continue to play an expanded role in public-sector activity.</w:t>
      </w:r>
    </w:p>
    <w:p>
      <w:pPr>
        <w:spacing w:after="0" w:line="42" w:lineRule="exact"/>
        <w:rPr>
          <w:rFonts w:ascii="Arial" w:cs="Arial" w:eastAsia="Arial" w:hAnsi="Arial"/>
          <w:sz w:val="16"/>
          <w:szCs w:val="16"/>
          <w:color w:val="auto"/>
        </w:rPr>
      </w:pPr>
    </w:p>
    <w:p>
      <w:pPr>
        <w:ind w:left="940" w:hanging="447"/>
        <w:spacing w:after="0" w:line="280" w:lineRule="auto"/>
        <w:tabs>
          <w:tab w:leader="none" w:pos="940" w:val="left"/>
        </w:tabs>
        <w:numPr>
          <w:ilvl w:val="0"/>
          <w:numId w:val="26"/>
        </w:numPr>
        <w:rPr>
          <w:rFonts w:ascii="Arial" w:cs="Arial" w:eastAsia="Arial" w:hAnsi="Arial"/>
          <w:sz w:val="17"/>
          <w:szCs w:val="17"/>
          <w:color w:val="auto"/>
        </w:rPr>
      </w:pPr>
      <w:r>
        <w:rPr>
          <w:rFonts w:ascii="Arial" w:cs="Arial" w:eastAsia="Arial" w:hAnsi="Arial"/>
          <w:sz w:val="18"/>
          <w:szCs w:val="18"/>
          <w:color w:val="auto"/>
        </w:rPr>
        <w:t>Nonresidential construction is expected to increase in both the heavy industrial and commercial sectors. The Dodge Momentum Index is near its highest level since 2009 and signals continued growth. Additionally,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ind w:left="940"/>
        <w:spacing w:after="0" w:line="264" w:lineRule="auto"/>
        <w:rPr>
          <w:sz w:val="20"/>
          <w:szCs w:val="20"/>
          <w:color w:val="auto"/>
        </w:rPr>
      </w:pPr>
      <w:r>
        <w:rPr>
          <w:rFonts w:ascii="Arial" w:cs="Arial" w:eastAsia="Arial" w:hAnsi="Arial"/>
          <w:sz w:val="18"/>
          <w:szCs w:val="18"/>
          <w:color w:val="auto"/>
        </w:rPr>
        <w:t>energy-related economic activity, including follow-on public and private construction activities in the Corporation’s primary markets, will be mixed with overall strength in large downstream construction projects, providing a counterbalance to declines in shale exploration-related volumes.</w:t>
      </w:r>
    </w:p>
    <w:p>
      <w:pPr>
        <w:spacing w:after="0" w:line="61" w:lineRule="exact"/>
        <w:rPr>
          <w:sz w:val="20"/>
          <w:szCs w:val="20"/>
          <w:color w:val="auto"/>
        </w:rPr>
      </w:pPr>
    </w:p>
    <w:p>
      <w:pPr>
        <w:jc w:val="both"/>
        <w:ind w:left="940" w:hanging="447"/>
        <w:spacing w:after="0" w:line="264" w:lineRule="auto"/>
        <w:tabs>
          <w:tab w:leader="none" w:pos="940" w:val="left"/>
        </w:tabs>
        <w:numPr>
          <w:ilvl w:val="0"/>
          <w:numId w:val="27"/>
        </w:numPr>
        <w:rPr>
          <w:rFonts w:ascii="Arial" w:cs="Arial" w:eastAsia="Arial" w:hAnsi="Arial"/>
          <w:sz w:val="17"/>
          <w:szCs w:val="17"/>
          <w:color w:val="auto"/>
        </w:rPr>
      </w:pPr>
      <w:r>
        <w:rPr>
          <w:rFonts w:ascii="Arial" w:cs="Arial" w:eastAsia="Arial" w:hAnsi="Arial"/>
          <w:sz w:val="18"/>
          <w:szCs w:val="18"/>
          <w:color w:val="auto"/>
        </w:rPr>
        <w:t>Residential construction is expected to continue to experience good growth metrics, driven by positive employment gains, historically low levels of construction activity over the previous several years, low mortgage rates, significant lot absorption, and higher multi-family rental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RISKS TO OUTLOOK</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2016 outlook includes management’s assessment of the likelihood of certain risks and uncertainties that will affect performance, including but not limited to: both price and volume, and a recurrence of widespread decline in aggregates volume negatively affecting aggregates price; the termination, capping and/or reduction of the federal and/or state gasoline tax(es) or other revenue related to infrastructure construction; a significant change in the funding patterns for traditional federal, state and/or local infrastructure projects; the United States Congress’ inability to reach agreement on the federal budget and this impact on federal highway spending; the volatility in the commencement of infrastructure projects; a reduction in defense spending, and the subsequent impact on construction activity on or near military bases; a decline in nonresidential construction; a further decline in energy-related construction activity resulting from a sustained period of low global oil prices or changes in oil production patterns in response to this decline and certain regulatory or other economic factors; a slowdown in the residential construction recovery, or some combination thereof; a reduction in economic activity in the Corporation’s Midwest states resulting from reduced funding levels provided by the Agricultural Act of 2014 and a sustained reduction in capital investment by the railroads; an increase in the cost of compliance with governmental laws, rules and regulations; and unexpected equipment failures, unscheduled maintenance, industrial accident or other prolonged and/or significant disruption to its cement production facilities.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essentially runs at capacity; therefore any unplanned changes in costs or realignment of customers introduce volatility to the earnings of this segment.</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Corporation’s principal business serves customers in aggregates-related construction markets. This concentration could increase the risk of potential losses on customer receivables; however, payment bonds normally posted on public projects, together with lien rights on private projects,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and raw material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Cement business is also energy intensive and fluctuation in the price of coal affects costs. The Magnesia Specialties business is sensitive to changes in domestic steel capacity utilization as well as the absolute price and fluctuation in the cost of natural gas.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Transportation in the Corporation’s long-haul network, particularly the supply of rail cars and locomotive power and condition of rail infrastructure to move trains, affects the Corporation’s efficient transportation of aggregate into certain markets, most notably Texas, Colorado, Florida and the Gulf Coast. In addition, availability of rail cars and locomotives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affects the Corporation’s movement of essential dolomitic lime for magnesia chemicals, to both the Corporation’s plant in Manistee, Michigan, and customers. The availability of trucks, drivers and railcars to transport the Corporation’s product, particularly in markets experiencing high growth and increased demand, is also a risk and pressures the associated costs.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Corporation’s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 In fact, in early October 2016, Hurricane Matthew generated winds and significant amounts of rainfall disrupting operations from the Bahamas, Florida, Georgia and the Carolinas. Management expects operations, particularly in eastern North Carolina to be affected throughout the fourth quarter. However, after hurricane-related flood waters recede, management expects an increase in construction activity as roads, homes and businesses are repaired.</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Risks to the outlook also include shipment declines resulting from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future performance is also exposed to risks from tax reform at the federal and state levels.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MATTERS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are interested in Martin Marietta Materials, Inc.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www.martinmarietta.com and are also available at the SEC’s website at www.sec.gov. You may also write or call the Corporation’s Corporate Secretary, who will provide copies of such reports.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are cautioned that all statements in this Form 10-Q that relate to the future involve risks and uncertainties, and are based on assumptions that the Corporation believes in good faith are reasonable but which may be materially different from actual results. Forward-looking statements give the investor management’s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Factors that the Corporation currently believes could cause actual results to differ materially from the forward-looking statements in this Form 10-Q include the performance of the United States economy and the resolution and impact of the debt ceiling and sequestration issues; widespread decline in aggregates pricing; the history of both cement and ready mixed concrete being subject to significant changes in supply, demand and price; the termination, capping and/or reduction or suspension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further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slowdown in energy-related construction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Magnesia Specialties business,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INVESTOR ACCESS TO COMPANY FILINGS</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Shareholders may obtain, without charge, a copy of Martin Marietta’s Annual Report on Form 10-K, as filed with the Securities and Exchange Commission for the fiscal year ended December 31, 2015, by writing to:</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Martin Marietta</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2710 Wycliff Road</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Raleigh, North Carolina 27607-3033</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Martin Marietta’s Annual Report, press releases and filings with the Securities and Exchange Commission, including Forms 10-K, 10-Q, 8-K and 11-K, can generally be accessed via the Corporation’s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Telephone: (919) 510-4776</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Website address: www.martinmarietta.com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included on the Corporation’s website is not incorporated into, or otherwise create a part of, this report.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0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has considered the current economic environment and its potential impact to the Corporation’s business. Demand for aggregates and cement products, particularly in the infrastructure construction market, is affected by federal and state budget and deficit issues. Further, delays of large-scale infrastructure projects could occur if Departments of Transportation take longer than expected to move projects from the letting to the commencement stage. Additionally,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Demand in the residential construction market is affected by interest rates. The Federal Reserve have maintained the federal funds rate near zero percent during the nine months ended September 30, 2016, unchanged since 2008. The residential construction market accounted for 17% of the Corporation’s aggregates product line shipments in 2015.</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Variable-Rate Borrowing Facilities. </w:t>
      </w:r>
      <w:r>
        <w:rPr>
          <w:rFonts w:ascii="Arial" w:cs="Arial" w:eastAsia="Arial" w:hAnsi="Arial"/>
          <w:sz w:val="18"/>
          <w:szCs w:val="18"/>
          <w:color w:val="auto"/>
        </w:rPr>
        <w:t>At September 30, 2016, the Corporation had a $600 million Credit Agreement, comprised of a $350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Facility and $250 million (original amount) Term Loan Facility, and a $300 million Trade Receivable Facility. Borrowings under these facilities bear interest at a variable interest rate. A hypothetical 100-basis-point increase in interest rates on borrowings of $419 million, which was the collective outstanding balance at September 30, 2016, would increase interest expense by $4.2 million on an annual basis.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Corporation’s results of operations are affected by its pension expense. Assumptions that affect pension expense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and, for the qualified pension plans only, the expected long-term rate of return on assets. Therefore, the Corporation has interest rate risk associated with these factors. The impact of hypothetical changes in these assumptions on the Corporation’s annual pension expense is discussed in the Corporation’s Annual Report on Form 10-K for the year ended December 31, 2015.</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Energy Costs</w:t>
      </w:r>
      <w:r>
        <w:rPr>
          <w:rFonts w:ascii="Arial" w:cs="Arial" w:eastAsia="Arial" w:hAnsi="Arial"/>
          <w:sz w:val="18"/>
          <w:szCs w:val="18"/>
          <w:color w:val="auto"/>
        </w:rPr>
        <w:t>. Energy costs, including diesel fuel, natural gas, coal and liquid asphalt, represent significant production costs of the 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entered into a fixed price arrangement, which expires December 31, 2016, for approximately 40% of its diesel fuel to reduce its diesel fuel price risk. The Magnesia Specialties business has fixed price agreements covering half of its 2016 coal requirements and the cement business has fixed pricing agreements on 100% of its 2016 coal requirements. A hypothetical 10% change in the Corporation’s energy prices in 2016 as compared with 2015, assuming constant volumes, would change 2016 energy expense by $25.7 million. However, the impact would be partially offset by the change in the amount capitalized into inventory standards.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Commodity risk. </w:t>
      </w:r>
      <w:r>
        <w:rPr>
          <w:rFonts w:ascii="Arial" w:cs="Arial" w:eastAsia="Arial" w:hAnsi="Arial"/>
          <w:sz w:val="17"/>
          <w:szCs w:val="17"/>
          <w:color w:val="auto"/>
        </w:rPr>
        <w:t>Cement is a commodity and competition is based principally on price, which is highly sensitive to changes in supply and demand.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Based on forecasted net sales for the Cement business for full-year 2016 of $250 million to $260 million, a hypothetical 10% change in sales price would impact net sales by $25 million to $26 million.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2016, an evaluation was performed under the supervision and with the participation of the Corporation’s management, including the Chief Executive Officer and Chief Financial Officer, of the effectiveness of the design and the operation of the Corporation’s disclosure controls and procedures. Based on that evaluation, the Corporation’s management, including the Chief Executive Officer and Chief Financial Officer, concluded that the Corporation’s disclosure controls and procedures were effective as of September 30, 2016. There were no changes in the Corporation’s internal control over financial reporting during the most recently completed fiscal quarter that materially affected, or are reasonably likely to materially affect, the Corporation’s internal control over financial reporting. As permitted by the Securities and Exchange Commission, in making this assessment of changes in internal control over financial reporting as of September 30, 2016, management has excluded the internal controls of its newly-acquired Ratliff ready mixed concrete operations, which are included in the consolidated financial statements for the period ending September 30, 2016. The excluded assets constituted less than 1% of consolidated total assets as of September 30, 2016 and less than 1% of net revenues for the nine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Reference is made to </w:t>
      </w:r>
      <w:r>
        <w:rPr>
          <w:rFonts w:ascii="Arial" w:cs="Arial" w:eastAsia="Arial" w:hAnsi="Arial"/>
          <w:sz w:val="17"/>
          <w:szCs w:val="17"/>
          <w:i w:val="1"/>
          <w:iCs w:val="1"/>
          <w:color w:val="auto"/>
        </w:rPr>
        <w:t>Part I</w:t>
      </w:r>
      <w:r>
        <w:rPr>
          <w:rFonts w:ascii="Arial" w:cs="Arial" w:eastAsia="Arial" w:hAnsi="Arial"/>
          <w:sz w:val="17"/>
          <w:szCs w:val="17"/>
          <w:color w:val="auto"/>
        </w:rPr>
        <w:t xml:space="preserve">. </w:t>
      </w:r>
      <w:r>
        <w:rPr>
          <w:rFonts w:ascii="Arial" w:cs="Arial" w:eastAsia="Arial" w:hAnsi="Arial"/>
          <w:sz w:val="17"/>
          <w:szCs w:val="17"/>
          <w:i w:val="1"/>
          <w:iCs w:val="1"/>
          <w:color w:val="auto"/>
        </w:rPr>
        <w:t>Item 3. Legal Proceedings</w:t>
      </w:r>
      <w:r>
        <w:rPr>
          <w:rFonts w:ascii="Arial" w:cs="Arial" w:eastAsia="Arial" w:hAnsi="Arial"/>
          <w:sz w:val="17"/>
          <w:szCs w:val="17"/>
          <w:color w:val="auto"/>
        </w:rPr>
        <w:t xml:space="preserve"> of the Martin Marietta Annual Report on Form 10-K for the year ended December 31, 2015.</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Reference is made to </w:t>
      </w:r>
      <w:r>
        <w:rPr>
          <w:rFonts w:ascii="Arial" w:cs="Arial" w:eastAsia="Arial" w:hAnsi="Arial"/>
          <w:sz w:val="18"/>
          <w:szCs w:val="18"/>
          <w:i w:val="1"/>
          <w:iCs w:val="1"/>
          <w:color w:val="auto"/>
        </w:rPr>
        <w:t>Part I. Item 1A. Risk Factors and Forward-Looking Statements</w:t>
      </w:r>
      <w:r>
        <w:rPr>
          <w:rFonts w:ascii="Arial" w:cs="Arial" w:eastAsia="Arial" w:hAnsi="Arial"/>
          <w:sz w:val="18"/>
          <w:szCs w:val="18"/>
          <w:color w:val="auto"/>
        </w:rPr>
        <w:t xml:space="preserve"> of the Martin Marietta Annual Report on Form 10-K for the year ended December 31, 2015.</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Total Number of Shares</w:t>
            </w:r>
          </w:p>
        </w:tc>
        <w:tc>
          <w:tcPr>
            <w:tcW w:w="14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Maximum Number of</w:t>
            </w: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Purchased as Part of</w:t>
            </w:r>
          </w:p>
        </w:tc>
        <w:tc>
          <w:tcPr>
            <w:tcW w:w="14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Shares that May Yet</w:t>
            </w: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Total Number of</w:t>
            </w:r>
          </w:p>
        </w:tc>
        <w:tc>
          <w:tcPr>
            <w:tcW w:w="14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Average Price</w:t>
            </w:r>
          </w:p>
        </w:tc>
        <w:tc>
          <w:tcPr>
            <w:tcW w:w="140" w:type="dxa"/>
            <w:vAlign w:val="bottom"/>
          </w:tcPr>
          <w:p>
            <w:pPr>
              <w:spacing w:after="0"/>
              <w:rPr>
                <w:sz w:val="19"/>
                <w:szCs w:val="19"/>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Publicly Announced</w:t>
            </w:r>
          </w:p>
        </w:tc>
        <w:tc>
          <w:tcPr>
            <w:tcW w:w="14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be Purchased Under</w:t>
            </w:r>
          </w:p>
        </w:tc>
      </w:tr>
      <w:tr>
        <w:trPr>
          <w:trHeight w:val="231"/>
        </w:trPr>
        <w:tc>
          <w:tcPr>
            <w:tcW w:w="20" w:type="dxa"/>
            <w:vAlign w:val="bottom"/>
          </w:tcPr>
          <w:p>
            <w:pPr>
              <w:spacing w:after="0"/>
              <w:rPr>
                <w:sz w:val="20"/>
                <w:szCs w:val="20"/>
                <w:color w:val="auto"/>
              </w:rPr>
            </w:pPr>
          </w:p>
        </w:tc>
        <w:tc>
          <w:tcPr>
            <w:tcW w:w="4320" w:type="dxa"/>
            <w:vAlign w:val="bottom"/>
            <w:gridSpan w:val="2"/>
          </w:tcPr>
          <w:p>
            <w:pPr>
              <w:ind w:left="1840"/>
              <w:spacing w:after="0"/>
              <w:rPr>
                <w:sz w:val="20"/>
                <w:szCs w:val="20"/>
                <w:color w:val="auto"/>
              </w:rPr>
            </w:pPr>
            <w:r>
              <w:rPr>
                <w:rFonts w:ascii="Arial" w:cs="Arial" w:eastAsia="Arial" w:hAnsi="Arial"/>
                <w:sz w:val="18"/>
                <w:szCs w:val="18"/>
                <w:color w:val="auto"/>
              </w:rPr>
              <w:t>Period</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Shares Purchased</w:t>
            </w: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Paid per Share</w:t>
            </w:r>
          </w:p>
        </w:tc>
        <w:tc>
          <w:tcPr>
            <w:tcW w:w="14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Plans or Programs</w:t>
            </w:r>
          </w:p>
        </w:tc>
        <w:tc>
          <w:tcPr>
            <w:tcW w:w="14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the Plans or Programs</w:t>
            </w:r>
          </w:p>
        </w:tc>
      </w:tr>
      <w:tr>
        <w:trPr>
          <w:trHeight w:val="220"/>
        </w:trPr>
        <w:tc>
          <w:tcPr>
            <w:tcW w:w="20" w:type="dxa"/>
            <w:vAlign w:val="bottom"/>
          </w:tcPr>
          <w:p>
            <w:pPr>
              <w:spacing w:after="0"/>
              <w:rPr>
                <w:sz w:val="19"/>
                <w:szCs w:val="19"/>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1, 2016 - July 31, 2016</w:t>
            </w:r>
          </w:p>
        </w:tc>
        <w:tc>
          <w:tcPr>
            <w:tcW w:w="140" w:type="dxa"/>
            <w:vAlign w:val="bottom"/>
          </w:tcPr>
          <w:p>
            <w:pPr>
              <w:spacing w:after="0"/>
              <w:rPr>
                <w:sz w:val="19"/>
                <w:szCs w:val="19"/>
                <w:color w:val="auto"/>
              </w:rPr>
            </w:pPr>
          </w:p>
        </w:tc>
        <w:tc>
          <w:tcPr>
            <w:tcW w:w="154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15,470,959</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1, 2016 - August 31, 2016</w:t>
            </w:r>
          </w:p>
        </w:tc>
        <w:tc>
          <w:tcPr>
            <w:tcW w:w="166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15,470,959</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September 1, 2016 - September 30, 2016</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15,470,959</w:t>
            </w:r>
          </w:p>
        </w:tc>
        <w:tc>
          <w:tcPr>
            <w:tcW w:w="1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32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rPr>
              <w:t>Total for the period ended</w:t>
            </w: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September 30, 2016</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the press release dated February 10, 2015 for the December 31, 2014 fourth-quarter and full-year results and announcement of the share repurchase program. The Corporation’s Board of Directors authorized a maximum of 20 million shares to be repurchased under the program. The program does not have an expiration date.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80" w:type="dxa"/>
            <w:vAlign w:val="bottom"/>
          </w:tcPr>
          <w:p>
            <w:pPr>
              <w:jc w:val="center"/>
              <w:ind w:right="1128"/>
              <w:spacing w:after="0"/>
              <w:rPr>
                <w:sz w:val="20"/>
                <w:szCs w:val="20"/>
                <w:color w:val="auto"/>
              </w:rPr>
            </w:pPr>
            <w:r>
              <w:rPr>
                <w:rFonts w:ascii="Arial" w:cs="Arial" w:eastAsia="Arial" w:hAnsi="Arial"/>
                <w:sz w:val="18"/>
                <w:szCs w:val="18"/>
                <w:color w:val="auto"/>
              </w:rPr>
              <w:t>MARTIN MARIETTA MATERIALS, INC. AND CONSOLIDATED SUBSIDIARIES</w:t>
            </w:r>
          </w:p>
        </w:tc>
      </w:tr>
      <w:tr>
        <w:trPr>
          <w:trHeight w:val="214"/>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5"/>
              </w:rPr>
              <w:t>FORM 10-Q</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1"/>
              </w:rPr>
              <w:t>For the Quarter Ended September 30, 2016</w:t>
            </w:r>
          </w:p>
        </w:tc>
      </w:tr>
      <w:tr>
        <w:trPr>
          <w:trHeight w:val="408"/>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8"/>
              </w:rPr>
              <w:t>PART II – OTHER INFORMATION</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5"/>
              </w:rPr>
              <w:t>(Continued)</w:t>
            </w:r>
          </w:p>
        </w:tc>
      </w:tr>
      <w:tr>
        <w:trPr>
          <w:trHeight w:val="387"/>
        </w:trPr>
        <w:tc>
          <w:tcPr>
            <w:tcW w:w="11420" w:type="dxa"/>
            <w:vAlign w:val="bottom"/>
            <w:gridSpan w:val="4"/>
          </w:tcPr>
          <w:p>
            <w:pPr>
              <w:spacing w:after="0"/>
              <w:rPr>
                <w:sz w:val="20"/>
                <w:szCs w:val="20"/>
                <w:color w:val="auto"/>
              </w:rPr>
            </w:pPr>
            <w:r>
              <w:rPr>
                <w:rFonts w:ascii="Arial" w:cs="Arial" w:eastAsia="Arial" w:hAnsi="Arial"/>
                <w:sz w:val="18"/>
                <w:szCs w:val="18"/>
                <w:color w:val="auto"/>
              </w:rPr>
              <w:t>Item 6. Exhibits.</w:t>
            </w:r>
          </w:p>
        </w:tc>
      </w:tr>
      <w:tr>
        <w:trPr>
          <w:trHeight w:val="459"/>
        </w:trPr>
        <w:tc>
          <w:tcPr>
            <w:tcW w:w="1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Exhibit No.</w:t>
            </w:r>
          </w:p>
        </w:tc>
        <w:tc>
          <w:tcPr>
            <w:tcW w:w="60" w:type="dxa"/>
            <w:vAlign w:val="bottom"/>
            <w:tcBorders>
              <w:top w:val="single" w:sz="8" w:color="auto"/>
            </w:tcBorders>
          </w:tcPr>
          <w:p>
            <w:pPr>
              <w:spacing w:after="0"/>
              <w:rPr>
                <w:sz w:val="24"/>
                <w:szCs w:val="24"/>
                <w:color w:val="auto"/>
              </w:rPr>
            </w:pPr>
          </w:p>
        </w:tc>
        <w:tc>
          <w:tcPr>
            <w:tcW w:w="10180" w:type="dxa"/>
            <w:vAlign w:val="bottom"/>
          </w:tcPr>
          <w:p>
            <w:pPr>
              <w:ind w:left="4680"/>
              <w:spacing w:after="0"/>
              <w:rPr>
                <w:sz w:val="20"/>
                <w:szCs w:val="20"/>
                <w:color w:val="auto"/>
              </w:rPr>
            </w:pPr>
            <w:r>
              <w:rPr>
                <w:rFonts w:ascii="Arial" w:cs="Arial" w:eastAsia="Arial" w:hAnsi="Arial"/>
                <w:sz w:val="18"/>
                <w:szCs w:val="18"/>
                <w:color w:val="auto"/>
              </w:rPr>
              <w:t>Document</w:t>
            </w:r>
          </w:p>
        </w:tc>
      </w:tr>
      <w:tr>
        <w:trPr>
          <w:trHeight w:val="405"/>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Certification dated November 2, 2016 of Chief Executive Officer pursuant to Securities and Exchange Act of 1934 rule 13a-14 as adopted</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31.02</w:t>
            </w:r>
          </w:p>
        </w:tc>
        <w:tc>
          <w:tcPr>
            <w:tcW w:w="1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Certification dated November 2, 2016 of Chief Financial Officer pursuant to Securities and Exchange Act of 1934 rule 13a-14 as adopted</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32.01</w:t>
            </w:r>
          </w:p>
        </w:tc>
        <w:tc>
          <w:tcPr>
            <w:tcW w:w="1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Written Statement dated November 2, 2016 of Chief Executive Officer required by 18 U.S.C. 1350, as adopted pursuant to Section 906 of</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Written Statement dated November 2, 2016 of Chief Financial Officer required by 18 U.S.C. 1350, as adopted pursuant to Section 906 of</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Mine Safety Disclosures</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202565</wp:posOffset>
            </wp:positionV>
            <wp:extent cx="72967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color w:val="auto"/>
        </w:rPr>
        <w:t>SIGNATURES</w:t>
      </w:r>
    </w:p>
    <w:p>
      <w:pPr>
        <w:spacing w:after="0" w:line="209"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MARTIN MARIETTA MATERIALS, INC.</w:t>
            </w:r>
          </w:p>
        </w:tc>
        <w:tc>
          <w:tcPr>
            <w:tcW w:w="40" w:type="dxa"/>
            <w:vAlign w:val="bottom"/>
          </w:tcPr>
          <w:p>
            <w:pPr>
              <w:spacing w:after="0"/>
              <w:rPr>
                <w:sz w:val="18"/>
                <w:szCs w:val="18"/>
                <w:color w:val="auto"/>
              </w:rPr>
            </w:pPr>
          </w:p>
        </w:tc>
      </w:tr>
      <w:tr>
        <w:trPr>
          <w:trHeight w:val="235"/>
        </w:trPr>
        <w:tc>
          <w:tcPr>
            <w:tcW w:w="35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220" w:type="dxa"/>
            <w:vAlign w:val="bottom"/>
          </w:tcPr>
          <w:p>
            <w:pPr>
              <w:jc w:val="center"/>
              <w:ind w:right="2128"/>
              <w:spacing w:after="0"/>
              <w:rPr>
                <w:sz w:val="20"/>
                <w:szCs w:val="20"/>
                <w:color w:val="auto"/>
              </w:rPr>
            </w:pPr>
            <w:r>
              <w:rPr>
                <w:rFonts w:ascii="Arial" w:cs="Arial" w:eastAsia="Arial" w:hAnsi="Arial"/>
                <w:sz w:val="18"/>
                <w:szCs w:val="18"/>
                <w:color w:val="auto"/>
                <w:w w:val="93"/>
              </w:rPr>
              <w:t>(Registrant)</w:t>
            </w:r>
          </w:p>
        </w:tc>
        <w:tc>
          <w:tcPr>
            <w:tcW w:w="40" w:type="dxa"/>
            <w:vAlign w:val="bottom"/>
          </w:tcPr>
          <w:p>
            <w:pPr>
              <w:spacing w:after="0"/>
              <w:rPr>
                <w:sz w:val="20"/>
                <w:szCs w:val="20"/>
                <w:color w:val="auto"/>
              </w:rPr>
            </w:pPr>
          </w:p>
        </w:tc>
      </w:tr>
      <w:tr>
        <w:trPr>
          <w:trHeight w:val="425"/>
        </w:trPr>
        <w:tc>
          <w:tcPr>
            <w:tcW w:w="3520" w:type="dxa"/>
            <w:vAlign w:val="bottom"/>
          </w:tcPr>
          <w:p>
            <w:pPr>
              <w:spacing w:after="0"/>
              <w:rPr>
                <w:sz w:val="20"/>
                <w:szCs w:val="20"/>
                <w:color w:val="auto"/>
              </w:rPr>
            </w:pPr>
            <w:r>
              <w:rPr>
                <w:rFonts w:ascii="Arial" w:cs="Arial" w:eastAsia="Arial" w:hAnsi="Arial"/>
                <w:sz w:val="18"/>
                <w:szCs w:val="18"/>
                <w:color w:val="auto"/>
              </w:rPr>
              <w:t>Date: November 2, 2016</w:t>
            </w:r>
          </w:p>
        </w:tc>
        <w:tc>
          <w:tcPr>
            <w:tcW w:w="7900" w:type="dxa"/>
            <w:vAlign w:val="bottom"/>
            <w:gridSpan w:val="2"/>
          </w:tcPr>
          <w:p>
            <w:pPr>
              <w:ind w:left="3300"/>
              <w:spacing w:after="0"/>
              <w:rPr>
                <w:sz w:val="20"/>
                <w:szCs w:val="20"/>
                <w:color w:val="auto"/>
              </w:rPr>
            </w:pPr>
            <w:r>
              <w:rPr>
                <w:rFonts w:ascii="Arial" w:cs="Arial" w:eastAsia="Arial" w:hAnsi="Arial"/>
                <w:sz w:val="18"/>
                <w:szCs w:val="18"/>
                <w:color w:val="auto"/>
              </w:rPr>
              <w:t>By:  /s/ Anne H. Lloyd</w:t>
            </w:r>
          </w:p>
        </w:tc>
        <w:tc>
          <w:tcPr>
            <w:tcW w:w="40" w:type="dxa"/>
            <w:vAlign w:val="bottom"/>
          </w:tcPr>
          <w:p>
            <w:pPr>
              <w:spacing w:after="0"/>
              <w:rPr>
                <w:sz w:val="24"/>
                <w:szCs w:val="24"/>
                <w:color w:val="auto"/>
              </w:rPr>
            </w:pPr>
          </w:p>
        </w:tc>
      </w:tr>
      <w:tr>
        <w:trPr>
          <w:trHeight w:val="190"/>
        </w:trPr>
        <w:tc>
          <w:tcPr>
            <w:tcW w:w="35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22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Anne H. Lloyd</w:t>
            </w:r>
          </w:p>
        </w:tc>
        <w:tc>
          <w:tcPr>
            <w:tcW w:w="40" w:type="dxa"/>
            <w:vAlign w:val="bottom"/>
          </w:tcPr>
          <w:p>
            <w:pPr>
              <w:spacing w:after="0"/>
              <w:rPr>
                <w:sz w:val="16"/>
                <w:szCs w:val="16"/>
                <w:color w:val="auto"/>
              </w:rPr>
            </w:pPr>
          </w:p>
        </w:tc>
      </w:tr>
      <w:tr>
        <w:trPr>
          <w:trHeight w:val="214"/>
        </w:trPr>
        <w:tc>
          <w:tcPr>
            <w:tcW w:w="3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40" w:type="dxa"/>
            <w:vAlign w:val="bottom"/>
          </w:tcPr>
          <w:p>
            <w:pPr>
              <w:spacing w:after="0"/>
              <w:rPr>
                <w:sz w:val="18"/>
                <w:szCs w:val="18"/>
                <w:color w:val="auto"/>
              </w:rPr>
            </w:pPr>
          </w:p>
        </w:tc>
      </w:tr>
      <w:tr>
        <w:trPr>
          <w:trHeight w:val="235"/>
        </w:trPr>
        <w:tc>
          <w:tcPr>
            <w:tcW w:w="35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220" w:type="dxa"/>
            <w:vAlign w:val="bottom"/>
          </w:tcPr>
          <w:p>
            <w:pPr>
              <w:jc w:val="center"/>
              <w:ind w:right="2128"/>
              <w:spacing w:after="0"/>
              <w:rPr>
                <w:sz w:val="20"/>
                <w:szCs w:val="20"/>
                <w:color w:val="auto"/>
              </w:rPr>
            </w:pPr>
            <w:r>
              <w:rPr>
                <w:rFonts w:ascii="Arial" w:cs="Arial" w:eastAsia="Arial" w:hAnsi="Arial"/>
                <w:sz w:val="18"/>
                <w:szCs w:val="18"/>
                <w:color w:val="auto"/>
                <w:w w:val="97"/>
              </w:rPr>
              <w:t>Chief Financial Officer</w:t>
            </w:r>
          </w:p>
        </w:tc>
        <w:tc>
          <w:tcPr>
            <w:tcW w:w="40" w:type="dxa"/>
            <w:vAlign w:val="bottom"/>
          </w:tcPr>
          <w:p>
            <w:pPr>
              <w:spacing w:after="0"/>
              <w:rPr>
                <w:sz w:val="20"/>
                <w:szCs w:val="20"/>
                <w:color w:val="auto"/>
              </w:rPr>
            </w:pPr>
          </w:p>
        </w:tc>
      </w:tr>
      <w:tr>
        <w:trPr>
          <w:trHeight w:val="845"/>
        </w:trPr>
        <w:tc>
          <w:tcPr>
            <w:tcW w:w="3520" w:type="dxa"/>
            <w:vAlign w:val="bottom"/>
          </w:tcPr>
          <w:p>
            <w:pPr>
              <w:spacing w:after="0"/>
              <w:rPr>
                <w:sz w:val="24"/>
                <w:szCs w:val="24"/>
                <w:color w:val="auto"/>
              </w:rPr>
            </w:pPr>
          </w:p>
        </w:tc>
        <w:tc>
          <w:tcPr>
            <w:tcW w:w="7900" w:type="dxa"/>
            <w:vAlign w:val="bottom"/>
            <w:gridSpan w:val="2"/>
          </w:tcPr>
          <w:p>
            <w:pPr>
              <w:ind w:left="1680"/>
              <w:spacing w:after="0"/>
              <w:rPr>
                <w:sz w:val="20"/>
                <w:szCs w:val="20"/>
                <w:color w:val="auto"/>
              </w:rPr>
            </w:pPr>
            <w:r>
              <w:rPr>
                <w:rFonts w:ascii="Arial" w:cs="Arial" w:eastAsia="Arial" w:hAnsi="Arial"/>
                <w:sz w:val="18"/>
                <w:szCs w:val="18"/>
                <w:color w:val="auto"/>
              </w:rPr>
              <w:t>Page 59 of 60</w:t>
            </w:r>
          </w:p>
        </w:tc>
        <w:tc>
          <w:tcPr>
            <w:tcW w:w="40" w:type="dxa"/>
            <w:vAlign w:val="bottom"/>
          </w:tcPr>
          <w:p>
            <w:pPr>
              <w:spacing w:after="0"/>
              <w:rPr>
                <w:sz w:val="24"/>
                <w:szCs w:val="24"/>
                <w:color w:val="auto"/>
              </w:rPr>
            </w:pPr>
          </w:p>
        </w:tc>
      </w:tr>
      <w:tr>
        <w:trPr>
          <w:trHeight w:val="103"/>
        </w:trPr>
        <w:tc>
          <w:tcPr>
            <w:tcW w:w="352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980" w:right="1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40" w:type="dxa"/>
            <w:vAlign w:val="bottom"/>
          </w:tcPr>
          <w:p>
            <w:pPr>
              <w:jc w:val="center"/>
              <w:ind w:right="1068"/>
              <w:spacing w:after="0"/>
              <w:rPr>
                <w:sz w:val="20"/>
                <w:szCs w:val="20"/>
                <w:color w:val="auto"/>
              </w:rPr>
            </w:pPr>
            <w:r>
              <w:rPr>
                <w:rFonts w:ascii="Arial" w:cs="Arial" w:eastAsia="Arial" w:hAnsi="Arial"/>
                <w:sz w:val="18"/>
                <w:szCs w:val="18"/>
                <w:color w:val="auto"/>
              </w:rPr>
              <w:t>MARTIN MARIETTA MATERIALS, INC. AND CONSOLIDATED SUBSIDIARIES</w:t>
            </w:r>
          </w:p>
        </w:tc>
      </w:tr>
      <w:tr>
        <w:trPr>
          <w:trHeight w:val="214"/>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40" w:type="dxa"/>
            <w:vAlign w:val="bottom"/>
          </w:tcPr>
          <w:p>
            <w:pPr>
              <w:jc w:val="center"/>
              <w:ind w:right="1088"/>
              <w:spacing w:after="0"/>
              <w:rPr>
                <w:sz w:val="20"/>
                <w:szCs w:val="20"/>
                <w:color w:val="auto"/>
              </w:rPr>
            </w:pPr>
            <w:r>
              <w:rPr>
                <w:rFonts w:ascii="Arial" w:cs="Arial" w:eastAsia="Arial" w:hAnsi="Arial"/>
                <w:sz w:val="18"/>
                <w:szCs w:val="18"/>
                <w:color w:val="auto"/>
                <w:w w:val="95"/>
              </w:rPr>
              <w:t>FORM 10-Q</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jc w:val="center"/>
              <w:ind w:right="1088"/>
              <w:spacing w:after="0"/>
              <w:rPr>
                <w:sz w:val="20"/>
                <w:szCs w:val="20"/>
                <w:color w:val="auto"/>
              </w:rPr>
            </w:pPr>
            <w:r>
              <w:rPr>
                <w:rFonts w:ascii="Arial" w:cs="Arial" w:eastAsia="Arial" w:hAnsi="Arial"/>
                <w:sz w:val="18"/>
                <w:szCs w:val="18"/>
                <w:color w:val="auto"/>
                <w:w w:val="91"/>
              </w:rPr>
              <w:t>For the Quarter Ended September 30, 2016</w:t>
            </w:r>
          </w:p>
        </w:tc>
      </w:tr>
      <w:tr>
        <w:trPr>
          <w:trHeight w:val="416"/>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40" w:type="dxa"/>
            <w:vAlign w:val="bottom"/>
          </w:tcPr>
          <w:p>
            <w:pPr>
              <w:jc w:val="center"/>
              <w:ind w:right="1068"/>
              <w:spacing w:after="0"/>
              <w:rPr>
                <w:sz w:val="20"/>
                <w:szCs w:val="20"/>
                <w:color w:val="auto"/>
              </w:rPr>
            </w:pPr>
            <w:r>
              <w:rPr>
                <w:rFonts w:ascii="Arial" w:cs="Arial" w:eastAsia="Arial" w:hAnsi="Arial"/>
                <w:sz w:val="18"/>
                <w:szCs w:val="18"/>
                <w:color w:val="auto"/>
              </w:rPr>
              <w:t>EXHIBIT INDEX</w:t>
            </w:r>
          </w:p>
        </w:tc>
      </w:tr>
      <w:tr>
        <w:trPr>
          <w:trHeight w:val="433"/>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Exhibit No.</w:t>
            </w:r>
          </w:p>
        </w:tc>
        <w:tc>
          <w:tcPr>
            <w:tcW w:w="10240" w:type="dxa"/>
            <w:vAlign w:val="bottom"/>
          </w:tcPr>
          <w:p>
            <w:pPr>
              <w:ind w:left="4740"/>
              <w:spacing w:after="0"/>
              <w:rPr>
                <w:sz w:val="20"/>
                <w:szCs w:val="20"/>
                <w:color w:val="auto"/>
              </w:rPr>
            </w:pPr>
            <w:r>
              <w:rPr>
                <w:rFonts w:ascii="Arial" w:cs="Arial" w:eastAsia="Arial" w:hAnsi="Arial"/>
                <w:sz w:val="18"/>
                <w:szCs w:val="18"/>
                <w:color w:val="auto"/>
              </w:rPr>
              <w:t>Document</w:t>
            </w:r>
          </w:p>
        </w:tc>
      </w:tr>
      <w:tr>
        <w:trPr>
          <w:trHeight w:val="409"/>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24"/>
                <w:szCs w:val="24"/>
                <w:color w:val="auto"/>
              </w:rPr>
            </w:pPr>
          </w:p>
        </w:tc>
        <w:tc>
          <w:tcPr>
            <w:tcW w:w="102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Certification dated November 2, 2016 of Chief Executive Officer pursuant to Securities and Exchange Act of 1934 rule 13a-14 as adopted</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31.02</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Certification dated November 2, 2016 of Chief Financial Officer pursuant to Securities and Exchange Act of 1934 rule 13a-14 as adopted</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32.01</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Written Statement dated November 2, 2016 of Chief Executive Officer required by 18 U.S.C. 1350, as adopted pursuant to Section 906 of</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Written Statement dated November 2, 2016 of Chief Financial Officer required by 18 U.S.C. 1350, as adopted pursuant to Section 906 of</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Mine Safety Disclosures</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29"/>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 of 60</w:t>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31.01</w:t>
      </w:r>
    </w:p>
    <w:p>
      <w:pPr>
        <w:spacing w:after="0" w:line="200" w:lineRule="exact"/>
        <w:rPr>
          <w:sz w:val="20"/>
          <w:szCs w:val="20"/>
          <w:color w:val="auto"/>
        </w:rPr>
      </w:pPr>
    </w:p>
    <w:p>
      <w:pPr>
        <w:spacing w:after="0" w:line="261"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color w:val="auto"/>
        </w:rPr>
        <w:t>CERTIFICATION PURSUANT TO SECURITIES AND EXCHANGE ACT OF 1934 RULE 13a-14 AS ADOPTED PURSUANT TO SECTION 302 OF SARBANES-OXLEY ACT OF 2002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I, C. Howard Nye, certify that:</w:t>
      </w:r>
    </w:p>
    <w:p>
      <w:pPr>
        <w:spacing w:after="0" w:line="222" w:lineRule="exact"/>
        <w:rPr>
          <w:sz w:val="20"/>
          <w:szCs w:val="20"/>
          <w:color w:val="auto"/>
        </w:rPr>
      </w:pPr>
    </w:p>
    <w:p>
      <w:pPr>
        <w:ind w:left="1300" w:hanging="429"/>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Martin Marietta Materials, Inc.;</w:t>
      </w:r>
    </w:p>
    <w:p>
      <w:pPr>
        <w:spacing w:after="0" w:line="221"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left="1300" w:hanging="429"/>
        <w:spacing w:after="0" w:line="290"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05" w:lineRule="exact"/>
        <w:rPr>
          <w:rFonts w:ascii="Arial" w:cs="Arial" w:eastAsia="Arial" w:hAnsi="Arial"/>
          <w:sz w:val="16"/>
          <w:szCs w:val="16"/>
          <w:color w:val="auto"/>
        </w:rPr>
      </w:pPr>
    </w:p>
    <w:p>
      <w:pPr>
        <w:jc w:val="both"/>
        <w:ind w:left="2180" w:hanging="426"/>
        <w:spacing w:after="0" w:line="287" w:lineRule="auto"/>
        <w:tabs>
          <w:tab w:leader="none" w:pos="21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7"/>
          <w:szCs w:val="17"/>
          <w:color w:val="auto"/>
        </w:rPr>
      </w:pPr>
    </w:p>
    <w:p>
      <w:pPr>
        <w:jc w:val="both"/>
        <w:ind w:left="2180" w:hanging="426"/>
        <w:spacing w:after="0" w:line="259" w:lineRule="auto"/>
        <w:tabs>
          <w:tab w:leader="none" w:pos="21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8"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429260</wp:posOffset>
            </wp:positionV>
            <wp:extent cx="72967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61" w:name="page62"/>
    <w:bookmarkEnd w:id="61"/>
    <w:p>
      <w:pPr>
        <w:jc w:val="both"/>
        <w:ind w:left="1300" w:hanging="429"/>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80" w:hanging="426"/>
        <w:spacing w:after="0" w:line="280" w:lineRule="auto"/>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60" w:type="dxa"/>
            <w:vAlign w:val="bottom"/>
          </w:tcPr>
          <w:p>
            <w:pPr>
              <w:spacing w:after="0"/>
              <w:rPr>
                <w:sz w:val="20"/>
                <w:szCs w:val="20"/>
                <w:color w:val="auto"/>
              </w:rPr>
            </w:pPr>
            <w:r>
              <w:rPr>
                <w:rFonts w:ascii="Arial" w:cs="Arial" w:eastAsia="Arial" w:hAnsi="Arial"/>
                <w:sz w:val="18"/>
                <w:szCs w:val="18"/>
                <w:color w:val="auto"/>
              </w:rPr>
              <w:t>Date: November 2, 2016</w:t>
            </w:r>
          </w:p>
        </w:tc>
        <w:tc>
          <w:tcPr>
            <w:tcW w:w="7060" w:type="dxa"/>
            <w:vAlign w:val="bottom"/>
            <w:gridSpan w:val="2"/>
          </w:tcPr>
          <w:p>
            <w:pPr>
              <w:ind w:left="2500"/>
              <w:spacing w:after="0"/>
              <w:rPr>
                <w:sz w:val="20"/>
                <w:szCs w:val="20"/>
                <w:color w:val="auto"/>
              </w:rPr>
            </w:pPr>
            <w:r>
              <w:rPr>
                <w:rFonts w:ascii="Arial" w:cs="Arial" w:eastAsia="Arial" w:hAnsi="Arial"/>
                <w:sz w:val="18"/>
                <w:szCs w:val="18"/>
                <w:color w:val="auto"/>
              </w:rPr>
              <w:t>By:  /s/ C. Howard Nye</w:t>
            </w:r>
          </w:p>
        </w:tc>
      </w:tr>
      <w:tr>
        <w:trPr>
          <w:trHeight w:val="190"/>
        </w:trPr>
        <w:tc>
          <w:tcPr>
            <w:tcW w:w="4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10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C. Howard Nye</w:t>
            </w:r>
          </w:p>
        </w:tc>
      </w:tr>
      <w:tr>
        <w:trPr>
          <w:trHeight w:val="214"/>
        </w:trPr>
        <w:tc>
          <w:tcPr>
            <w:tcW w:w="4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Chairman, President and</w:t>
            </w:r>
          </w:p>
        </w:tc>
      </w:tr>
      <w:tr>
        <w:trPr>
          <w:trHeight w:val="235"/>
        </w:trPr>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31.02</w:t>
      </w:r>
    </w:p>
    <w:p>
      <w:pPr>
        <w:spacing w:after="0" w:line="200" w:lineRule="exact"/>
        <w:rPr>
          <w:sz w:val="20"/>
          <w:szCs w:val="20"/>
          <w:color w:val="auto"/>
        </w:rPr>
      </w:pPr>
    </w:p>
    <w:p>
      <w:pPr>
        <w:spacing w:after="0" w:line="261"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color w:val="auto"/>
        </w:rPr>
        <w:t>CERTIFICATION PURSUANT TO SECURITIES AND EXCHANGE ACT OF 1934 RULE 13a-14 AS ADOPTED PURSUANT TO SECTION 302 OF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Anne H. Lloyd, certify that:</w:t>
      </w:r>
    </w:p>
    <w:p>
      <w:pPr>
        <w:spacing w:after="0" w:line="222" w:lineRule="exact"/>
        <w:rPr>
          <w:sz w:val="20"/>
          <w:szCs w:val="20"/>
          <w:color w:val="auto"/>
        </w:rPr>
      </w:pPr>
    </w:p>
    <w:p>
      <w:pPr>
        <w:ind w:left="1300" w:hanging="429"/>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Form 10-Q of Martin Marietta Materials, Inc.;</w:t>
      </w:r>
    </w:p>
    <w:p>
      <w:pPr>
        <w:spacing w:after="0" w:line="221"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left="1300" w:hanging="429"/>
        <w:spacing w:after="0" w:line="290"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05" w:lineRule="exact"/>
        <w:rPr>
          <w:rFonts w:ascii="Arial" w:cs="Arial" w:eastAsia="Arial" w:hAnsi="Arial"/>
          <w:sz w:val="16"/>
          <w:szCs w:val="16"/>
          <w:color w:val="auto"/>
        </w:rPr>
      </w:pPr>
    </w:p>
    <w:p>
      <w:pPr>
        <w:jc w:val="both"/>
        <w:ind w:left="2180" w:hanging="426"/>
        <w:spacing w:after="0" w:line="287" w:lineRule="auto"/>
        <w:tabs>
          <w:tab w:leader="none" w:pos="21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7"/>
          <w:szCs w:val="17"/>
          <w:color w:val="auto"/>
        </w:rPr>
      </w:pPr>
    </w:p>
    <w:p>
      <w:pPr>
        <w:jc w:val="both"/>
        <w:ind w:left="2180" w:hanging="426"/>
        <w:spacing w:after="0" w:line="259" w:lineRule="auto"/>
        <w:tabs>
          <w:tab w:leader="none" w:pos="2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8"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581025</wp:posOffset>
            </wp:positionV>
            <wp:extent cx="72967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63" w:name="page64"/>
    <w:bookmarkEnd w:id="63"/>
    <w:p>
      <w:pPr>
        <w:jc w:val="both"/>
        <w:ind w:left="1300" w:hanging="429"/>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80" w:hanging="426"/>
        <w:spacing w:after="0" w:line="280" w:lineRule="auto"/>
        <w:tabs>
          <w:tab w:leader="none" w:pos="2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40" w:type="dxa"/>
            <w:vAlign w:val="bottom"/>
          </w:tcPr>
          <w:p>
            <w:pPr>
              <w:spacing w:after="0"/>
              <w:rPr>
                <w:sz w:val="20"/>
                <w:szCs w:val="20"/>
                <w:color w:val="auto"/>
              </w:rPr>
            </w:pPr>
            <w:r>
              <w:rPr>
                <w:rFonts w:ascii="Arial" w:cs="Arial" w:eastAsia="Arial" w:hAnsi="Arial"/>
                <w:sz w:val="18"/>
                <w:szCs w:val="18"/>
                <w:color w:val="auto"/>
              </w:rPr>
              <w:t>Date: November 2, 2016</w:t>
            </w:r>
          </w:p>
        </w:tc>
        <w:tc>
          <w:tcPr>
            <w:tcW w:w="7080" w:type="dxa"/>
            <w:vAlign w:val="bottom"/>
            <w:gridSpan w:val="2"/>
          </w:tcPr>
          <w:p>
            <w:pPr>
              <w:ind w:left="2520"/>
              <w:spacing w:after="0"/>
              <w:rPr>
                <w:sz w:val="20"/>
                <w:szCs w:val="20"/>
                <w:color w:val="auto"/>
              </w:rPr>
            </w:pPr>
            <w:r>
              <w:rPr>
                <w:rFonts w:ascii="Arial" w:cs="Arial" w:eastAsia="Arial" w:hAnsi="Arial"/>
                <w:sz w:val="18"/>
                <w:szCs w:val="18"/>
                <w:color w:val="auto"/>
              </w:rPr>
              <w:t>By:  /s/ Anne H. Lloyd</w:t>
            </w:r>
          </w:p>
        </w:tc>
      </w:tr>
      <w:tr>
        <w:trPr>
          <w:trHeight w:val="190"/>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Anne H. Lloyd</w:t>
            </w:r>
          </w:p>
        </w:tc>
      </w:tr>
      <w:tr>
        <w:trPr>
          <w:trHeight w:val="214"/>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5"/>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9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32.01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0" w:lineRule="exact"/>
        <w:rPr>
          <w:sz w:val="20"/>
          <w:szCs w:val="20"/>
          <w:color w:val="auto"/>
        </w:rPr>
      </w:pPr>
    </w:p>
    <w:p>
      <w:pPr>
        <w:jc w:val="both"/>
        <w:ind w:firstLine="879"/>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2016 (the “Report”) of Martin Marietta Materials, Inc. (the “Registrant”), as filed with the Securities and Exchange Commission on the date hereof, I, C. Howard Nye, the Chief Executive Officer of the Registrant, certify, to the best of my knowledge, that:</w:t>
      </w:r>
    </w:p>
    <w:p>
      <w:pPr>
        <w:spacing w:after="0" w:line="175" w:lineRule="exact"/>
        <w:rPr>
          <w:sz w:val="20"/>
          <w:szCs w:val="20"/>
          <w:color w:val="auto"/>
        </w:rPr>
      </w:pPr>
    </w:p>
    <w:p>
      <w:pPr>
        <w:ind w:left="1740" w:hanging="869"/>
        <w:spacing w:after="0" w:line="280" w:lineRule="auto"/>
        <w:tabs>
          <w:tab w:leader="none" w:pos="1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60" w:lineRule="exact"/>
        <w:rPr>
          <w:rFonts w:ascii="Arial" w:cs="Arial" w:eastAsia="Arial" w:hAnsi="Arial"/>
          <w:sz w:val="18"/>
          <w:szCs w:val="18"/>
          <w:color w:val="auto"/>
        </w:rPr>
      </w:pPr>
    </w:p>
    <w:p>
      <w:pPr>
        <w:ind w:left="1740" w:hanging="869"/>
        <w:spacing w:after="0" w:line="280" w:lineRule="auto"/>
        <w:tabs>
          <w:tab w:leader="none" w:pos="1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15240</wp:posOffset>
            </wp:positionV>
            <wp:extent cx="28987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 Howard Nye</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54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32.02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0" w:lineRule="exact"/>
        <w:rPr>
          <w:sz w:val="20"/>
          <w:szCs w:val="20"/>
          <w:color w:val="auto"/>
        </w:rPr>
      </w:pPr>
    </w:p>
    <w:p>
      <w:pPr>
        <w:jc w:val="both"/>
        <w:ind w:firstLine="879"/>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2016 (the “Report”) of Martin Marietta Materials, Inc. (the “Registrant”), as filed with the Securities and Exchange Commission on the date hereof, I, Anne H. Lloyd, the Chief Financial Officer of the Registrant, certify, to the best of my knowledge, that:</w:t>
      </w:r>
    </w:p>
    <w:p>
      <w:pPr>
        <w:spacing w:after="0" w:line="175" w:lineRule="exact"/>
        <w:rPr>
          <w:sz w:val="20"/>
          <w:szCs w:val="20"/>
          <w:color w:val="auto"/>
        </w:rPr>
      </w:pPr>
    </w:p>
    <w:p>
      <w:pPr>
        <w:ind w:left="1740" w:hanging="869"/>
        <w:spacing w:after="0" w:line="280" w:lineRule="auto"/>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60" w:lineRule="exact"/>
        <w:rPr>
          <w:rFonts w:ascii="Arial" w:cs="Arial" w:eastAsia="Arial" w:hAnsi="Arial"/>
          <w:sz w:val="18"/>
          <w:szCs w:val="18"/>
          <w:color w:val="auto"/>
        </w:rPr>
      </w:pPr>
    </w:p>
    <w:p>
      <w:pPr>
        <w:ind w:left="1740" w:hanging="869"/>
        <w:spacing w:after="0" w:line="280" w:lineRule="auto"/>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15240</wp:posOffset>
            </wp:positionV>
            <wp:extent cx="28987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Anne H. Lloyd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346"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presents the following items regarding certain mining safety and health matters for the three months ended September 30, 2016:</w:t>
      </w:r>
    </w:p>
    <w:p>
      <w:pPr>
        <w:spacing w:after="0" w:line="233" w:lineRule="exact"/>
        <w:rPr>
          <w:sz w:val="20"/>
          <w:szCs w:val="20"/>
          <w:color w:val="auto"/>
        </w:rPr>
      </w:pPr>
    </w:p>
    <w:p>
      <w:pPr>
        <w:jc w:val="both"/>
        <w:ind w:left="500" w:hanging="436"/>
        <w:spacing w:after="0" w:line="255" w:lineRule="auto"/>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433705</wp:posOffset>
            </wp:positionV>
            <wp:extent cx="72967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jc w:val="both"/>
        <w:ind w:left="436" w:hanging="436"/>
        <w:spacing w:after="0" w:line="259" w:lineRule="auto"/>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77" w:lineRule="exact"/>
        <w:rPr>
          <w:rFonts w:ascii="Arial" w:cs="Arial" w:eastAsia="Arial" w:hAnsi="Arial"/>
          <w:sz w:val="18"/>
          <w:szCs w:val="18"/>
          <w:b w:val="1"/>
          <w:bCs w:val="1"/>
          <w:color w:val="auto"/>
        </w:rPr>
      </w:pPr>
    </w:p>
    <w:p>
      <w:pPr>
        <w:jc w:val="both"/>
        <w:ind w:left="436" w:hanging="436"/>
        <w:spacing w:after="0" w:line="256" w:lineRule="auto"/>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82" w:lineRule="exact"/>
        <w:rPr>
          <w:rFonts w:ascii="Arial" w:cs="Arial" w:eastAsia="Arial" w:hAnsi="Arial"/>
          <w:sz w:val="18"/>
          <w:szCs w:val="18"/>
          <w:b w:val="1"/>
          <w:bCs w:val="1"/>
          <w:color w:val="auto"/>
        </w:rPr>
      </w:pPr>
    </w:p>
    <w:p>
      <w:pPr>
        <w:jc w:val="both"/>
        <w:ind w:left="436" w:hanging="436"/>
        <w:spacing w:after="0" w:line="259" w:lineRule="auto"/>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8" w:lineRule="exact"/>
        <w:rPr>
          <w:rFonts w:ascii="Arial" w:cs="Arial" w:eastAsia="Arial" w:hAnsi="Arial"/>
          <w:sz w:val="18"/>
          <w:szCs w:val="18"/>
          <w:b w:val="1"/>
          <w:bCs w:val="1"/>
          <w:color w:val="auto"/>
        </w:rPr>
      </w:pPr>
    </w:p>
    <w:p>
      <w:pPr>
        <w:jc w:val="both"/>
        <w:ind w:left="436" w:hanging="436"/>
        <w:spacing w:after="0" w:line="259" w:lineRule="auto"/>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78" w:lineRule="exact"/>
        <w:rPr>
          <w:rFonts w:ascii="Arial" w:cs="Arial" w:eastAsia="Arial" w:hAnsi="Arial"/>
          <w:sz w:val="18"/>
          <w:szCs w:val="18"/>
          <w:b w:val="1"/>
          <w:bCs w:val="1"/>
          <w:color w:val="auto"/>
        </w:rPr>
      </w:pPr>
    </w:p>
    <w:p>
      <w:pPr>
        <w:jc w:val="both"/>
        <w:ind w:left="436" w:hanging="436"/>
        <w:spacing w:after="0" w:line="259" w:lineRule="auto"/>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8" w:lineRule="exact"/>
        <w:rPr>
          <w:rFonts w:ascii="Arial" w:cs="Arial" w:eastAsia="Arial" w:hAnsi="Arial"/>
          <w:sz w:val="18"/>
          <w:szCs w:val="18"/>
          <w:b w:val="1"/>
          <w:bCs w:val="1"/>
          <w:color w:val="auto"/>
        </w:rPr>
      </w:pPr>
    </w:p>
    <w:p>
      <w:pPr>
        <w:jc w:val="both"/>
        <w:ind w:left="436" w:hanging="436"/>
        <w:spacing w:after="0" w:line="264" w:lineRule="auto"/>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292735</wp:posOffset>
            </wp:positionV>
            <wp:extent cx="7296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356"/>
          </w:cols>
          <w:pgMar w:left="304" w:top="124" w:right="239" w:bottom="1440" w:gutter="0" w:footer="0" w:header="0"/>
        </w:sectPr>
      </w:pPr>
    </w:p>
    <w:bookmarkStart w:id="68" w:name="page69"/>
    <w:bookmarkEnd w:id="68"/>
    <w:p>
      <w:pPr>
        <w:jc w:val="both"/>
        <w:ind w:left="436" w:hanging="436"/>
        <w:spacing w:after="0" w:line="259" w:lineRule="auto"/>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8"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Legal actions before the Federal Mine Safety and Health Review Commissions pending as of the last day of period.</w:t>
      </w:r>
    </w:p>
    <w:p>
      <w:pPr>
        <w:spacing w:after="0" w:line="221"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Legal actions before the Federal Mine Safety and Health Review Commissions initiated during period.</w:t>
      </w:r>
    </w:p>
    <w:p>
      <w:pPr>
        <w:spacing w:after="0" w:line="221"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Legal actions before the Federal Mine Safety and Health Review Commissions resolved during period.</w:t>
      </w:r>
    </w:p>
    <w:p>
      <w:pPr>
        <w:spacing w:after="0" w:line="200" w:lineRule="exact"/>
        <w:rPr>
          <w:sz w:val="20"/>
          <w:szCs w:val="20"/>
          <w:color w:val="auto"/>
        </w:rPr>
      </w:pPr>
    </w:p>
    <w:p>
      <w:pPr>
        <w:spacing w:after="0" w:line="236" w:lineRule="exact"/>
        <w:rPr>
          <w:sz w:val="20"/>
          <w:szCs w:val="20"/>
          <w:color w:val="auto"/>
        </w:rPr>
      </w:pPr>
    </w:p>
    <w:p>
      <w:pPr>
        <w:jc w:val="both"/>
        <w:ind w:left="56"/>
        <w:spacing w:after="0" w:line="25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September 30, 2016,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4" w:lineRule="exact"/>
        <w:rPr>
          <w:sz w:val="20"/>
          <w:szCs w:val="20"/>
          <w:color w:val="auto"/>
        </w:rPr>
      </w:pPr>
    </w:p>
    <w:p>
      <w:pPr>
        <w:ind w:left="56"/>
        <w:spacing w:after="0"/>
        <w:rPr>
          <w:sz w:val="20"/>
          <w:szCs w:val="20"/>
          <w:color w:val="auto"/>
        </w:rPr>
      </w:pPr>
      <w:r>
        <w:rPr>
          <w:rFonts w:ascii="Arial" w:cs="Arial" w:eastAsia="Arial" w:hAnsi="Arial"/>
          <w:sz w:val="18"/>
          <w:szCs w:val="18"/>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594995</wp:posOffset>
            </wp:positionV>
            <wp:extent cx="72967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356"/>
          </w:cols>
          <w:pgMar w:left="304" w:top="337"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gridSpan w:val="3"/>
          </w:tcPr>
          <w:p>
            <w:pPr>
              <w:ind w:left="680"/>
              <w:spacing w:after="0"/>
              <w:rPr>
                <w:sz w:val="20"/>
                <w:szCs w:val="20"/>
                <w:color w:val="auto"/>
              </w:rPr>
            </w:pPr>
            <w:r>
              <w:rPr>
                <w:rFonts w:ascii="Arial" w:cs="Arial" w:eastAsia="Arial" w:hAnsi="Arial"/>
                <w:sz w:val="18"/>
                <w:szCs w:val="18"/>
                <w:color w:val="auto"/>
                <w:w w:val="97"/>
              </w:rPr>
              <w:t>Appendix 1</w:t>
            </w:r>
          </w:p>
        </w:tc>
      </w:tr>
      <w:tr>
        <w:trPr>
          <w:trHeight w:val="417"/>
        </w:trPr>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91"/>
              </w:rPr>
              <w:t>Received Received</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Notice of Notice of</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Legal</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6"/>
              </w:rPr>
              <w:t>Pattern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Potential</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Actions</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Section</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to have</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Pending</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Legal</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Legal</w:t>
            </w:r>
          </w:p>
        </w:tc>
      </w:tr>
      <w:tr>
        <w:trPr>
          <w:trHeight w:val="214"/>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104(d)</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Total Dollar</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Violation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Pattern</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5"/>
              </w:rPr>
              <w:t>as of</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Actions</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Actions</w:t>
            </w:r>
          </w:p>
        </w:tc>
      </w:tr>
      <w:tr>
        <w:trPr>
          <w:trHeight w:val="214"/>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Section</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w w:val="95"/>
              </w:rPr>
              <w:t>Section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Citations</w:t>
            </w: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Section</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Section</w:t>
            </w:r>
          </w:p>
        </w:tc>
        <w:tc>
          <w:tcPr>
            <w:tcW w:w="16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Arial" w:cs="Arial" w:eastAsia="Arial" w:hAnsi="Arial"/>
                <w:sz w:val="18"/>
                <w:szCs w:val="18"/>
                <w:b w:val="1"/>
                <w:bCs w:val="1"/>
                <w:color w:val="auto"/>
                <w:w w:val="91"/>
              </w:rPr>
              <w:t>Value of</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6"/>
              </w:rPr>
              <w:t>Mining</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6"/>
              </w:rPr>
              <w:t>Under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5"/>
              </w:rPr>
              <w:t>under</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7"/>
              </w:rPr>
              <w:t>Last</w:t>
            </w: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Instituted Resolved</w:t>
            </w:r>
          </w:p>
        </w:tc>
      </w:tr>
      <w:tr>
        <w:trPr>
          <w:trHeight w:val="214"/>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104 S&amp;S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104(b)</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110(b)(2)</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6"/>
              </w:rPr>
              <w:t>107(a)</w:t>
            </w:r>
          </w:p>
        </w:tc>
        <w:tc>
          <w:tcPr>
            <w:tcW w:w="16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Arial" w:cs="Arial" w:eastAsia="Arial" w:hAnsi="Arial"/>
                <w:sz w:val="18"/>
                <w:szCs w:val="18"/>
                <w:b w:val="1"/>
                <w:bCs w:val="1"/>
                <w:color w:val="auto"/>
              </w:rPr>
              <w:t>MSHA</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Related</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6"/>
              </w:rPr>
              <w:t>Section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Section</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Day of</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During</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During</w:t>
            </w:r>
          </w:p>
        </w:tc>
      </w:tr>
      <w:tr>
        <w:trPr>
          <w:trHeight w:val="214"/>
        </w:trPr>
        <w:tc>
          <w:tcPr>
            <w:tcW w:w="1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Citations</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Orders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Orders</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Violations Orders</w:t>
            </w: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Assessment/$ Fatalities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104(e)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104(e)</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Period</w:t>
            </w:r>
          </w:p>
        </w:tc>
      </w:tr>
      <w:tr>
        <w:trPr>
          <w:trHeight w:val="235"/>
        </w:trPr>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Location</w:t>
            </w:r>
          </w:p>
        </w:tc>
        <w:tc>
          <w:tcPr>
            <w:tcW w:w="720" w:type="dxa"/>
            <w:vAlign w:val="bottom"/>
          </w:tcPr>
          <w:p>
            <w:pPr>
              <w:jc w:val="right"/>
              <w:ind w:right="168"/>
              <w:spacing w:after="0"/>
              <w:rPr>
                <w:sz w:val="20"/>
                <w:szCs w:val="20"/>
                <w:color w:val="auto"/>
              </w:rPr>
            </w:pPr>
            <w:r>
              <w:rPr>
                <w:rFonts w:ascii="Arial" w:cs="Arial" w:eastAsia="Arial" w:hAnsi="Arial"/>
                <w:sz w:val="18"/>
                <w:szCs w:val="18"/>
                <w:b w:val="1"/>
                <w:bCs w:val="1"/>
                <w:color w:val="auto"/>
              </w:rPr>
              <w:t>ID</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980" w:type="dxa"/>
            <w:vAlign w:val="bottom"/>
          </w:tcPr>
          <w:p>
            <w:pPr>
              <w:jc w:val="center"/>
              <w:ind w:right="108"/>
              <w:spacing w:after="0"/>
              <w:rPr>
                <w:sz w:val="20"/>
                <w:szCs w:val="20"/>
                <w:color w:val="auto"/>
              </w:rPr>
            </w:pPr>
            <w:r>
              <w:rPr>
                <w:rFonts w:ascii="Arial" w:cs="Arial" w:eastAsia="Arial" w:hAnsi="Arial"/>
                <w:sz w:val="18"/>
                <w:szCs w:val="18"/>
                <w:b w:val="1"/>
                <w:bCs w:val="1"/>
                <w:color w:val="auto"/>
                <w:w w:val="89"/>
              </w:rPr>
              <w:t>Proposed</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(yes/no)</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(yes/no)</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0"/>
                <w:szCs w:val="20"/>
                <w:color w:val="auto"/>
              </w:rPr>
            </w:pPr>
          </w:p>
        </w:tc>
      </w:t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Alexander</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BN5</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w w:val="98"/>
              </w:rPr>
              <w:t>American Stone</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8"/>
                <w:szCs w:val="18"/>
                <w:color w:val="auto"/>
              </w:rPr>
              <w:t>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3100189</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w w:val="96"/>
              </w:rPr>
              <w:t>Anderson Creek</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4402963</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Arrowood</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8"/>
                <w:szCs w:val="18"/>
                <w:color w:val="auto"/>
              </w:rPr>
              <w:t>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3100059</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2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Asheboro Quarry 3100066</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280" w:type="dxa"/>
            <w:vAlign w:val="bottom"/>
          </w:tcPr>
          <w:p>
            <w:pPr>
              <w:spacing w:after="0"/>
              <w:rPr>
                <w:sz w:val="20"/>
                <w:szCs w:val="20"/>
                <w:color w:val="auto"/>
              </w:rPr>
            </w:pPr>
            <w:r>
              <w:rPr>
                <w:rFonts w:ascii="Arial" w:cs="Arial" w:eastAsia="Arial" w:hAnsi="Arial"/>
                <w:sz w:val="18"/>
                <w:szCs w:val="18"/>
                <w:color w:val="auto"/>
              </w:rPr>
              <w:t>Bakers 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3100071</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2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Belgrade Quarry 3100064</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280" w:type="dxa"/>
            <w:vAlign w:val="bottom"/>
          </w:tcPr>
          <w:p>
            <w:pPr>
              <w:spacing w:after="0"/>
              <w:rPr>
                <w:sz w:val="20"/>
                <w:szCs w:val="20"/>
                <w:color w:val="auto"/>
              </w:rPr>
            </w:pPr>
            <w:r>
              <w:rPr>
                <w:rFonts w:ascii="Arial" w:cs="Arial" w:eastAsia="Arial" w:hAnsi="Arial"/>
                <w:sz w:val="18"/>
                <w:szCs w:val="18"/>
                <w:color w:val="auto"/>
              </w:rPr>
              <w:t>Benson 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3101979</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2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Berkeley Quarry 3800072</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Bessemer City</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8"/>
                <w:szCs w:val="18"/>
                <w:color w:val="auto"/>
              </w:rPr>
              <w:t>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3101105</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Black Ankle</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3102220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8"/>
                <w:szCs w:val="18"/>
                <w:color w:val="auto"/>
                <w:w w:val="94"/>
              </w:rPr>
              <w:t>Bonds Gravel Pit 3101963</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Boonsboro</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1800024</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Burlington</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8"/>
                <w:szCs w:val="18"/>
                <w:color w:val="auto"/>
              </w:rPr>
              <w:t>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3100042</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2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Caldwell Quarry 3101869</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Castle Hayne</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8"/>
                <w:szCs w:val="18"/>
                <w:color w:val="auto"/>
              </w:rPr>
              <w:t>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3100063</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Cayce Quarry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3800016</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Central Rock</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8"/>
                <w:szCs w:val="18"/>
                <w:color w:val="auto"/>
              </w:rPr>
              <w:t>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3100050</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2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Charlotte Quarry 3100057</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280" w:type="dxa"/>
            <w:vAlign w:val="bottom"/>
          </w:tcPr>
          <w:p>
            <w:pPr>
              <w:spacing w:after="0"/>
              <w:rPr>
                <w:sz w:val="20"/>
                <w:szCs w:val="20"/>
                <w:color w:val="auto"/>
              </w:rPr>
            </w:pPr>
            <w:r>
              <w:rPr>
                <w:rFonts w:ascii="Arial" w:cs="Arial" w:eastAsia="Arial" w:hAnsi="Arial"/>
                <w:sz w:val="18"/>
                <w:szCs w:val="18"/>
                <w:color w:val="auto"/>
              </w:rPr>
              <w:t>Clarks 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3102009</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Cumberland</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3102237</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80" w:type="dxa"/>
            <w:vAlign w:val="bottom"/>
          </w:tcPr>
          <w:p>
            <w:pPr>
              <w:spacing w:after="0"/>
              <w:rPr>
                <w:sz w:val="20"/>
                <w:szCs w:val="20"/>
                <w:color w:val="auto"/>
              </w:rPr>
            </w:pPr>
            <w:r>
              <w:rPr>
                <w:rFonts w:ascii="Arial" w:cs="Arial" w:eastAsia="Arial" w:hAnsi="Arial"/>
                <w:sz w:val="18"/>
                <w:szCs w:val="18"/>
                <w:color w:val="auto"/>
              </w:rPr>
              <w:t>Denver</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3101971</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Doswell Quarry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4400045</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280" w:type="dxa"/>
            <w:vAlign w:val="bottom"/>
          </w:tcPr>
          <w:p>
            <w:pPr>
              <w:spacing w:after="0"/>
              <w:rPr>
                <w:sz w:val="20"/>
                <w:szCs w:val="20"/>
                <w:color w:val="auto"/>
              </w:rPr>
            </w:pPr>
            <w:r>
              <w:rPr>
                <w:rFonts w:ascii="Arial" w:cs="Arial" w:eastAsia="Arial" w:hAnsi="Arial"/>
                <w:sz w:val="18"/>
                <w:szCs w:val="18"/>
                <w:color w:val="auto"/>
              </w:rPr>
              <w:t>East Alamance</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3102021</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w w:val="96"/>
              </w:rPr>
              <w:t>Fountain Quarry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3100065</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35"/>
        </w:trPr>
        <w:tc>
          <w:tcPr>
            <w:tcW w:w="1280" w:type="dxa"/>
            <w:vAlign w:val="bottom"/>
          </w:tcPr>
          <w:p>
            <w:pPr>
              <w:spacing w:after="0"/>
              <w:rPr>
                <w:sz w:val="20"/>
                <w:szCs w:val="20"/>
                <w:color w:val="auto"/>
              </w:rPr>
            </w:pPr>
            <w:r>
              <w:rPr>
                <w:rFonts w:ascii="Arial" w:cs="Arial" w:eastAsia="Arial" w:hAnsi="Arial"/>
                <w:sz w:val="18"/>
                <w:szCs w:val="18"/>
                <w:color w:val="auto"/>
              </w:rPr>
              <w:t>Franklin Quarry</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3102130</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502"/>
        </w:trPr>
        <w:tc>
          <w:tcPr>
            <w:tcW w:w="1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Appendix 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Fuquay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3102055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Garner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3100072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Georgetown ll</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3800525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Hickory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3100043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Hicone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3102088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6"/>
              </w:rPr>
              <w:t>Jamestown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3100051</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114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w w:val="97"/>
              </w:rPr>
              <w:t>Kannapolis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3100070</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Kings Mountain</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spacing w:after="0"/>
              <w:rPr>
                <w:sz w:val="20"/>
                <w:szCs w:val="20"/>
                <w:color w:val="auto"/>
              </w:rPr>
            </w:pPr>
            <w:r>
              <w:rPr>
                <w:rFonts w:ascii="Arial" w:cs="Arial" w:eastAsia="Arial" w:hAnsi="Arial"/>
                <w:sz w:val="18"/>
                <w:szCs w:val="18"/>
                <w:color w:val="auto"/>
              </w:rPr>
              <w:t>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3100047</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Lemon Springs</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3101104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Loamy Sand and</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spacing w:after="0"/>
              <w:rPr>
                <w:sz w:val="20"/>
                <w:szCs w:val="20"/>
                <w:color w:val="auto"/>
              </w:rPr>
            </w:pPr>
            <w:r>
              <w:rPr>
                <w:rFonts w:ascii="Arial" w:cs="Arial" w:eastAsia="Arial" w:hAnsi="Arial"/>
                <w:sz w:val="18"/>
                <w:szCs w:val="18"/>
                <w:color w:val="auto"/>
              </w:rPr>
              <w:t>Gravel</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3800721</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Maiden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3102125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Mallard Creek</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spacing w:after="0"/>
              <w:rPr>
                <w:sz w:val="20"/>
                <w:szCs w:val="20"/>
                <w:color w:val="auto"/>
              </w:rPr>
            </w:pPr>
            <w:r>
              <w:rPr>
                <w:rFonts w:ascii="Arial" w:cs="Arial" w:eastAsia="Arial" w:hAnsi="Arial"/>
                <w:sz w:val="18"/>
                <w:szCs w:val="18"/>
                <w:color w:val="auto"/>
              </w:rPr>
              <w:t>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3102006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Matthews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3102084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373</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Midlothian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4403767</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North Columbia</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3800146</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Onslow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3102120</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Pinesburg</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1800021</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Pomona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3100052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Raleigh Durham</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3101941</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Red Hill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4400072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Reidsville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3100068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Rock Hill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3800026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Rocky Point Quarry 3101956</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Salem Stone</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3102038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Statesville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3100055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Thomasville Quarry 3101475</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324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Wilmington Sand</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3101308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Woodleaf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3100069</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(45) North</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Indianapolis</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SURFACE</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1200002</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Appendix 1</w:t>
            </w:r>
          </w:p>
        </w:tc>
      </w:tr>
      <w:tr>
        <w:trPr>
          <w:trHeight w:val="438"/>
        </w:trPr>
        <w:tc>
          <w:tcPr>
            <w:tcW w:w="1540" w:type="dxa"/>
            <w:vAlign w:val="bottom"/>
          </w:tcPr>
          <w:p>
            <w:pPr>
              <w:spacing w:after="0"/>
              <w:rPr>
                <w:sz w:val="20"/>
                <w:szCs w:val="20"/>
                <w:color w:val="auto"/>
              </w:rPr>
            </w:pPr>
            <w:r>
              <w:rPr>
                <w:rFonts w:ascii="Arial" w:cs="Arial" w:eastAsia="Arial" w:hAnsi="Arial"/>
                <w:sz w:val="18"/>
                <w:szCs w:val="18"/>
                <w:color w:val="auto"/>
              </w:rPr>
              <w:t>Apple Grove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3301676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Belmont Sand</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1201911</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Burning Springs</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4608862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114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Carmel SandG</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1202124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Cedarville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3304072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Cloverdale</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1201744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Cook Road</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3304534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E-Town SandG</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3304279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Fairfield</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3301396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Kentucky Ave Mine 1201762</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853</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Kokomo Mine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1202105</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Kokomo Sand</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1202203</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Kokomo Stone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1200142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Noblesville SandG</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1201994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Noblesville Stone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1202176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2,115</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North Indianapolis</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1201993</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3</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1</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3,681</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Petersburg</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1516895</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Phillipsburg</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3300006</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Shamrock SG</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3304011</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Troy Gravel</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3301678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Waverly Sand</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1202038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Xenia</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3301393</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Appling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901083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Auburn, Al 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100006</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8"/>
              </w:rPr>
              <w:t>Auburn, GA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900436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w w:val="96"/>
              </w:rPr>
              <w:t>Augusta Quarry-GA</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900065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2420" w:type="dxa"/>
            <w:vAlign w:val="bottom"/>
            <w:gridSpan w:val="2"/>
          </w:tcPr>
          <w:p>
            <w:pPr>
              <w:spacing w:after="0"/>
              <w:rPr>
                <w:sz w:val="20"/>
                <w:szCs w:val="20"/>
                <w:color w:val="auto"/>
              </w:rPr>
            </w:pPr>
            <w:r>
              <w:rPr>
                <w:rFonts w:ascii="Arial" w:cs="Arial" w:eastAsia="Arial" w:hAnsi="Arial"/>
                <w:sz w:val="18"/>
                <w:szCs w:val="18"/>
                <w:color w:val="auto"/>
              </w:rPr>
              <w:t>Chattanooga Quarry 4003159</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Forsyth 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901035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271</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Jefferson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901106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Junction City</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901029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Lithonia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900023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228</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Maylene 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100634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Morgan Co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901126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Newton 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900899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510"/>
        </w:trPr>
        <w:tc>
          <w:tcPr>
            <w:tcW w:w="1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Appendix 1</w:t>
            </w:r>
          </w:p>
        </w:tc>
      </w:tr>
      <w:tr>
        <w:trPr>
          <w:trHeight w:val="438"/>
        </w:trPr>
        <w:tc>
          <w:tcPr>
            <w:tcW w:w="1540" w:type="dxa"/>
            <w:vAlign w:val="bottom"/>
          </w:tcPr>
          <w:p>
            <w:pPr>
              <w:spacing w:after="0"/>
              <w:rPr>
                <w:sz w:val="20"/>
                <w:szCs w:val="20"/>
                <w:color w:val="auto"/>
              </w:rPr>
            </w:pPr>
            <w:r>
              <w:rPr>
                <w:rFonts w:ascii="Arial" w:cs="Arial" w:eastAsia="Arial" w:hAnsi="Arial"/>
                <w:sz w:val="18"/>
                <w:szCs w:val="18"/>
                <w:color w:val="auto"/>
                <w:w w:val="95"/>
              </w:rPr>
              <w:t>ONeal Quarry Co19</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103076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Paulding 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901107</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Perry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801083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Red Oak 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900069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Ruby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900074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Six Mile 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901144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Tyrone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900306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w w:val="95"/>
              </w:rPr>
              <w:t>Vance Quarry Co19</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103022</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Warrenton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rPr>
              <w:t>900580</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Alden Portable</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Sand</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1302037</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Alden Portable</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Plant 1</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1302031</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114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Alden Portable</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Plant 2</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1302033</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Alden Portable</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Wash</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1302122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Alden Quarry -</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Shop</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1300228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Ames Mine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1300014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228</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Cedar Rapids</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1300122</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Des Moines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Portable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1300150</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1,476</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Des Moines Shop</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1300932</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Dubois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2501046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Durham Mine</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1301225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Earlham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1302123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Environmental</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Crew (Plant 854)</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1302126</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Ferguson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1300124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Fort Calhoun</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2500006</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Fort Dodge Mine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1300032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Greenwood</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2300141</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Iowa Grading</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1302316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Linn County Sand</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1302208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Malcom Mine</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1300112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1,046</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w w:val="99"/>
              </w:rPr>
              <w:t>Marshalltown Sand</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1300718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Moore Quarry</w:t>
            </w:r>
          </w:p>
        </w:tc>
        <w:tc>
          <w:tcPr>
            <w:tcW w:w="880" w:type="dxa"/>
            <w:vAlign w:val="bottom"/>
          </w:tcPr>
          <w:p>
            <w:pPr>
              <w:jc w:val="right"/>
              <w:ind w:right="108"/>
              <w:spacing w:after="0"/>
              <w:rPr>
                <w:sz w:val="20"/>
                <w:szCs w:val="20"/>
                <w:color w:val="auto"/>
              </w:rPr>
            </w:pPr>
            <w:r>
              <w:rPr>
                <w:rFonts w:ascii="Arial" w:cs="Arial" w:eastAsia="Arial" w:hAnsi="Arial"/>
                <w:sz w:val="18"/>
                <w:szCs w:val="18"/>
                <w:color w:val="auto"/>
                <w:w w:val="94"/>
              </w:rPr>
              <w:t>1302188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New Harvey Sand</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4"/>
              </w:rPr>
              <w:t>1301778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510"/>
        </w:trPr>
        <w:tc>
          <w:tcPr>
            <w:tcW w:w="1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Appendix 1</w:t>
            </w:r>
          </w:p>
        </w:tc>
      </w:tr>
      <w:tr>
        <w:trPr>
          <w:trHeight w:val="421"/>
        </w:trPr>
        <w:tc>
          <w:tcPr>
            <w:tcW w:w="1500" w:type="dxa"/>
            <w:vAlign w:val="bottom"/>
          </w:tcPr>
          <w:p>
            <w:pPr>
              <w:spacing w:after="0"/>
              <w:rPr>
                <w:sz w:val="20"/>
                <w:szCs w:val="20"/>
                <w:color w:val="auto"/>
              </w:rPr>
            </w:pPr>
            <w:r>
              <w:rPr>
                <w:rFonts w:ascii="Arial" w:cs="Arial" w:eastAsia="Arial" w:hAnsi="Arial"/>
                <w:sz w:val="18"/>
                <w:szCs w:val="18"/>
                <w:color w:val="auto"/>
                <w:w w:val="99"/>
              </w:rPr>
              <w:t>Northwest Division</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OH</w:t>
            </w:r>
          </w:p>
        </w:tc>
        <w:tc>
          <w:tcPr>
            <w:tcW w:w="920" w:type="dxa"/>
            <w:vAlign w:val="bottom"/>
          </w:tcPr>
          <w:p>
            <w:pPr>
              <w:ind w:left="60"/>
              <w:spacing w:after="0"/>
              <w:rPr>
                <w:sz w:val="20"/>
                <w:szCs w:val="20"/>
                <w:color w:val="auto"/>
              </w:rPr>
            </w:pPr>
            <w:r>
              <w:rPr>
                <w:rFonts w:ascii="Arial" w:cs="Arial" w:eastAsia="Arial" w:hAnsi="Arial"/>
                <w:sz w:val="18"/>
                <w:szCs w:val="18"/>
                <w:color w:val="auto"/>
              </w:rPr>
              <w:t>A2354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Ottawa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1401590</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Pacific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4500844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Parkville Mine</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2301883</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290</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Pederson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1302192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314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Raccoon River Sand 1302315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Randolph Deep</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Mine</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2302308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Reasoner Sand</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1300814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Saylorville Sand</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1302290</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St Cloud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2100081</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Stamper Mine</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2302232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Sully Mine</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1300063</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3</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1,452</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Sunflower</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1401556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608</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Weeping Water</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Mine</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2500998</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3</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3,211</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4</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Yellow Medicine</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2100033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211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4103829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2420" w:type="dxa"/>
            <w:vAlign w:val="bottom"/>
            <w:gridSpan w:val="2"/>
          </w:tcPr>
          <w:p>
            <w:pPr>
              <w:spacing w:after="0"/>
              <w:rPr>
                <w:sz w:val="20"/>
                <w:szCs w:val="20"/>
                <w:color w:val="auto"/>
              </w:rPr>
            </w:pPr>
            <w:r>
              <w:rPr>
                <w:rFonts w:ascii="Arial" w:cs="Arial" w:eastAsia="Arial" w:hAnsi="Arial"/>
                <w:sz w:val="18"/>
                <w:szCs w:val="18"/>
                <w:color w:val="auto"/>
              </w:rPr>
              <w:t>Augusta Quarry-KS 1400126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Beckman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4101335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Bedrock Plant</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4103283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228</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Bells Savoy SG TXI 4104019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1,076</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w w:val="98"/>
              </w:rPr>
              <w:t>Black Rock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rPr>
              <w:t>300011</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114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Black Spur Quarry</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4104159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Blake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1401584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Bridgeport Stone</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TXI</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4100007</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2420" w:type="dxa"/>
            <w:vAlign w:val="bottom"/>
            <w:gridSpan w:val="2"/>
          </w:tcPr>
          <w:p>
            <w:pPr>
              <w:spacing w:after="0"/>
              <w:rPr>
                <w:sz w:val="20"/>
                <w:szCs w:val="20"/>
                <w:color w:val="auto"/>
              </w:rPr>
            </w:pPr>
            <w:r>
              <w:rPr>
                <w:rFonts w:ascii="Arial" w:cs="Arial" w:eastAsia="Arial" w:hAnsi="Arial"/>
                <w:sz w:val="18"/>
                <w:szCs w:val="18"/>
                <w:color w:val="auto"/>
              </w:rPr>
              <w:t>Broken Bow SandG 3400460</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Chico</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4103360</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370</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Davis</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3401299</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114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Garfield SG TXI</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4103909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Garwood</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4102886</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114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GMS - TXI</w:t>
            </w:r>
          </w:p>
        </w:tc>
        <w:tc>
          <w:tcPr>
            <w:tcW w:w="920" w:type="dxa"/>
            <w:vAlign w:val="bottom"/>
            <w:shd w:val="clear" w:color="auto" w:fill="CFF0FC"/>
          </w:tcPr>
          <w:p>
            <w:pPr>
              <w:ind w:left="60"/>
              <w:spacing w:after="0"/>
              <w:rPr>
                <w:sz w:val="20"/>
                <w:szCs w:val="20"/>
                <w:color w:val="auto"/>
              </w:rPr>
            </w:pPr>
            <w:r>
              <w:rPr>
                <w:rFonts w:ascii="Arial" w:cs="Arial" w:eastAsia="Arial" w:hAnsi="Arial"/>
                <w:sz w:val="18"/>
                <w:szCs w:val="18"/>
                <w:color w:val="auto"/>
              </w:rPr>
              <w:t>C335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Hatton Quarry</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rPr>
              <w:t>301614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Helotes</w:t>
            </w:r>
          </w:p>
        </w:tc>
        <w:tc>
          <w:tcPr>
            <w:tcW w:w="92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9"/>
              </w:rPr>
              <w:t>4103137</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114</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35"/>
        </w:trPr>
        <w:tc>
          <w:tcPr>
            <w:tcW w:w="1500" w:type="dxa"/>
            <w:vAlign w:val="bottom"/>
          </w:tcPr>
          <w:p>
            <w:pPr>
              <w:spacing w:after="0"/>
              <w:rPr>
                <w:sz w:val="20"/>
                <w:szCs w:val="20"/>
                <w:color w:val="auto"/>
              </w:rPr>
            </w:pPr>
            <w:r>
              <w:rPr>
                <w:rFonts w:ascii="Arial" w:cs="Arial" w:eastAsia="Arial" w:hAnsi="Arial"/>
                <w:sz w:val="18"/>
                <w:szCs w:val="18"/>
                <w:color w:val="auto"/>
              </w:rPr>
              <w:t>Hondo</w:t>
            </w:r>
          </w:p>
        </w:tc>
        <w:tc>
          <w:tcPr>
            <w:tcW w:w="920" w:type="dxa"/>
            <w:vAlign w:val="bottom"/>
          </w:tcPr>
          <w:p>
            <w:pPr>
              <w:jc w:val="right"/>
              <w:ind w:right="108"/>
              <w:spacing w:after="0"/>
              <w:rPr>
                <w:sz w:val="20"/>
                <w:szCs w:val="20"/>
                <w:color w:val="auto"/>
              </w:rPr>
            </w:pPr>
            <w:r>
              <w:rPr>
                <w:rFonts w:ascii="Arial" w:cs="Arial" w:eastAsia="Arial" w:hAnsi="Arial"/>
                <w:sz w:val="18"/>
                <w:szCs w:val="18"/>
                <w:color w:val="auto"/>
                <w:w w:val="99"/>
              </w:rPr>
              <w:t>4104708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502"/>
        </w:trPr>
        <w:tc>
          <w:tcPr>
            <w:tcW w:w="1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Appendix 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Hondo-1</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4104090</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Hugo</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3400061</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Idabel</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3400507</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Jena Aggregates</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gridSpan w:val="2"/>
          </w:tcPr>
          <w:p>
            <w:pPr>
              <w:spacing w:after="0"/>
              <w:rPr>
                <w:sz w:val="20"/>
                <w:szCs w:val="20"/>
                <w:color w:val="auto"/>
              </w:rPr>
            </w:pPr>
            <w:r>
              <w:rPr>
                <w:rFonts w:ascii="Arial" w:cs="Arial" w:eastAsia="Arial" w:hAnsi="Arial"/>
                <w:sz w:val="18"/>
                <w:szCs w:val="18"/>
                <w:color w:val="auto"/>
              </w:rPr>
              <w:t>TXI</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1601298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Jones Mill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301586</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Koontz McCombs</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gridSpan w:val="2"/>
          </w:tcPr>
          <w:p>
            <w:pPr>
              <w:spacing w:after="0"/>
              <w:rPr>
                <w:sz w:val="20"/>
                <w:szCs w:val="20"/>
                <w:color w:val="auto"/>
              </w:rPr>
            </w:pPr>
            <w:r>
              <w:rPr>
                <w:rFonts w:ascii="Arial" w:cs="Arial" w:eastAsia="Arial" w:hAnsi="Arial"/>
                <w:sz w:val="18"/>
                <w:szCs w:val="18"/>
                <w:color w:val="auto"/>
              </w:rPr>
              <w:t>Pit</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4105048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238</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Medina Rock and</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Rail</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4105170</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1</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Mill Creek</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3401285</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Mill Creek TXI</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3401859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New Braunfels</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gridSpan w:val="2"/>
          </w:tcPr>
          <w:p>
            <w:pPr>
              <w:spacing w:after="0"/>
              <w:rPr>
                <w:sz w:val="20"/>
                <w:szCs w:val="20"/>
                <w:color w:val="auto"/>
              </w:rPr>
            </w:pPr>
            <w:r>
              <w:rPr>
                <w:rFonts w:ascii="Arial" w:cs="Arial" w:eastAsia="Arial" w:hAnsi="Arial"/>
                <w:sz w:val="18"/>
                <w:szCs w:val="18"/>
                <w:color w:val="auto"/>
              </w:rPr>
              <w:t>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4104264</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Perryville</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Aggregates TXI</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1601417</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4"/>
              </w:rPr>
              <w:t>Poteet (Sand Plant)</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4101342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Rio Medina</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4103594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San Pedro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4101337</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Sawyer</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3401634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Snyder</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3401651</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1,867</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South Texas Port</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No.2</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4104204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Tin Top SG TXI</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4102852</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342</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Washita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3402049</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Webberville TXI</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4104363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Woodworth</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Aggregates TXI</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1601070</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Cottonwood Sand</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gridSpan w:val="2"/>
          </w:tcPr>
          <w:p>
            <w:pPr>
              <w:spacing w:after="0"/>
              <w:rPr>
                <w:sz w:val="20"/>
                <w:szCs w:val="20"/>
                <w:color w:val="auto"/>
              </w:rPr>
            </w:pPr>
            <w:r>
              <w:rPr>
                <w:rFonts w:ascii="Arial" w:cs="Arial" w:eastAsia="Arial" w:hAnsi="Arial"/>
                <w:sz w:val="18"/>
                <w:szCs w:val="18"/>
                <w:color w:val="auto"/>
              </w:rPr>
              <w:t>and Gravel</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rPr>
              <w:t>504418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444</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w w:val="97"/>
              </w:rPr>
              <w:t>Fountain Sand and</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Gravel</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503821</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Granite Canyon</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gridSpan w:val="2"/>
          </w:tcPr>
          <w:p>
            <w:pPr>
              <w:spacing w:after="0"/>
              <w:rPr>
                <w:sz w:val="20"/>
                <w:szCs w:val="20"/>
                <w:color w:val="auto"/>
              </w:rPr>
            </w:pPr>
            <w:r>
              <w:rPr>
                <w:rFonts w:ascii="Arial" w:cs="Arial" w:eastAsia="Arial" w:hAnsi="Arial"/>
                <w:sz w:val="18"/>
                <w:szCs w:val="18"/>
                <w:color w:val="auto"/>
              </w:rPr>
              <w:t>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4800018</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w w:val="92"/>
              </w:rPr>
              <w:t>Greeley 35th Ready</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Mix</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503215</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8"/>
              </w:rPr>
              <w:t>Greeley 35th Sand</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gridSpan w:val="2"/>
          </w:tcPr>
          <w:p>
            <w:pPr>
              <w:spacing w:after="0"/>
              <w:rPr>
                <w:sz w:val="20"/>
                <w:szCs w:val="20"/>
                <w:color w:val="auto"/>
              </w:rPr>
            </w:pPr>
            <w:r>
              <w:rPr>
                <w:rFonts w:ascii="Arial" w:cs="Arial" w:eastAsia="Arial" w:hAnsi="Arial"/>
                <w:sz w:val="18"/>
                <w:szCs w:val="18"/>
                <w:color w:val="auto"/>
              </w:rPr>
              <w:t>and Gravel</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rPr>
              <w:t>504613</w:t>
            </w:r>
          </w:p>
        </w:tc>
        <w:tc>
          <w:tcPr>
            <w:tcW w:w="6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Guernsey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4800004</w:t>
            </w:r>
          </w:p>
        </w:tc>
        <w:tc>
          <w:tcPr>
            <w:tcW w:w="660" w:type="dxa"/>
            <w:vAlign w:val="bottom"/>
            <w:shd w:val="clear" w:color="auto" w:fill="CFF0FC"/>
          </w:tcPr>
          <w:p>
            <w:pPr>
              <w:jc w:val="right"/>
              <w:ind w:right="288"/>
              <w:spacing w:after="0"/>
              <w:rPr>
                <w:sz w:val="20"/>
                <w:szCs w:val="20"/>
                <w:color w:val="auto"/>
              </w:rPr>
            </w:pPr>
            <w:r>
              <w:rPr>
                <w:rFonts w:ascii="Arial" w:cs="Arial" w:eastAsia="Arial" w:hAnsi="Arial"/>
                <w:sz w:val="18"/>
                <w:szCs w:val="18"/>
                <w:color w:val="auto"/>
              </w:rPr>
              <w:t>0</w:t>
            </w:r>
          </w:p>
        </w:tc>
        <w:tc>
          <w:tcPr>
            <w:tcW w:w="82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50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656</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Appendix 1</w:t>
            </w:r>
          </w:p>
        </w:tc>
      </w:tr>
      <w:tr>
        <w:trPr>
          <w:trHeight w:val="438"/>
        </w:trPr>
        <w:tc>
          <w:tcPr>
            <w:tcW w:w="1540" w:type="dxa"/>
            <w:vAlign w:val="bottom"/>
          </w:tcPr>
          <w:p>
            <w:pPr>
              <w:spacing w:after="0"/>
              <w:rPr>
                <w:sz w:val="20"/>
                <w:szCs w:val="20"/>
                <w:color w:val="auto"/>
              </w:rPr>
            </w:pPr>
            <w:r>
              <w:rPr>
                <w:rFonts w:ascii="Arial" w:cs="Arial" w:eastAsia="Arial" w:hAnsi="Arial"/>
                <w:sz w:val="18"/>
                <w:szCs w:val="18"/>
                <w:color w:val="auto"/>
              </w:rPr>
              <w:t>Milford</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w w:val="94"/>
              </w:rPr>
              <w:t>4202177</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385</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Northern Portable</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Plant #1</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504359</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Northern Portable</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Plant #19</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504382</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Northern Portable</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Plant #3</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504361</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Parkdale Quarry</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504635</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Penrose SG</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504509</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Portable Crushing</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503984</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w w:val="94"/>
              </w:rPr>
              <w:t>Portable Recycle 21</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504520</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4"/>
              </w:rPr>
              <w:t>Red Canyon Quarry</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504136</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1</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848</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w w:val="92"/>
              </w:rPr>
              <w:t>Riverbend Sand and</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Gravel</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504841</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Sokol SG</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504977</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w w:val="95"/>
              </w:rPr>
              <w:t>Spanish Springs Co</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2</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w w:val="94"/>
              </w:rPr>
              <w:t>2600803</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6</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w w:val="94"/>
              </w:rPr>
              <w:t>Spec Agg Sand and</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Gravel</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500860</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1</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Taft Sand and</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Gravel</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504526</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Taft Shop</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rPr>
              <w:t>504735</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Three Bells Ditullio</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Sand and Gravel</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504361</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2380" w:type="dxa"/>
            <w:vAlign w:val="bottom"/>
            <w:gridSpan w:val="2"/>
          </w:tcPr>
          <w:p>
            <w:pPr>
              <w:spacing w:after="0"/>
              <w:rPr>
                <w:sz w:val="20"/>
                <w:szCs w:val="20"/>
                <w:color w:val="auto"/>
              </w:rPr>
            </w:pPr>
            <w:r>
              <w:rPr>
                <w:rFonts w:ascii="Arial" w:cs="Arial" w:eastAsia="Arial" w:hAnsi="Arial"/>
                <w:sz w:val="18"/>
                <w:szCs w:val="18"/>
                <w:color w:val="auto"/>
              </w:rPr>
              <w:t>Hunter Cement TXI 4102820</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6,549</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Midlothian Cement</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TXI</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w w:val="94"/>
              </w:rPr>
              <w:t>4100071</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Salisbury Shop</w:t>
            </w:r>
          </w:p>
        </w:tc>
        <w:tc>
          <w:tcPr>
            <w:tcW w:w="840" w:type="dxa"/>
            <w:vAlign w:val="bottom"/>
          </w:tcPr>
          <w:p>
            <w:pPr>
              <w:jc w:val="right"/>
              <w:ind w:right="68"/>
              <w:spacing w:after="0"/>
              <w:rPr>
                <w:sz w:val="20"/>
                <w:szCs w:val="20"/>
                <w:color w:val="auto"/>
              </w:rPr>
            </w:pPr>
            <w:r>
              <w:rPr>
                <w:rFonts w:ascii="Arial" w:cs="Arial" w:eastAsia="Arial" w:hAnsi="Arial"/>
                <w:sz w:val="18"/>
                <w:szCs w:val="18"/>
                <w:color w:val="auto"/>
                <w:w w:val="94"/>
              </w:rPr>
              <w:t>3101235</w:t>
            </w:r>
          </w:p>
        </w:tc>
        <w:tc>
          <w:tcPr>
            <w:tcW w:w="720" w:type="dxa"/>
            <w:vAlign w:val="bottom"/>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tcPr>
          <w:p>
            <w:pPr>
              <w:jc w:val="right"/>
              <w:ind w:right="188"/>
              <w:spacing w:after="0"/>
              <w:rPr>
                <w:sz w:val="20"/>
                <w:szCs w:val="20"/>
                <w:color w:val="auto"/>
              </w:rPr>
            </w:pPr>
            <w:r>
              <w:rPr>
                <w:rFonts w:ascii="Arial" w:cs="Arial" w:eastAsia="Arial" w:hAnsi="Arial"/>
                <w:sz w:val="18"/>
                <w:szCs w:val="18"/>
                <w:color w:val="auto"/>
              </w:rPr>
              <w:t>0</w:t>
            </w: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Woodville</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w w:val="94"/>
              </w:rPr>
              <w:t>3300156</w:t>
            </w:r>
          </w:p>
        </w:tc>
        <w:tc>
          <w:tcPr>
            <w:tcW w:w="720" w:type="dxa"/>
            <w:vAlign w:val="bottom"/>
            <w:shd w:val="clear" w:color="auto" w:fill="CFF0FC"/>
          </w:tcPr>
          <w:p>
            <w:pPr>
              <w:jc w:val="center"/>
              <w:ind w:right="88"/>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2,919</w:t>
            </w:r>
          </w:p>
        </w:tc>
        <w:tc>
          <w:tcPr>
            <w:tcW w:w="56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FF0FC"/>
          </w:tcPr>
          <w:p>
            <w:pPr>
              <w:jc w:val="center"/>
              <w:ind w:left="168"/>
              <w:spacing w:after="0"/>
              <w:rPr>
                <w:sz w:val="20"/>
                <w:szCs w:val="20"/>
                <w:color w:val="auto"/>
              </w:rPr>
            </w:pPr>
            <w:r>
              <w:rPr>
                <w:rFonts w:ascii="Arial" w:cs="Arial" w:eastAsia="Arial" w:hAnsi="Arial"/>
                <w:sz w:val="18"/>
                <w:szCs w:val="18"/>
                <w:color w:val="auto"/>
                <w:w w:val="99"/>
              </w:rPr>
              <w:t>0</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8"/>
                <w:szCs w:val="18"/>
                <w:color w:val="auto"/>
              </w:rPr>
              <w:t>0</w:t>
            </w:r>
          </w:p>
        </w:tc>
      </w:tr>
      <w:tr>
        <w:trPr>
          <w:trHeight w:val="239"/>
        </w:trPr>
        <w:tc>
          <w:tcPr>
            <w:tcW w:w="154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840" w:type="dxa"/>
            <w:vAlign w:val="bottom"/>
          </w:tcPr>
          <w:p>
            <w:pPr>
              <w:spacing w:after="0"/>
              <w:rPr>
                <w:sz w:val="20"/>
                <w:szCs w:val="20"/>
                <w:color w:val="auto"/>
              </w:rPr>
            </w:pPr>
          </w:p>
        </w:tc>
        <w:tc>
          <w:tcPr>
            <w:tcW w:w="720" w:type="dxa"/>
            <w:vAlign w:val="bottom"/>
          </w:tcPr>
          <w:p>
            <w:pPr>
              <w:jc w:val="center"/>
              <w:ind w:right="88"/>
              <w:spacing w:after="0"/>
              <w:rPr>
                <w:sz w:val="20"/>
                <w:szCs w:val="20"/>
                <w:color w:val="auto"/>
              </w:rPr>
            </w:pPr>
            <w:r>
              <w:rPr>
                <w:rFonts w:ascii="Arial" w:cs="Arial" w:eastAsia="Arial" w:hAnsi="Arial"/>
                <w:sz w:val="18"/>
                <w:szCs w:val="18"/>
                <w:b w:val="1"/>
                <w:bCs w:val="1"/>
                <w:color w:val="auto"/>
                <w:w w:val="89"/>
              </w:rPr>
              <w:t>32</w:t>
            </w:r>
          </w:p>
        </w:tc>
        <w:tc>
          <w:tcPr>
            <w:tcW w:w="800" w:type="dxa"/>
            <w:vAlign w:val="bottom"/>
          </w:tcPr>
          <w:p>
            <w:pPr>
              <w:jc w:val="right"/>
              <w:ind w:right="248"/>
              <w:spacing w:after="0"/>
              <w:rPr>
                <w:sz w:val="20"/>
                <w:szCs w:val="20"/>
                <w:color w:val="auto"/>
              </w:rPr>
            </w:pPr>
            <w:r>
              <w:rPr>
                <w:rFonts w:ascii="Arial" w:cs="Arial" w:eastAsia="Arial" w:hAnsi="Arial"/>
                <w:sz w:val="18"/>
                <w:szCs w:val="18"/>
                <w:b w:val="1"/>
                <w:bCs w:val="1"/>
                <w:color w:val="auto"/>
              </w:rPr>
              <w:t>1</w:t>
            </w:r>
          </w:p>
        </w:tc>
        <w:tc>
          <w:tcPr>
            <w:tcW w:w="720" w:type="dxa"/>
            <w:vAlign w:val="bottom"/>
          </w:tcPr>
          <w:p>
            <w:pPr>
              <w:jc w:val="right"/>
              <w:ind w:right="208"/>
              <w:spacing w:after="0"/>
              <w:rPr>
                <w:sz w:val="20"/>
                <w:szCs w:val="20"/>
                <w:color w:val="auto"/>
              </w:rPr>
            </w:pPr>
            <w:r>
              <w:rPr>
                <w:rFonts w:ascii="Arial" w:cs="Arial" w:eastAsia="Arial" w:hAnsi="Arial"/>
                <w:sz w:val="18"/>
                <w:szCs w:val="18"/>
                <w:b w:val="1"/>
                <w:bCs w:val="1"/>
                <w:color w:val="auto"/>
              </w:rPr>
              <w:t>0</w:t>
            </w:r>
          </w:p>
        </w:tc>
        <w:tc>
          <w:tcPr>
            <w:tcW w:w="720" w:type="dxa"/>
            <w:vAlign w:val="bottom"/>
          </w:tcPr>
          <w:p>
            <w:pPr>
              <w:jc w:val="right"/>
              <w:ind w:right="228"/>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jc w:val="right"/>
              <w:ind w:right="48"/>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jc w:val="right"/>
              <w:ind w:right="108"/>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68"/>
              <w:spacing w:after="0"/>
              <w:rPr>
                <w:sz w:val="20"/>
                <w:szCs w:val="20"/>
                <w:color w:val="auto"/>
              </w:rPr>
            </w:pPr>
            <w:r>
              <w:rPr>
                <w:rFonts w:ascii="Arial" w:cs="Arial" w:eastAsia="Arial" w:hAnsi="Arial"/>
                <w:sz w:val="18"/>
                <w:szCs w:val="18"/>
                <w:b w:val="1"/>
                <w:bCs w:val="1"/>
                <w:color w:val="auto"/>
              </w:rPr>
              <w:t>34,226</w:t>
            </w:r>
          </w:p>
        </w:tc>
        <w:tc>
          <w:tcPr>
            <w:tcW w:w="560" w:type="dxa"/>
            <w:vAlign w:val="bottom"/>
          </w:tcPr>
          <w:p>
            <w:pPr>
              <w:jc w:val="right"/>
              <w:ind w:right="188"/>
              <w:spacing w:after="0"/>
              <w:rPr>
                <w:sz w:val="20"/>
                <w:szCs w:val="20"/>
                <w:color w:val="auto"/>
              </w:rPr>
            </w:pPr>
            <w:r>
              <w:rPr>
                <w:rFonts w:ascii="Arial" w:cs="Arial" w:eastAsia="Arial" w:hAnsi="Arial"/>
                <w:sz w:val="18"/>
                <w:szCs w:val="18"/>
                <w:b w:val="1"/>
                <w:bCs w:val="1"/>
                <w:color w:val="auto"/>
              </w:rPr>
              <w:t>0</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21</w:t>
            </w:r>
          </w:p>
        </w:tc>
        <w:tc>
          <w:tcPr>
            <w:tcW w:w="480" w:type="dxa"/>
            <w:vAlign w:val="bottom"/>
          </w:tcPr>
          <w:p>
            <w:pPr>
              <w:jc w:val="center"/>
              <w:ind w:left="168"/>
              <w:spacing w:after="0"/>
              <w:rPr>
                <w:sz w:val="20"/>
                <w:szCs w:val="20"/>
                <w:color w:val="auto"/>
              </w:rPr>
            </w:pPr>
            <w:r>
              <w:rPr>
                <w:rFonts w:ascii="Arial" w:cs="Arial" w:eastAsia="Arial" w:hAnsi="Arial"/>
                <w:sz w:val="18"/>
                <w:szCs w:val="18"/>
                <w:b w:val="1"/>
                <w:bCs w:val="1"/>
                <w:color w:val="auto"/>
                <w:w w:val="89"/>
              </w:rPr>
              <w:t>13</w:t>
            </w:r>
          </w:p>
        </w:tc>
        <w:tc>
          <w:tcPr>
            <w:tcW w:w="900" w:type="dxa"/>
            <w:vAlign w:val="bottom"/>
          </w:tcPr>
          <w:p>
            <w:pPr>
              <w:jc w:val="right"/>
              <w:ind w:right="188"/>
              <w:spacing w:after="0"/>
              <w:rPr>
                <w:sz w:val="20"/>
                <w:szCs w:val="20"/>
                <w:color w:val="auto"/>
              </w:rPr>
            </w:pPr>
            <w:r>
              <w:rPr>
                <w:rFonts w:ascii="Arial" w:cs="Arial" w:eastAsia="Arial" w:hAnsi="Arial"/>
                <w:sz w:val="18"/>
                <w:szCs w:val="18"/>
                <w:b w:val="1"/>
                <w:bCs w:val="1"/>
                <w:color w:val="auto"/>
              </w:rPr>
              <w:t>4</w:t>
            </w:r>
          </w:p>
        </w:tc>
      </w:tr>
    </w:tbl>
    <w:p>
      <w:pPr>
        <w:spacing w:after="0" w:line="186" w:lineRule="exact"/>
        <w:rPr>
          <w:sz w:val="20"/>
          <w:szCs w:val="20"/>
          <w:color w:val="auto"/>
        </w:rPr>
      </w:pPr>
    </w:p>
    <w:p>
      <w:pPr>
        <w:jc w:val="both"/>
        <w:ind w:left="80"/>
        <w:spacing w:after="0" w:line="279" w:lineRule="auto"/>
        <w:rPr>
          <w:sz w:val="20"/>
          <w:szCs w:val="20"/>
          <w:color w:val="auto"/>
        </w:rPr>
      </w:pPr>
      <w:r>
        <w:rPr>
          <w:rFonts w:ascii="Arial" w:cs="Arial" w:eastAsia="Arial" w:hAnsi="Arial"/>
          <w:sz w:val="17"/>
          <w:szCs w:val="17"/>
          <w:color w:val="auto"/>
        </w:rPr>
        <w:t>*Of the 21 legal actions pending on September 30, 2016, 13 were contests of citations or orders referenced in Subpart B of CFR Part 2700, which includes contests of citations and orders issued under Section 104 of the Mine Act and contests of imminent danger orders under Section 107 of the Mine Act and eight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1."/>
      <w:numFmt w:val="decimal"/>
      <w:start w:val="5"/>
    </w:lvl>
  </w:abstractNum>
  <w:abstractNum w:abstractNumId="13">
    <w:nsid w:val="79838CB2"/>
    <w:multiLevelType w:val="hybridMultilevel"/>
    <w:lvl w:ilvl="0">
      <w:lvlJc w:val="left"/>
      <w:lvlText w:val="%1."/>
      <w:numFmt w:val="decimal"/>
      <w:start w:val="7"/>
    </w:lvl>
  </w:abstractNum>
  <w:abstractNum w:abstractNumId="14">
    <w:nsid w:val="4353D0CD"/>
    <w:multiLevelType w:val="hybridMultilevel"/>
    <w:lvl w:ilvl="0">
      <w:lvlJc w:val="left"/>
      <w:lvlText w:val="%1."/>
      <w:numFmt w:val="decimal"/>
      <w:start w:val="8"/>
    </w:lvl>
  </w:abstractNum>
  <w:abstractNum w:abstractNumId="15">
    <w:nsid w:val="B03E0C6"/>
    <w:multiLevelType w:val="hybridMultilevel"/>
    <w:lvl w:ilvl="0">
      <w:lvlJc w:val="left"/>
      <w:lvlText w:val="%1."/>
      <w:numFmt w:val="decimal"/>
      <w:start w:val="9"/>
    </w:lvl>
  </w:abstractNum>
  <w:abstractNum w:abstractNumId="16">
    <w:nsid w:val="189A769B"/>
    <w:multiLevelType w:val="hybridMultilevel"/>
    <w:lvl w:ilvl="0">
      <w:lvlJc w:val="left"/>
      <w:lvlText w:val="%1."/>
      <w:numFmt w:val="decimal"/>
      <w:start w:val="9"/>
    </w:lvl>
  </w:abstractNum>
  <w:abstractNum w:abstractNumId="17">
    <w:nsid w:val="54E49EB4"/>
    <w:multiLevelType w:val="hybridMultilevel"/>
    <w:lvl w:ilvl="0">
      <w:lvlJc w:val="left"/>
      <w:lvlText w:val="%1."/>
      <w:numFmt w:val="decimal"/>
      <w:start w:val="10"/>
    </w:lvl>
  </w:abstractNum>
  <w:abstractNum w:abstractNumId="18">
    <w:nsid w:val="71F32454"/>
    <w:multiLevelType w:val="hybridMultilevel"/>
    <w:lvl w:ilvl="0">
      <w:lvlJc w:val="left"/>
      <w:lvlText w:val="%1."/>
      <w:numFmt w:val="decimal"/>
      <w:start w:val="1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lvl w:ilvl="1">
      <w:lvlJc w:val="left"/>
      <w:lvlText w:val="%2."/>
      <w:numFmt w:val="lowerLetter"/>
      <w:start w:val="1"/>
    </w:lvl>
  </w:abstractNum>
  <w:abstractNum w:abstractNumId="28">
    <w:nsid w:val="22221A70"/>
    <w:multiLevelType w:val="hybridMultilevel"/>
    <w:lvl w:ilvl="0">
      <w:lvlJc w:val="left"/>
      <w:lvlText w:val="%1."/>
      <w:numFmt w:val="decimal"/>
      <w:start w:val="5"/>
    </w:lvl>
    <w:lvl w:ilvl="1">
      <w:lvlJc w:val="left"/>
      <w:lvlText w:val="%2."/>
      <w:numFmt w:val="lowerLetter"/>
      <w:start w:val="1"/>
    </w:lvl>
  </w:abstractNum>
  <w:abstractNum w:abstractNumId="29">
    <w:nsid w:val="4516DDE9"/>
    <w:multiLevelType w:val="hybridMultilevel"/>
    <w:lvl w:ilvl="0">
      <w:lvlJc w:val="left"/>
      <w:lvlText w:val="%1."/>
      <w:numFmt w:val="decimal"/>
      <w:start w:val="1"/>
    </w:lvl>
    <w:lvl w:ilvl="1">
      <w:lvlJc w:val="left"/>
      <w:lvlText w:val="%2."/>
      <w:numFmt w:val="lowerLetter"/>
      <w:start w:val="1"/>
    </w:lvl>
  </w:abstractNum>
  <w:abstractNum w:abstractNumId="30">
    <w:nsid w:val="3006C83E"/>
    <w:multiLevelType w:val="hybridMultilevel"/>
    <w:lvl w:ilvl="0">
      <w:lvlJc w:val="left"/>
      <w:lvlText w:val="%1."/>
      <w:numFmt w:val="decimal"/>
      <w:start w:val="5"/>
    </w:lvl>
    <w:lvl w:ilvl="1">
      <w:lvlJc w:val="left"/>
      <w:lvlText w:val="%2."/>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2019-12-29T10:00:56Z</dcterms:created>
  <dcterms:modified xsi:type="dcterms:W3CDTF">2019-12-29T10:00:56Z</dcterms:modified>
</cp:coreProperties>
</file>