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jc w:val="center"/>
        <w:ind w:right="3170"/>
        <w:spacing w:after="0"/>
        <w:rPr>
          <w:sz w:val="20"/>
          <w:szCs w:val="20"/>
          <w:color w:val="auto"/>
        </w:rPr>
      </w:pPr>
      <w:r>
        <w:rPr>
          <w:rFonts w:ascii="Courier New" w:cs="Courier New" w:eastAsia="Courier New" w:hAnsi="Courier New"/>
          <w:sz w:val="15"/>
          <w:szCs w:val="15"/>
          <w:color w:val="auto"/>
        </w:rPr>
        <w:t>SCHEDULE 14A</w:t>
      </w:r>
    </w:p>
    <w:p>
      <w:pPr>
        <w:jc w:val="center"/>
        <w:ind w:right="3170"/>
        <w:spacing w:after="0"/>
        <w:rPr>
          <w:sz w:val="20"/>
          <w:szCs w:val="20"/>
          <w:color w:val="auto"/>
        </w:rPr>
      </w:pPr>
      <w:r>
        <w:rPr>
          <w:rFonts w:ascii="Courier New" w:cs="Courier New" w:eastAsia="Courier New" w:hAnsi="Courier New"/>
          <w:sz w:val="15"/>
          <w:szCs w:val="15"/>
          <w:color w:val="auto"/>
        </w:rPr>
        <w:t>(RULE 14A-101)</w:t>
      </w:r>
    </w:p>
    <w:p>
      <w:pPr>
        <w:spacing w:after="0" w:line="168"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169"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170"/>
        <w:spacing w:after="0"/>
        <w:rPr>
          <w:sz w:val="20"/>
          <w:szCs w:val="20"/>
          <w:color w:val="auto"/>
        </w:rPr>
      </w:pPr>
      <w:r>
        <w:rPr>
          <w:rFonts w:ascii="Courier New" w:cs="Courier New" w:eastAsia="Courier New" w:hAnsi="Courier New"/>
          <w:sz w:val="15"/>
          <w:szCs w:val="15"/>
          <w:color w:val="auto"/>
        </w:rPr>
        <w:t>EXCHANGE ACT OF 1934</w:t>
      </w:r>
    </w:p>
    <w:p>
      <w:pPr>
        <w:spacing w:after="0" w:line="3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ind w:left="10"/>
        <w:spacing w:after="0"/>
        <w:rPr>
          <w:sz w:val="20"/>
          <w:szCs w:val="20"/>
          <w:color w:val="auto"/>
        </w:rPr>
      </w:pPr>
      <w:r>
        <w:rPr>
          <w:rFonts w:ascii="Courier New" w:cs="Courier New" w:eastAsia="Courier New" w:hAnsi="Courier New"/>
          <w:sz w:val="15"/>
          <w:szCs w:val="15"/>
          <w:color w:val="auto"/>
        </w:rPr>
        <w:t>Filed by a party other than the registrant |_|</w:t>
      </w:r>
    </w:p>
    <w:p>
      <w:pPr>
        <w:ind w:left="10"/>
        <w:spacing w:after="0"/>
        <w:rPr>
          <w:sz w:val="20"/>
          <w:szCs w:val="20"/>
          <w:color w:val="auto"/>
        </w:rPr>
      </w:pPr>
      <w:r>
        <w:rPr>
          <w:rFonts w:ascii="Courier New" w:cs="Courier New" w:eastAsia="Courier New" w:hAnsi="Courier New"/>
          <w:sz w:val="15"/>
          <w:szCs w:val="15"/>
          <w:color w:val="auto"/>
        </w:rPr>
        <w:t>Check the appropriate box:</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Preliminary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|X|</w:t>
        <w:tab/>
        <w:t>Definitive proxy statement</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Definitive additional materials</w:t>
      </w:r>
    </w:p>
    <w:p>
      <w:pPr>
        <w:ind w:left="10"/>
        <w:spacing w:after="0"/>
        <w:tabs>
          <w:tab w:leader="none" w:pos="42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Soliciting material pursuant to Rule 14a-11(c) or Rule 14a-12</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MARTIN MARIETTA MATERIALS, INC.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4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MARTIN MARIETTA MATERIALS, INC.</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6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ind w:left="10"/>
        <w:spacing w:after="0"/>
        <w:rPr>
          <w:sz w:val="20"/>
          <w:szCs w:val="20"/>
          <w:color w:val="auto"/>
        </w:rPr>
      </w:pPr>
      <w:r>
        <w:rPr>
          <w:rFonts w:ascii="Courier New" w:cs="Courier New" w:eastAsia="Courier New" w:hAnsi="Courier New"/>
          <w:sz w:val="15"/>
          <w:szCs w:val="15"/>
          <w:color w:val="auto"/>
        </w:rPr>
        <w:t>|X| No fee required.</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|_| Fee computed on table below per Exchange Act Rules 14a-6(i)(1) and 0-11.</w:t>
      </w:r>
    </w:p>
    <w:p>
      <w:pPr>
        <w:ind w:left="10"/>
        <w:spacing w:after="0"/>
        <w:rPr>
          <w:sz w:val="20"/>
          <w:szCs w:val="20"/>
          <w:color w:val="auto"/>
        </w:rPr>
      </w:pPr>
      <w:r>
        <w:rPr>
          <w:rFonts w:ascii="Courier New" w:cs="Courier New" w:eastAsia="Courier New" w:hAnsi="Courier New"/>
          <w:sz w:val="15"/>
          <w:szCs w:val="15"/>
          <w:color w:val="auto"/>
        </w:rPr>
        <w:t>(1) Title of each class of securities to which transaction applies:</w:t>
      </w:r>
    </w:p>
    <w:p>
      <w:pPr>
        <w:spacing w:after="0" w:line="174"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Aggregate number of securities to which transaction applies:</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 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Proposed maximum aggregate value of transaction:</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Total fee paid:</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 Fee paid previously with preliminary materials:</w:t>
      </w:r>
    </w:p>
    <w:p>
      <w:pPr>
        <w:spacing w:after="0" w:line="17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form or schedule and the date of its filing.</w:t>
      </w:r>
    </w:p>
    <w:p>
      <w:pPr>
        <w:spacing w:after="0" w:line="170" w:lineRule="exact"/>
        <w:rPr>
          <w:rFonts w:ascii="Courier New" w:cs="Courier New" w:eastAsia="Courier New" w:hAnsi="Courier New"/>
          <w:sz w:val="14"/>
          <w:szCs w:val="14"/>
          <w:color w:val="auto"/>
        </w:rPr>
      </w:pPr>
    </w:p>
    <w:p>
      <w:pPr>
        <w:ind w:left="1590" w:hanging="796"/>
        <w:spacing w:after="0"/>
        <w:tabs>
          <w:tab w:leader="none" w:pos="15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590" w:hanging="796"/>
        <w:spacing w:after="0"/>
        <w:tabs>
          <w:tab w:leader="none" w:pos="15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590" w:hanging="796"/>
        <w:spacing w:after="0"/>
        <w:tabs>
          <w:tab w:leader="none" w:pos="159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590" w:hanging="796"/>
        <w:spacing w:after="0"/>
        <w:tabs>
          <w:tab w:leader="none" w:pos="159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2001</w:t>
      </w:r>
    </w:p>
    <w:p>
      <w:pPr>
        <w:jc w:val="right"/>
        <w:ind w:right="5999"/>
        <w:spacing w:after="0"/>
        <w:rPr>
          <w:sz w:val="20"/>
          <w:szCs w:val="20"/>
          <w:color w:val="auto"/>
        </w:rPr>
      </w:pPr>
      <w:r>
        <w:rPr>
          <w:rFonts w:ascii="Courier New" w:cs="Courier New" w:eastAsia="Courier New" w:hAnsi="Courier New"/>
          <w:sz w:val="15"/>
          <w:szCs w:val="15"/>
          <w:color w:val="auto"/>
        </w:rPr>
        <w:t>ANNUAL MEETING OF</w:t>
      </w:r>
    </w:p>
    <w:p>
      <w:pPr>
        <w:jc w:val="right"/>
        <w:ind w:right="5999"/>
        <w:spacing w:after="0"/>
        <w:rPr>
          <w:sz w:val="20"/>
          <w:szCs w:val="20"/>
          <w:color w:val="auto"/>
        </w:rPr>
      </w:pPr>
      <w:r>
        <w:rPr>
          <w:rFonts w:ascii="Courier New" w:cs="Courier New" w:eastAsia="Courier New" w:hAnsi="Courier New"/>
          <w:sz w:val="15"/>
          <w:szCs w:val="15"/>
          <w:color w:val="auto"/>
        </w:rPr>
        <w:t>SHAREHOLDERS AND</w:t>
      </w:r>
    </w:p>
    <w:p>
      <w:pPr>
        <w:ind w:left="2560"/>
        <w:spacing w:after="0" w:line="238" w:lineRule="auto"/>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5"/>
          <w:szCs w:val="15"/>
          <w:color w:val="auto"/>
        </w:rPr>
        <w:t>(MARTIN MARIETTA MATERIALS LOGO)</w:t>
      </w:r>
    </w:p>
    <w:p>
      <w:pPr>
        <w:sectPr>
          <w:pgSz w:w="11900" w:h="16838" w:orient="portrait"/>
          <w:cols w:equalWidth="0" w:num="1">
            <w:col w:w="9959"/>
          </w:cols>
          <w:pgMar w:left="50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MARIETTA MATERIALS 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 WYCLIFF ROAD</w:t>
      </w:r>
    </w:p>
    <w:p>
      <w:pPr>
        <w:spacing w:after="0"/>
        <w:rPr>
          <w:sz w:val="20"/>
          <w:szCs w:val="20"/>
          <w:color w:val="auto"/>
        </w:rPr>
      </w:pPr>
      <w:r>
        <w:rPr>
          <w:rFonts w:ascii="Courier New" w:cs="Courier New" w:eastAsia="Courier New" w:hAnsi="Courier New"/>
          <w:sz w:val="15"/>
          <w:szCs w:val="15"/>
          <w:color w:val="auto"/>
        </w:rPr>
        <w:t>RALEIGH, NORTH CAROLINA 27607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March 22,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The Directors and Officers of Martin Marietta Materials, Inc. join me in inviting you to attend the Corporation's Annual Meeting of Shareholders. The formal notice of this meeting and the Proxy Statement accompany this letter.</w:t>
      </w:r>
    </w:p>
    <w:p>
      <w:pPr>
        <w:spacing w:after="0" w:line="163"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look forward to seeing you in the Carlisle Ballroom at the Grandover Resort &amp; Conference Center, One Thousand Club Road, Greensboro, North Carolina at 10:30 a.m. on May 22,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STEPHEN P. ZELNAK, JR.</w:t>
      </w:r>
    </w:p>
    <w:p>
      <w:pPr>
        <w:ind w:left="3420"/>
        <w:spacing w:after="0"/>
        <w:rPr>
          <w:sz w:val="20"/>
          <w:szCs w:val="20"/>
          <w:color w:val="auto"/>
        </w:rPr>
      </w:pPr>
      <w:r>
        <w:rPr>
          <w:rFonts w:ascii="Courier New" w:cs="Courier New" w:eastAsia="Courier New" w:hAnsi="Courier New"/>
          <w:sz w:val="15"/>
          <w:szCs w:val="15"/>
          <w:color w:val="auto"/>
        </w:rPr>
        <w:t>Stephen P. Zelnak, Jr.</w:t>
      </w:r>
    </w:p>
    <w:p>
      <w:pPr>
        <w:ind w:left="3420"/>
        <w:spacing w:after="0"/>
        <w:rPr>
          <w:sz w:val="20"/>
          <w:szCs w:val="20"/>
          <w:color w:val="auto"/>
        </w:rPr>
      </w:pPr>
      <w:r>
        <w:rPr>
          <w:rFonts w:ascii="Courier New" w:cs="Courier New" w:eastAsia="Courier New" w:hAnsi="Courier New"/>
          <w:sz w:val="15"/>
          <w:szCs w:val="15"/>
          <w:color w:val="auto"/>
        </w:rPr>
        <w:t>Chairman of the Board,</w:t>
      </w:r>
    </w:p>
    <w:p>
      <w:pPr>
        <w:jc w:val="center"/>
        <w:ind w:right="99"/>
        <w:spacing w:after="0" w:line="238" w:lineRule="auto"/>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SHAREHOLDERS</w:t>
      </w:r>
    </w:p>
    <w:p>
      <w:pPr>
        <w:ind w:left="2460"/>
        <w:spacing w:after="0"/>
        <w:rPr>
          <w:sz w:val="20"/>
          <w:szCs w:val="20"/>
          <w:color w:val="auto"/>
        </w:rPr>
      </w:pPr>
      <w:r>
        <w:rPr>
          <w:rFonts w:ascii="Courier New" w:cs="Courier New" w:eastAsia="Courier New" w:hAnsi="Courier New"/>
          <w:sz w:val="15"/>
          <w:szCs w:val="15"/>
          <w:color w:val="auto"/>
        </w:rPr>
        <w:t>TO BE HELD MAY 22,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(the "Corporation") will be held on Tuesday, May 22, 2001, at 10:30 a.m. in the Carlisle Ballroom at the Grandover Resort &amp; Conference Center, One Thousand Club Road, Greensboro, North Carolina. Attendance at the Annual Meeting of Shareholders of the Corporation will be limited to shareholders of record at the close of business on March 16, 2001 or their proxies, beneficial owners presenting satisfactory evidence of ownership on that date, and invited guests of the Corporation.</w:t>
      </w:r>
    </w:p>
    <w:p>
      <w:pPr>
        <w:spacing w:after="0" w:line="172"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69" w:lineRule="exact"/>
        <w:rPr>
          <w:sz w:val="20"/>
          <w:szCs w:val="20"/>
          <w:color w:val="auto"/>
        </w:rPr>
      </w:pPr>
    </w:p>
    <w:p>
      <w:pPr>
        <w:ind w:left="1220" w:hanging="613"/>
        <w:spacing w:after="0"/>
        <w:tabs>
          <w:tab w:leader="none" w:pos="12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(3) Directors, each to serve for a term of three</w:t>
      </w:r>
    </w:p>
    <w:p>
      <w:pPr>
        <w:spacing w:after="0" w:line="5" w:lineRule="exact"/>
        <w:rPr>
          <w:rFonts w:ascii="Courier New" w:cs="Courier New" w:eastAsia="Courier New" w:hAnsi="Courier New"/>
          <w:sz w:val="15"/>
          <w:szCs w:val="15"/>
          <w:color w:val="auto"/>
        </w:rPr>
      </w:pPr>
    </w:p>
    <w:p>
      <w:pPr>
        <w:ind w:left="1220" w:right="3539" w:firstLine="4"/>
        <w:spacing w:after="0" w:line="235" w:lineRule="auto"/>
        <w:tabs>
          <w:tab w:leader="none" w:pos="157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until the Annual Meeting of Shareholders in 2004 and until their successors are duly elected and qualified;</w:t>
      </w:r>
    </w:p>
    <w:p>
      <w:pPr>
        <w:spacing w:after="0" w:line="170" w:lineRule="exact"/>
        <w:rPr>
          <w:rFonts w:ascii="Courier New" w:cs="Courier New" w:eastAsia="Courier New" w:hAnsi="Courier New"/>
          <w:sz w:val="15"/>
          <w:szCs w:val="15"/>
          <w:color w:val="auto"/>
        </w:rPr>
      </w:pPr>
    </w:p>
    <w:p>
      <w:pPr>
        <w:ind w:left="1220" w:hanging="613"/>
        <w:spacing w:after="0"/>
        <w:tabs>
          <w:tab w:leader="none" w:pos="12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independent auditors; and</w:t>
      </w:r>
    </w:p>
    <w:p>
      <w:pPr>
        <w:spacing w:after="0" w:line="174" w:lineRule="exact"/>
        <w:rPr>
          <w:rFonts w:ascii="Courier New" w:cs="Courier New" w:eastAsia="Courier New" w:hAnsi="Courier New"/>
          <w:sz w:val="15"/>
          <w:szCs w:val="15"/>
          <w:color w:val="auto"/>
        </w:rPr>
      </w:pPr>
    </w:p>
    <w:p>
      <w:pPr>
        <w:ind w:left="1220" w:right="3439" w:hanging="613"/>
        <w:spacing w:after="0" w:line="235" w:lineRule="auto"/>
        <w:tabs>
          <w:tab w:leader="none" w:pos="12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w:t>
      </w:r>
    </w:p>
    <w:p>
      <w:pPr>
        <w:spacing w:after="0" w:line="176"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Board of Directors has fixed the close of business on March 16, 2001 as the record date for determination of shareholders entitled to notice of and to vote at the Annual Meeting or any adjournment thereof.</w:t>
      </w:r>
    </w:p>
    <w:p>
      <w:pPr>
        <w:spacing w:after="0" w:line="175" w:lineRule="exact"/>
        <w:rPr>
          <w:sz w:val="20"/>
          <w:szCs w:val="20"/>
          <w:color w:val="auto"/>
        </w:rPr>
      </w:pPr>
    </w:p>
    <w:p>
      <w:pPr>
        <w:jc w:val="both"/>
        <w:ind w:right="3439" w:firstLine="617"/>
        <w:spacing w:after="0" w:line="237" w:lineRule="auto"/>
        <w:rPr>
          <w:sz w:val="20"/>
          <w:szCs w:val="20"/>
          <w:color w:val="auto"/>
        </w:rPr>
      </w:pPr>
      <w:r>
        <w:rPr>
          <w:rFonts w:ascii="Courier New" w:cs="Courier New" w:eastAsia="Courier New" w:hAnsi="Courier New"/>
          <w:sz w:val="15"/>
          <w:szCs w:val="15"/>
          <w:color w:val="auto"/>
        </w:rPr>
        <w:t>Whether or not you expect to attend the meeting, we hope you will date and sign the enclosed Proxy Card and mail it promptly in the enclosed stamped envelope.</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ROSELYN R. BAR</w:t>
      </w:r>
    </w:p>
    <w:p>
      <w:pPr>
        <w:ind w:left="3700"/>
        <w:spacing w:after="0"/>
        <w:rPr>
          <w:sz w:val="20"/>
          <w:szCs w:val="20"/>
          <w:color w:val="auto"/>
        </w:rPr>
      </w:pPr>
      <w:r>
        <w:rPr>
          <w:rFonts w:ascii="Courier New" w:cs="Courier New" w:eastAsia="Courier New" w:hAnsi="Courier New"/>
          <w:sz w:val="15"/>
          <w:szCs w:val="15"/>
          <w:color w:val="auto"/>
        </w:rPr>
        <w:t>Roselyn R. Bar</w:t>
      </w:r>
    </w:p>
    <w:p>
      <w:pPr>
        <w:ind w:left="3700"/>
        <w:spacing w:after="0"/>
        <w:rPr>
          <w:sz w:val="20"/>
          <w:szCs w:val="20"/>
          <w:color w:val="auto"/>
        </w:rPr>
      </w:pPr>
      <w:r>
        <w:rPr>
          <w:rFonts w:ascii="Courier New" w:cs="Courier New" w:eastAsia="Courier New" w:hAnsi="Courier New"/>
          <w:sz w:val="15"/>
          <w:szCs w:val="15"/>
          <w:color w:val="auto"/>
        </w:rPr>
        <w:t>Corporate Secretary and</w:t>
      </w:r>
    </w:p>
    <w:p>
      <w:pPr>
        <w:ind w:left="3700"/>
        <w:spacing w:after="0" w:line="238" w:lineRule="auto"/>
        <w:rPr>
          <w:sz w:val="20"/>
          <w:szCs w:val="20"/>
          <w:color w:val="auto"/>
        </w:rPr>
      </w:pPr>
      <w:r>
        <w:rPr>
          <w:rFonts w:ascii="Courier New" w:cs="Courier New" w:eastAsia="Courier New" w:hAnsi="Courier New"/>
          <w:sz w:val="15"/>
          <w:szCs w:val="15"/>
          <w:color w:val="auto"/>
        </w:rPr>
        <w:t>Deputy General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w:t>
      </w:r>
    </w:p>
    <w:p>
      <w:pPr>
        <w:spacing w:after="0"/>
        <w:rPr>
          <w:sz w:val="20"/>
          <w:szCs w:val="20"/>
          <w:color w:val="auto"/>
        </w:rPr>
      </w:pPr>
      <w:r>
        <w:rPr>
          <w:rFonts w:ascii="Courier New" w:cs="Courier New" w:eastAsia="Courier New" w:hAnsi="Courier New"/>
          <w:sz w:val="15"/>
          <w:szCs w:val="15"/>
          <w:color w:val="auto"/>
        </w:rPr>
        <w:t>March 22, 2001</w:t>
      </w:r>
    </w:p>
    <w:p>
      <w:pPr>
        <w:sectPr>
          <w:pgSz w:w="11900" w:h="16838" w:orient="portrait"/>
          <w:cols w:equalWidth="0" w:num="1">
            <w:col w:w="10219"/>
          </w:cols>
          <w:pgMar w:left="240" w:top="283"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GENERAL INFORMATION</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The Annual Meeting of Shareholders of Martin Marietta Materials, Inc., a North Carolina corporation (the "Corporation"), will be held on Tuesday, May 22, 2001, at the Grandover Resort &amp; Conference Center, One Thousand Club Road, Greensboro,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178" w:lineRule="exact"/>
        <w:rPr>
          <w:sz w:val="20"/>
          <w:szCs w:val="20"/>
          <w:color w:val="auto"/>
        </w:rPr>
      </w:pPr>
    </w:p>
    <w:p>
      <w:pPr>
        <w:jc w:val="both"/>
        <w:ind w:left="10" w:right="3439" w:firstLine="617"/>
        <w:spacing w:after="0" w:line="237" w:lineRule="auto"/>
        <w:rPr>
          <w:sz w:val="20"/>
          <w:szCs w:val="20"/>
          <w:color w:val="auto"/>
        </w:rPr>
      </w:pPr>
      <w:r>
        <w:rPr>
          <w:rFonts w:ascii="Courier New" w:cs="Courier New" w:eastAsia="Courier New" w:hAnsi="Courier New"/>
          <w:sz w:val="15"/>
          <w:szCs w:val="15"/>
          <w:color w:val="auto"/>
        </w:rPr>
        <w:t>The Corporation's Annual Report for the fiscal year ended December 31, 2000, including audited financial statements, is being mailed to shareholders with this Proxy Statement.</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7" w:lineRule="exact"/>
        <w:rPr>
          <w:sz w:val="20"/>
          <w:szCs w:val="20"/>
          <w:color w:val="auto"/>
        </w:rPr>
      </w:pPr>
    </w:p>
    <w:p>
      <w:pPr>
        <w:ind w:left="10" w:right="3259" w:hanging="10"/>
        <w:spacing w:after="0" w:line="237"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76"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 This Proxy Statement, the Proxy Card, and the Notice of Meeting will be sent commencing approximately March 26, 2001 to shareholders of record on March 16, 2001.</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Only shareholders of record at the close of business on March 16, 2001 are entitled to notice of and to vote at the Annual Meeting. On March 16, 2001, there were 47,302,457 shares outstanding of the Corporation's Common Stock, $.01 par value per share ("Common Stock" or "Stock"). Each share is entitled to one vote.</w:t>
      </w:r>
    </w:p>
    <w:p>
      <w:pPr>
        <w:spacing w:after="0" w:line="178" w:lineRule="exact"/>
        <w:rPr>
          <w:sz w:val="20"/>
          <w:szCs w:val="20"/>
          <w:color w:val="auto"/>
        </w:rPr>
      </w:pPr>
    </w:p>
    <w:p>
      <w:pPr>
        <w:ind w:left="10" w:right="3259" w:firstLine="617"/>
        <w:spacing w:after="0" w:line="256" w:lineRule="auto"/>
        <w:rPr>
          <w:sz w:val="20"/>
          <w:szCs w:val="20"/>
          <w:color w:val="auto"/>
        </w:rPr>
      </w:pPr>
      <w:r>
        <w:rPr>
          <w:rFonts w:ascii="Courier New" w:cs="Courier New" w:eastAsia="Courier New" w:hAnsi="Courier New"/>
          <w:sz w:val="14"/>
          <w:szCs w:val="14"/>
          <w:color w:val="auto"/>
        </w:rPr>
        <w:t>Votes cast by proxy or in person at the Annual Meeting will be tabulated by an independent inspector of election appointed by the Corporation's Board of Directors for the Meeting from First Union National Bank,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3"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182"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Each participant in the Corporation's Performance Sharing Plan, Savings and Investment Plan and Southwest Division 401(k)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7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Corporation's Restated Articles of Incorporation, as amended, provide for a classified board of directors such that the Board of Directors is divided into three classes, each of which serves for three years. The Board of Directors has nominated three persons for election as Directors to serve three-year terms expiring in 2004. Unless otherwise directed, proxies will be voted in favor of these three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81" w:lineRule="exact"/>
        <w:rPr>
          <w:sz w:val="20"/>
          <w:szCs w:val="20"/>
          <w:color w:val="auto"/>
        </w:rPr>
      </w:pPr>
    </w:p>
    <w:p>
      <w:pPr>
        <w:ind w:right="3699" w:firstLine="617"/>
        <w:spacing w:after="0" w:line="237" w:lineRule="auto"/>
        <w:rPr>
          <w:sz w:val="20"/>
          <w:szCs w:val="20"/>
          <w:color w:val="auto"/>
        </w:rPr>
      </w:pPr>
      <w:r>
        <w:rPr>
          <w:rFonts w:ascii="Courier New" w:cs="Courier New" w:eastAsia="Courier New" w:hAnsi="Courier New"/>
          <w:sz w:val="15"/>
          <w:szCs w:val="15"/>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NOMINEES FOR ELECTION TO THE BOARD OF DIRECTORS</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TERMS EXPIRING IN 2004</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RICHARD G. ADAMSON (68)</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1994), member of the Ethics, Environment, Safety and Health and Audit Committees.</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MARCUS C. BENNETT (65)</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1993), Chairman of the Executive and Finance Committees, member of the Compensation Committee.</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Mr. Bennett served as Executive Vice President and Chief Financial Officer of Lockheed Martin Corporation from July 1996 until his retirement on January 31, 1999. He continues to be a Director of Lockheed Martin Corporation, a position he has held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Technology Corporation.</w:t>
      </w:r>
    </w:p>
    <w:p>
      <w:pPr>
        <w:spacing w:after="0" w:line="167"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BOBBY F. LEONARD (68)</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Director (since 1994), Chairman of the Compensation Committee and member of the Finance Committee.</w:t>
      </w:r>
    </w:p>
    <w:p>
      <w:pPr>
        <w:spacing w:after="0" w:line="176"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Mr. Leonard served as Vice President, Human Resources of Martin Marietta Corporation from 1981 until his retirement in March 1995. He is currently in private law practice in Maryland.</w:t>
      </w:r>
    </w:p>
    <w:p>
      <w:pPr>
        <w:spacing w:after="0" w:line="175" w:lineRule="exact"/>
        <w:rPr>
          <w:sz w:val="20"/>
          <w:szCs w:val="20"/>
          <w:color w:val="auto"/>
        </w:rPr>
      </w:pPr>
    </w:p>
    <w:p>
      <w:pPr>
        <w:ind w:left="170" w:hanging="170"/>
        <w:spacing w:after="0"/>
        <w:tabs>
          <w:tab w:leader="none" w:pos="17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3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UNANIMOUSLY RECOMMENDS A VOTE "FOR" ALL NOMINEES FOR ELECTION TO THE BOARD OF DIRECTORS.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DIRECTORS CONTINUING IN OFFICE</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TERMS EXPIRING IN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M. REED (68)</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Director (since 1994), Chairman of the Audit Committee, member of the Executive and Finance Committees.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Mr. Reed served as Chief Financial Officer of Union Camp Corporation from 1977 and as Vice Chairman of the Board of Union Camp Corporation from 1993 until his retirement on November 30,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B. SANSOM (59)</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Director (since 1994), Chairman of the Ethics, Environment, Safety and Health Committee and a member of the Compensation Committee.</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P. ZELNAK, JR. (56)</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Chairman of the Board (since 1997) and Director (since 1993), member of the Executive and Finance Committees.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TERMS EXPIRING IN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E. MCDONALD (58)</w:t>
      </w:r>
    </w:p>
    <w:p>
      <w:pPr>
        <w:spacing w:after="0"/>
        <w:rPr>
          <w:sz w:val="20"/>
          <w:szCs w:val="20"/>
          <w:color w:val="auto"/>
        </w:rPr>
      </w:pPr>
      <w:r>
        <w:rPr>
          <w:rFonts w:ascii="Courier New" w:cs="Courier New" w:eastAsia="Courier New" w:hAnsi="Courier New"/>
          <w:sz w:val="15"/>
          <w:szCs w:val="15"/>
          <w:color w:val="auto"/>
        </w:rPr>
        <w:t>Director (since 1996), member of the Audit and Compensation Committees.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Mr. McDonald served as Senior Vice President, Customer Service Operations, Sprint Corporation until his retirement on October 13, 2000. He was previously President and Chief Executive Officer of Sprint Mid-Atlantic Operations from 1993 through 1997 and President and Chief Executive Officer for Sprint/United Telephone-Eastern from 1988 to 1993.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H. MENAKER, JR. (60)</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Director (since 1993), member of the Ethics, Environment, Safety and Health and Audit Committees.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A. VINROOT (59)</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Director (since 1996), member of the Ethics, Environment, Safety and Health Committee.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Mr. Vinroot has been a member of the law firm of Robinson, Bradshaw &amp; Hinson, P.A. in Charlotte, North Carolina since 1969. From 1991 to 1995, Mr. Vinroot served as Mayor of Charlotte, North Carolina.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Corporation's Board of Directors held six meetings during 2000, of which five were regularly scheduled meetings. There was also a total of 17 committee meetings. In addition, management confers frequently with its Directors on an informal basis to discuss Corporation affairs. Other than Directors who are also officers of the Corporation, Directors serving in 2000 received an annual retainer of $25,000 and were each granted 1,500 non-qualified stock option awards in accordance with the Martin Marietta Materials, Inc. Amended and Restated Stock-Based Award Plan. Directors also received $1,000 for each regular or special meeting of the Board and $500 for each Board committee meeting attended, in addition to reimbursement for travel and other expenses related to attendance at Board and committee meetings. Each committee chairman (other than the chairman of the Executive Committee) also receives an annual fee of $1,000.</w:t>
      </w:r>
    </w:p>
    <w:p>
      <w:pPr>
        <w:spacing w:after="0" w:line="183"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Pursuant to the Amended and Restated Martin Marietta Materials, Inc. Common Stock Purchase Plan for Directors, Directors may currently receive their compensation in cash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 Board of Directors unanimously agreed that a minimum of 30% of each Director's annual retainer would be paid in Common Stock and deferred under the plan.</w:t>
      </w:r>
    </w:p>
    <w:p>
      <w:pPr>
        <w:spacing w:after="0" w:line="180" w:lineRule="exact"/>
        <w:rPr>
          <w:sz w:val="20"/>
          <w:szCs w:val="20"/>
          <w:color w:val="auto"/>
        </w:rPr>
      </w:pPr>
    </w:p>
    <w:p>
      <w:pPr>
        <w:ind w:right="3439" w:firstLine="617"/>
        <w:spacing w:after="0" w:line="260" w:lineRule="auto"/>
        <w:rPr>
          <w:sz w:val="20"/>
          <w:szCs w:val="20"/>
          <w:color w:val="auto"/>
        </w:rPr>
      </w:pPr>
      <w:r>
        <w:rPr>
          <w:rFonts w:ascii="Courier New" w:cs="Courier New" w:eastAsia="Courier New" w:hAnsi="Courier New"/>
          <w:sz w:val="14"/>
          <w:szCs w:val="14"/>
          <w:color w:val="auto"/>
        </w:rPr>
        <w:t>The Corporation's Board of Directors has five standing committees: an Audit Committee, a Compensation Committee, an Ethics, Environment, Safety and Health Committee, an Executive Committee and a Finance Committee.</w:t>
      </w:r>
    </w:p>
    <w:p>
      <w:pPr>
        <w:spacing w:after="0" w:line="163"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Audit Committee, which is composed of Directors who are not officers or employees of the Corporation, held four meetings during 2000.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 internal audit function. The Committee's current members are Directors Reed (Chairman), Adamson, McDonald and Menaker. The Corporation has adopted a written charter, which is appended to this Proxy Statement.</w:t>
      </w:r>
    </w:p>
    <w:p>
      <w:pPr>
        <w:spacing w:after="0" w:line="16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Compensation Committee is composed of Directors who are not officers or employees of the Corporation and who are also "non-employee" and "outside" Directors as those terms are defined by Rule 16b-3 promulgated under the Securities and Exchange Act of 1934 and Section 162(m) of the Internal Revenue Code of 1986. It held five meetings during</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2000. The Committee has the power to fix the 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Committee's current members are Directors Leonard (Chairman), Bennett, McDonald and Sansom.</w:t>
      </w:r>
    </w:p>
    <w:p>
      <w:pPr>
        <w:spacing w:after="0" w:line="178"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Ethics, Environment, Safety and Health Committee held four meetings during 2000.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Sansom (Chairman), Adamson, Menaker and Vinroot.</w:t>
      </w:r>
    </w:p>
    <w:p>
      <w:pPr>
        <w:spacing w:after="0" w:line="180" w:lineRule="exact"/>
        <w:rPr>
          <w:sz w:val="20"/>
          <w:szCs w:val="20"/>
          <w:color w:val="auto"/>
        </w:rPr>
      </w:pPr>
    </w:p>
    <w:p>
      <w:pPr>
        <w:ind w:right="3539" w:firstLine="617"/>
        <w:spacing w:after="0" w:line="238" w:lineRule="auto"/>
        <w:rPr>
          <w:sz w:val="20"/>
          <w:szCs w:val="20"/>
          <w:color w:val="auto"/>
        </w:rPr>
      </w:pPr>
      <w:r>
        <w:rPr>
          <w:rFonts w:ascii="Courier New" w:cs="Courier New" w:eastAsia="Courier New" w:hAnsi="Courier New"/>
          <w:sz w:val="15"/>
          <w:szCs w:val="15"/>
          <w:color w:val="auto"/>
        </w:rPr>
        <w:t>The Executive Committee held no meetings during 2000.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Bennett (Chairman), Reed and Zelnak.</w:t>
      </w:r>
    </w:p>
    <w:p>
      <w:pPr>
        <w:spacing w:after="0" w:line="17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Finance Committee held four meetings during 2000.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Bennett (Chairman), Leonard, Reed and Zelnak.</w:t>
      </w:r>
    </w:p>
    <w:p>
      <w:pPr>
        <w:spacing w:after="0" w:line="180"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66"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During the year ended December 31, 2000, all Directors attended at least 75% of the Board of Directors and committee meetings on which they served or were invited.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INDEPENDENT AUDITORS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Board of Directors recommends that the shareholders ratify the appointment of Ernst &amp; Young LLP, independent auditors, to audit the consolidated financial statements of the Corporation for the fiscal year 2001.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80"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BOARD UNANIMOUSLY RECOMMENDS A VOTE "FOR" RATIFICATION OF SELECTION OF ERNST &amp; YOUNG LLP AS INDEPENDENT AUDITORS.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SECTION 16(a) BENEFICIAL OWNERSHIP</w:t>
      </w:r>
    </w:p>
    <w:p>
      <w:pPr>
        <w:jc w:val="center"/>
        <w:ind w:right="3179"/>
        <w:spacing w:after="0"/>
        <w:rPr>
          <w:sz w:val="20"/>
          <w:szCs w:val="20"/>
          <w:color w:val="auto"/>
        </w:rPr>
      </w:pPr>
      <w:r>
        <w:rPr>
          <w:rFonts w:ascii="Courier New" w:cs="Courier New" w:eastAsia="Courier New" w:hAnsi="Courier New"/>
          <w:sz w:val="15"/>
          <w:szCs w:val="15"/>
          <w:color w:val="auto"/>
        </w:rPr>
        <w:t>REPORTING COMPLIANCE</w:t>
      </w:r>
    </w:p>
    <w:p>
      <w:pPr>
        <w:spacing w:after="0" w:line="174" w:lineRule="exact"/>
        <w:rPr>
          <w:sz w:val="20"/>
          <w:szCs w:val="20"/>
          <w:color w:val="auto"/>
        </w:rPr>
      </w:pPr>
    </w:p>
    <w:p>
      <w:pPr>
        <w:ind w:right="3259" w:firstLine="617"/>
        <w:spacing w:after="0" w:line="258" w:lineRule="auto"/>
        <w:rPr>
          <w:sz w:val="20"/>
          <w:szCs w:val="20"/>
          <w:color w:val="auto"/>
        </w:rPr>
      </w:pPr>
      <w:r>
        <w:rPr>
          <w:rFonts w:ascii="Courier New" w:cs="Courier New" w:eastAsia="Courier New" w:hAnsi="Courier New"/>
          <w:sz w:val="14"/>
          <w:szCs w:val="14"/>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6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Based solely on its review of the copies of reports furnished to the Corporation and written representations that no other reports were required for the year ended 2000, the Corporation is not aware of any reporting person who failed to file on a timely basis all reports required by Section 16(a) to be filed during 2000.</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2000, 1999, and 1998. Other than compensation paid by the Corporation as set forth below, no annual or long-term compensation of any kind was paid to the Chief Executive Officer or other named executive officers of the Corporation in each of the years in the three-year period ended December 31, 2000.</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6"/>
              </w:rPr>
              <w:t>SUMMARY COMPENSATION TABLE</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 TERM</w:t>
            </w: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80" w:type="dxa"/>
            <w:vAlign w:val="bottom"/>
            <w:gridSpan w:val="3"/>
          </w:tcPr>
          <w:p>
            <w:pPr>
              <w:jc w:val="right"/>
              <w:ind w:right="1307"/>
              <w:spacing w:after="0"/>
              <w:rPr>
                <w:sz w:val="20"/>
                <w:szCs w:val="20"/>
                <w:color w:val="auto"/>
              </w:rPr>
            </w:pPr>
            <w:r>
              <w:rPr>
                <w:rFonts w:ascii="Courier New" w:cs="Courier New" w:eastAsia="Courier New" w:hAnsi="Courier New"/>
                <w:sz w:val="15"/>
                <w:szCs w:val="15"/>
                <w:color w:val="auto"/>
              </w:rPr>
              <w:t>ANNUAL COMPENSATION</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1"/>
              </w:rPr>
              <w: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AWARDS</w:t>
            </w:r>
          </w:p>
        </w:tc>
        <w:tc>
          <w:tcPr>
            <w:tcW w:w="11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PAYOUTS</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SECURITIES</w:t>
            </w: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ANNUAL</w:t>
            </w:r>
          </w:p>
        </w:tc>
        <w:tc>
          <w:tcPr>
            <w:tcW w:w="18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UNDERLYING</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LTIP</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SALARY</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BONUS(1)</w:t>
            </w:r>
          </w:p>
        </w:tc>
        <w:tc>
          <w:tcPr>
            <w:tcW w:w="1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COMPENSATION(2)</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OPTIONS/SARS(#)(3)</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5"/>
              </w:rPr>
              <w:t>PAYOUTS(4)</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COMPENSATION(5)</w:t>
            </w:r>
          </w:p>
        </w:tc>
      </w:tr>
      <w:tr>
        <w:trPr>
          <w:trHeight w:val="170"/>
        </w:trPr>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 ---------------------------</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3"/>
              </w:rPr>
              <w:t>Stephen P. Zelnak, Jr.......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$655,000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$312,500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$402,868</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90,000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$143,651</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$5,950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Chairman,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615,000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297,500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383,798</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75,000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Executive 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558,333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386,673</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60,000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3"/>
              </w:rPr>
              <w:t>Philip J. Sipling...........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322,500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114,848</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81,213</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30,000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69,118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5,950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108,202</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25,000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269,375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76,772</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99,002</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Janice K. Henry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262,958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70,600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90,713</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20,000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64,973</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5,950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Senior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246,417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62,850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81,178</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17,500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Chief Financial 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67,342</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14,000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3"/>
              </w:rPr>
              <w:t>Donald M. Moe...............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219,500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32,953</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15,000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56,428</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5,950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203,503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23,047</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12,000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President --</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Carolina</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Division</w:t>
            </w:r>
          </w:p>
        </w:tc>
        <w:tc>
          <w:tcPr>
            <w:tcW w:w="106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183,002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24,871</w:t>
            </w:r>
          </w:p>
        </w:tc>
        <w:tc>
          <w:tcPr>
            <w:tcW w:w="18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9,000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w w:val="93"/>
              </w:rPr>
              <w:t>Bruce A. Deerson............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223,250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29,273</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15,000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55,751</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5,950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213,333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70,700</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26,104</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12,500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General Counsel</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193,750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130,285</w:t>
            </w:r>
          </w:p>
        </w:tc>
        <w:tc>
          <w:tcPr>
            <w:tcW w:w="16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19,507</w:t>
            </w:r>
          </w:p>
        </w:tc>
        <w:tc>
          <w:tcPr>
            <w:tcW w:w="1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10,000</w:t>
            </w:r>
          </w:p>
        </w:tc>
        <w:tc>
          <w:tcPr>
            <w:tcW w:w="11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240" w:hanging="350"/>
        <w:spacing w:after="0" w:line="238"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earned in 2000 were paid pursuant to the Martin Marietta Materials, Inc. Executive Incentive Plan. A portion of the cash bonus in 2000, 1999 and 1998 to be paid to the named executive officers and certain other key employees of the Corporation was deferred into stock-based awards pursuant to the Martin Marietta Materials, Inc. Incentive Stock Plan. The amounts deferred in 2000 for each of the named executive officers are as follows: Mr. Zelnak, $312,500; Mr. Sipling, $62,252; Ms. Henry, $70,600; Mr. Moe, $25,500; and Mr. Deerson, $22,900. The amounts deferred in 1999 for each of the named executive officers are as follows: Mr. Zelnak, $297,500; Mr. Sipling, $83,800; Ms. Henry, $62,850; Mr. Moe, $17,500; and Mr. Deerson, $20,000. The amounts deferred in 1998 for each of the named executive officers are as follows: Mr. Zelnak, $300,000; Mr. Sipling, $76,772; Ms. Henry, $52,000; Mr. Moe, $23,723; and Mr. Deerson, $14,168. The amounts reported under "Bonus" do not include such deferred portion which are reported under "Other Annual Compensation."</w:t>
      </w:r>
    </w:p>
    <w:p>
      <w:pPr>
        <w:spacing w:after="0" w:line="15" w:lineRule="exact"/>
        <w:rPr>
          <w:rFonts w:ascii="Courier New" w:cs="Courier New" w:eastAsia="Courier New" w:hAnsi="Courier New"/>
          <w:sz w:val="15"/>
          <w:szCs w:val="15"/>
          <w:color w:val="auto"/>
        </w:rPr>
      </w:pPr>
    </w:p>
    <w:p>
      <w:pPr>
        <w:ind w:left="350" w:right="4240" w:hanging="350"/>
        <w:spacing w:after="0" w:line="256"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on December 1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for 2000 to each of the named executives is as follows: Mr. Zelnak, 9,655; Mr. Sipling, 1,924; Ms. Henry, 2,182; Mr. Moe, 788; Mr. Deerson, 708. The number of Units credited for 1999 to each of the named executives is as follows: Mr. Zelnak, 8,019; Mr. Sipling, 2,259; Ms. Henry, 1,695; Mr. Moe, 472; and Mr. Deerson, 540. The number of Units credited for 1998 to each of the named executives is as follows: Mr. Zelnak, 6,865; Mr. Sipling, 1,757; Ms. Henry, 1,190; Mr. Moe, 543; and Mr. Deerson 325. The cost of perquisites furnished to each executive officer did not exceed the lesser of $50,000 or 10% of such officer's salary and bonus.</w:t>
      </w:r>
    </w:p>
    <w:p>
      <w:pPr>
        <w:spacing w:after="0" w:line="174"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are for Common Stock of the Corporation.</w:t>
      </w:r>
    </w:p>
    <w:p>
      <w:pPr>
        <w:spacing w:after="0" w:line="4" w:lineRule="exact"/>
        <w:rPr>
          <w:rFonts w:ascii="Courier New" w:cs="Courier New" w:eastAsia="Courier New" w:hAnsi="Courier New"/>
          <w:sz w:val="15"/>
          <w:szCs w:val="15"/>
          <w:color w:val="auto"/>
        </w:rPr>
      </w:pPr>
    </w:p>
    <w:p>
      <w:pPr>
        <w:ind w:left="350" w:right="4240" w:hanging="350"/>
        <w:spacing w:after="0" w:line="238"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"LTIP Payouts" represent payouts of awards earned under the Martin Marietta Materials, Inc. Shareholder Value Achievement Plan which is described in "Long-Term Incentive Plan Awards in Last Fiscal Year" on page 11. The payouts were made in shares of Common Stock. The amounts reported reflect the dollar value of the Common Stock based on the closing price at year-end.</w:t>
      </w:r>
    </w:p>
    <w:p>
      <w:pPr>
        <w:spacing w:after="0" w:line="6" w:lineRule="exact"/>
        <w:rPr>
          <w:rFonts w:ascii="Courier New" w:cs="Courier New" w:eastAsia="Courier New" w:hAnsi="Courier New"/>
          <w:sz w:val="15"/>
          <w:szCs w:val="15"/>
          <w:color w:val="auto"/>
        </w:rPr>
      </w:pPr>
    </w:p>
    <w:p>
      <w:pPr>
        <w:ind w:left="350" w:right="5120" w:hanging="350"/>
        <w:spacing w:after="0" w:line="265"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under "All Other Compensation" represent matching contributions to the Corporation's Performance Sharing Plan.</w:t>
      </w:r>
    </w:p>
    <w:p>
      <w:pPr>
        <w:sectPr>
          <w:pgSz w:w="11900" w:h="16838" w:orient="portrait"/>
          <w:cols w:equalWidth="0" w:num="1">
            <w:col w:w="11290"/>
          </w:cols>
          <w:pgMar w:left="230" w:top="283" w:right="379" w:bottom="57" w:gutter="0" w:footer="0" w:header="0"/>
        </w:sectPr>
      </w:pP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290"/>
          </w:cols>
          <w:pgMar w:left="230" w:top="283" w:right="379" w:bottom="57" w:gutter="0" w:footer="0" w:header="0"/>
          <w:type w:val="continuous"/>
        </w:sectPr>
      </w:pPr>
    </w:p>
    <w:bookmarkStart w:id="13" w:name="page14"/>
    <w:bookmarkEnd w:id="13"/>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5" w:lineRule="exact"/>
        <w:rPr>
          <w:sz w:val="20"/>
          <w:szCs w:val="20"/>
          <w:color w:val="auto"/>
        </w:rPr>
      </w:pPr>
    </w:p>
    <w:p>
      <w:pPr>
        <w:ind w:left="10" w:right="3960" w:firstLine="617"/>
        <w:spacing w:after="0" w:line="237"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2000.</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INDIVIDUAL GRANTS(1)</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52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PERCENT OF</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TOTAL</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0"/>
        </w:trPr>
        <w:tc>
          <w:tcPr>
            <w:tcW w:w="29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 OF</w:t>
            </w:r>
          </w:p>
        </w:tc>
        <w:tc>
          <w:tcPr>
            <w:tcW w:w="16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OPTIONS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AT ASSUMED ANNUAL RATES OF</w:t>
            </w:r>
          </w:p>
        </w:tc>
      </w:tr>
      <w:tr>
        <w:trPr>
          <w:trHeight w:val="170"/>
        </w:trPr>
        <w:tc>
          <w:tcPr>
            <w:tcW w:w="29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16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GRANTED TO</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7"/>
              </w:rPr>
              <w:t>STOCK PRICE APPRECIATION FOR</w:t>
            </w:r>
          </w:p>
        </w:tc>
      </w:tr>
      <w:tr>
        <w:trPr>
          <w:trHeight w:val="170"/>
        </w:trPr>
        <w:tc>
          <w:tcPr>
            <w:tcW w:w="29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UNDERLYING</w:t>
            </w:r>
          </w:p>
        </w:tc>
        <w:tc>
          <w:tcPr>
            <w:tcW w:w="16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EMPLOYEES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EXERCISE OR</w:t>
            </w:r>
          </w:p>
        </w:tc>
        <w:tc>
          <w:tcPr>
            <w:tcW w:w="1160" w:type="dxa"/>
            <w:vAlign w:val="bottom"/>
          </w:tcPr>
          <w:p>
            <w:pPr>
              <w:spacing w:after="0"/>
              <w:rPr>
                <w:sz w:val="14"/>
                <w:szCs w:val="14"/>
                <w:color w:val="auto"/>
              </w:rPr>
            </w:pPr>
          </w:p>
        </w:tc>
        <w:tc>
          <w:tcPr>
            <w:tcW w:w="276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6"/>
              </w:rPr>
              <w:t>OPTION TERM(2)</w:t>
            </w:r>
          </w:p>
        </w:tc>
      </w:tr>
      <w:tr>
        <w:trPr>
          <w:trHeight w:val="170"/>
        </w:trPr>
        <w:tc>
          <w:tcPr>
            <w:tcW w:w="29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OPTIONS</w:t>
            </w: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IN</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BASE PRICE</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EXPIRATION</w:t>
            </w:r>
          </w:p>
        </w:tc>
        <w:tc>
          <w:tcPr>
            <w:tcW w:w="27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FISCAL YEAR 2000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DATE</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90,000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19.43%</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$45.9375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8/17/10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$2,600,086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$6,589,129</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30,000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6.48%</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45.9375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8/17/10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866,695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2,196,376</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20,000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4.32%</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45.9375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8/17/10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577,797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1,464,251</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Donald M. Moe....................</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15,000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3.24%</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45.9375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8/17/10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433,348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1,098,188</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15,000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3.24%</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45.9375</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8/17/10</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433,348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1,098,188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960" w:hanging="35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under the Stock-Based Award Plan are granted at the discretion of the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2000 options will vest and become exercisable in three approximately equal increments on August 17, 2001, 2002 and 2003 and expire 10 years from the date of grant. No individual may receive annual grants for more than 10 percent of the shares available under the Stock-Based Award Plan. Options awarded in 2000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are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180" w:lineRule="exact"/>
        <w:rPr>
          <w:rFonts w:ascii="Courier New" w:cs="Courier New" w:eastAsia="Courier New" w:hAnsi="Courier New"/>
          <w:sz w:val="14"/>
          <w:szCs w:val="14"/>
          <w:color w:val="auto"/>
        </w:rPr>
      </w:pPr>
    </w:p>
    <w:p>
      <w:pPr>
        <w:ind w:left="350" w:right="3960"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AGGREGATED OPTIONS EXERCISES IN LAST FISCAL</w:t>
      </w:r>
    </w:p>
    <w:p>
      <w:pPr>
        <w:ind w:left="10"/>
        <w:spacing w:after="0"/>
        <w:rPr>
          <w:sz w:val="20"/>
          <w:szCs w:val="20"/>
          <w:color w:val="auto"/>
        </w:rPr>
      </w:pPr>
      <w:r>
        <w:rPr>
          <w:rFonts w:ascii="Courier New" w:cs="Courier New" w:eastAsia="Courier New" w:hAnsi="Courier New"/>
          <w:sz w:val="15"/>
          <w:szCs w:val="15"/>
          <w:color w:val="auto"/>
        </w:rPr>
        <w:t>YEAR AND FISCAL YEAR-END OPTIONS VALUES</w:t>
      </w:r>
    </w:p>
    <w:p>
      <w:pPr>
        <w:spacing w:after="0" w:line="174" w:lineRule="exact"/>
        <w:rPr>
          <w:sz w:val="20"/>
          <w:szCs w:val="20"/>
          <w:color w:val="auto"/>
        </w:rPr>
      </w:pPr>
    </w:p>
    <w:p>
      <w:pPr>
        <w:ind w:left="10" w:right="4040" w:firstLine="617"/>
        <w:spacing w:after="0" w:line="238" w:lineRule="auto"/>
        <w:rPr>
          <w:sz w:val="20"/>
          <w:szCs w:val="20"/>
          <w:color w:val="auto"/>
        </w:rPr>
      </w:pPr>
      <w:r>
        <w:rPr>
          <w:rFonts w:ascii="Courier New" w:cs="Courier New" w:eastAsia="Courier New" w:hAnsi="Courier New"/>
          <w:sz w:val="15"/>
          <w:szCs w:val="15"/>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ectPr>
          <w:pgSz w:w="11900" w:h="16838" w:orient="portrait"/>
          <w:cols w:equalWidth="0" w:num="1">
            <w:col w:w="11010"/>
          </w:cols>
          <w:pgMar w:left="230" w:top="283" w:right="659" w:bottom="1440" w:gutter="0" w:footer="0" w:header="0"/>
        </w:sectPr>
      </w:pP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010"/>
          </w:cols>
          <w:pgMar w:left="230" w:top="283" w:right="65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8"/>
        </w:trPr>
        <w:tc>
          <w:tcPr>
            <w:tcW w:w="4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4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NUMBER OF SECURITIES</w:t>
            </w:r>
          </w:p>
        </w:tc>
        <w:tc>
          <w:tcPr>
            <w:tcW w:w="258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VALUE OF</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UNDERLYING</w:t>
            </w:r>
          </w:p>
        </w:tc>
        <w:tc>
          <w:tcPr>
            <w:tcW w:w="258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8"/>
              </w:rPr>
              <w:t>UNEXERCISED IN-THE-MONEY</w:t>
            </w:r>
          </w:p>
        </w:tc>
      </w:t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7"/>
              </w:rPr>
              <w:t>UNEXERCISED OPTIONS AT</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OPTIONS</w:t>
            </w:r>
          </w:p>
        </w:tc>
      </w:tr>
      <w:tr>
        <w:trPr>
          <w:trHeight w:val="170"/>
        </w:trPr>
        <w:tc>
          <w:tcPr>
            <w:tcW w:w="4040" w:type="dxa"/>
            <w:vAlign w:val="bottom"/>
          </w:tcPr>
          <w:p>
            <w:pPr>
              <w:spacing w:after="0"/>
              <w:rPr>
                <w:sz w:val="14"/>
                <w:szCs w:val="14"/>
                <w:color w:val="auto"/>
              </w:rPr>
            </w:pP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SHARES</w:t>
            </w:r>
          </w:p>
        </w:tc>
        <w:tc>
          <w:tcPr>
            <w:tcW w:w="980" w:type="dxa"/>
            <w:vAlign w:val="bottom"/>
          </w:tcPr>
          <w:p>
            <w:pPr>
              <w:spacing w:after="0"/>
              <w:rPr>
                <w:sz w:val="14"/>
                <w:szCs w:val="14"/>
                <w:color w:val="auto"/>
              </w:rPr>
            </w:pPr>
          </w:p>
        </w:tc>
        <w:tc>
          <w:tcPr>
            <w:tcW w:w="264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8"/>
              </w:rPr>
              <w:t>FISCAL YEAR-END(1)</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AT FISCAL YEAR-END(2)</w:t>
            </w:r>
          </w:p>
        </w:tc>
      </w:tr>
      <w:tr>
        <w:trPr>
          <w:trHeight w:val="170"/>
        </w:trPr>
        <w:tc>
          <w:tcPr>
            <w:tcW w:w="4040" w:type="dxa"/>
            <w:vAlign w:val="bottom"/>
          </w:tcPr>
          <w:p>
            <w:pPr>
              <w:spacing w:after="0"/>
              <w:rPr>
                <w:sz w:val="14"/>
                <w:szCs w:val="14"/>
                <w:color w:val="auto"/>
              </w:rPr>
            </w:pP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ACQUIRED</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26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25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ON EXERCISE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REALIZED</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EXERCISABLE</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UNEXERCISABLE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UNEXERCISABLE</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134,667</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160,000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$649,989</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75,666</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53,334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843,450</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56,166</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36,334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647,800</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Donald M. Moe................................</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41,000</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26,000</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501,550</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2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42,832</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26,668</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508,350</w:t>
            </w:r>
          </w:p>
        </w:tc>
        <w:tc>
          <w:tcPr>
            <w:tcW w:w="134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560" w:hanging="350"/>
        <w:spacing w:after="0" w:line="238"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2000 as shown in "Option Grants in Last Fiscal Year" on page 10, all of which were unexercisable at year-end, are included in this table. Options granted by the Corporation in 1999, one-third of which vested in 2000; in 1998, two-thirds of which were vested in 2000; and in 1997 and in prior years, all of which were vested in 2000, are also included in this table.</w:t>
      </w:r>
    </w:p>
    <w:p>
      <w:pPr>
        <w:spacing w:after="0" w:line="6" w:lineRule="exact"/>
        <w:rPr>
          <w:rFonts w:ascii="Courier New" w:cs="Courier New" w:eastAsia="Courier New" w:hAnsi="Courier New"/>
          <w:sz w:val="15"/>
          <w:szCs w:val="15"/>
          <w:color w:val="auto"/>
        </w:rPr>
      </w:pPr>
    </w:p>
    <w:p>
      <w:pPr>
        <w:ind w:left="350" w:right="4660" w:hanging="350"/>
        <w:spacing w:after="0" w:line="23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 Options that were not in-the-money at year-end are not included in this table.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INCENTIVE PLAN AWARDS IN LAST FISCAL YEAR</w:t>
      </w:r>
    </w:p>
    <w:p>
      <w:pPr>
        <w:spacing w:after="0" w:line="175" w:lineRule="exact"/>
        <w:rPr>
          <w:sz w:val="20"/>
          <w:szCs w:val="20"/>
          <w:color w:val="auto"/>
        </w:rPr>
      </w:pPr>
    </w:p>
    <w:p>
      <w:pPr>
        <w:ind w:left="10" w:right="4660" w:firstLine="617"/>
        <w:spacing w:after="0" w:line="265" w:lineRule="auto"/>
        <w:rPr>
          <w:sz w:val="20"/>
          <w:szCs w:val="20"/>
          <w:color w:val="auto"/>
        </w:rPr>
      </w:pPr>
      <w:r>
        <w:rPr>
          <w:rFonts w:ascii="Courier New" w:cs="Courier New" w:eastAsia="Courier New" w:hAnsi="Courier New"/>
          <w:sz w:val="14"/>
          <w:szCs w:val="14"/>
          <w:color w:val="auto"/>
        </w:rPr>
        <w:t>Shown below is information on awards under the long-term incentive plan granted to the named executives in the fiscal year ended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PERFORMANCE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13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NO. OF</w:t>
            </w:r>
          </w:p>
        </w:tc>
        <w:tc>
          <w:tcPr>
            <w:tcW w:w="132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OR OTHER</w:t>
            </w:r>
          </w:p>
        </w:tc>
        <w:tc>
          <w:tcPr>
            <w:tcW w:w="34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ESTIMATED FUTURE PAYOUTS UNDER</w:t>
            </w:r>
          </w:p>
        </w:tc>
      </w:tr>
      <w:tr>
        <w:trPr>
          <w:trHeight w:val="170"/>
        </w:trPr>
        <w:tc>
          <w:tcPr>
            <w:tcW w:w="4480" w:type="dxa"/>
            <w:vAlign w:val="bottom"/>
          </w:tcPr>
          <w:p>
            <w:pPr>
              <w:spacing w:after="0"/>
              <w:rPr>
                <w:sz w:val="14"/>
                <w:szCs w:val="14"/>
                <w:color w:val="auto"/>
              </w:rPr>
            </w:pP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5"/>
              </w:rPr>
              <w:t>SHARES,</w:t>
            </w:r>
          </w:p>
        </w:tc>
        <w:tc>
          <w:tcPr>
            <w:tcW w:w="132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PERIOD UNTIL</w:t>
            </w:r>
          </w:p>
        </w:tc>
        <w:tc>
          <w:tcPr>
            <w:tcW w:w="34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NON-STOCK PRICE-BASED PLANS(2)</w:t>
            </w:r>
          </w:p>
        </w:tc>
      </w:tr>
      <w:tr>
        <w:trPr>
          <w:trHeight w:val="170"/>
        </w:trPr>
        <w:tc>
          <w:tcPr>
            <w:tcW w:w="4480" w:type="dxa"/>
            <w:vAlign w:val="bottom"/>
          </w:tcPr>
          <w:p>
            <w:pPr>
              <w:spacing w:after="0"/>
              <w:rPr>
                <w:sz w:val="14"/>
                <w:szCs w:val="14"/>
                <w:color w:val="auto"/>
              </w:rPr>
            </w:pP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UNITS OR</w:t>
            </w:r>
          </w:p>
        </w:tc>
        <w:tc>
          <w:tcPr>
            <w:tcW w:w="132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MATURATION</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4"/>
              </w:rPr>
              <w:t>-------------------------------------</w:t>
            </w:r>
          </w:p>
        </w:tc>
        <w:tc>
          <w:tcPr>
            <w:tcW w:w="110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OTHER RIGHTS</w:t>
            </w:r>
          </w:p>
        </w:tc>
        <w:tc>
          <w:tcPr>
            <w:tcW w:w="132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OR PAYOUT(1)</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THRESHOLD(#)</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2,406</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4,812</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9,624</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1,213</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2,425</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4,850</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993</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1,985</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3,970</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Donald M. Moe.....................................</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815</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1,629</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3,258</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3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N/A</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815</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1,629</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3,258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740" w:hanging="350"/>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period for awards granted in 2000 under the Shareholder Value Achievement Plan (the "Achievement Plan") is the three fiscal years beginning January 1, 2000 and ending December 31, 2002.</w:t>
      </w:r>
    </w:p>
    <w:p>
      <w:pPr>
        <w:spacing w:after="0" w:line="5" w:lineRule="exact"/>
        <w:rPr>
          <w:rFonts w:ascii="Courier New" w:cs="Courier New" w:eastAsia="Courier New" w:hAnsi="Courier New"/>
          <w:sz w:val="15"/>
          <w:szCs w:val="15"/>
          <w:color w:val="auto"/>
        </w:rPr>
      </w:pPr>
    </w:p>
    <w:p>
      <w:pPr>
        <w:ind w:left="350" w:right="4560" w:hanging="350"/>
        <w:spacing w:after="0" w:line="238"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denominated in units that relate to a number of shares of the Corporation's Common Stock where threshold, target and maximum numbers represent the degree to which the performance goals are achieved at the end of the three-year performance period. Awards under the Achievement Plan are based upon a combination of factors, including a total return to shareholders formula which compares the Corporation's total return to shareholders to that of the Standard and Poor's MidCap 400 Index and the Standard and Poor's Basic Materials Industrial Group. If the Corporation fails to meet the threshold performance objectives, no award is made under the Achievement Plan.</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30"/>
          </w:cols>
          <w:pgMar w:left="230" w:top="283" w:right="139"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The named executives participated in the Martin Marietta Materials, Inc. Pension Plan (the "Pension Plan"), which was sponsored by the Corporation and covered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plans.</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5200" w:type="dxa"/>
            <w:vAlign w:val="bottom"/>
            <w:gridSpan w:val="10"/>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REMUNERATION</w:t>
            </w:r>
          </w:p>
        </w:tc>
        <w:tc>
          <w:tcPr>
            <w:tcW w:w="160" w:type="dxa"/>
            <w:vAlign w:val="bottom"/>
          </w:tcPr>
          <w:p>
            <w:pPr>
              <w:spacing w:after="0"/>
              <w:rPr>
                <w:sz w:val="14"/>
                <w:szCs w:val="14"/>
                <w:color w:val="auto"/>
              </w:rPr>
            </w:pPr>
          </w:p>
        </w:tc>
        <w:tc>
          <w:tcPr>
            <w:tcW w:w="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w:t>
            </w:r>
          </w:p>
        </w:tc>
        <w:tc>
          <w:tcPr>
            <w:tcW w:w="16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$100,000.................................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20,736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$150,000(1)..............................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31,986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53,310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63,972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$200,000(1)..............................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43,236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72,060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86,472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$300,000(1)..............................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65,736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109,560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131,472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$400,000(1)..............................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88,236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117,648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147,060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176,472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235,885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$500,000(1)..............................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110,736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147,648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184,560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221,472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295,885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$750,000(1)..............................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166,986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222,648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278,310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333,972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445,885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$1,000,000(1)............................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223,236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297,648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372,060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446,472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595,885</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$1,250,000(1)............................</w:t>
            </w:r>
          </w:p>
        </w:tc>
        <w:tc>
          <w:tcPr>
            <w:tcW w:w="1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279,486</w:t>
            </w:r>
          </w:p>
        </w:tc>
        <w:tc>
          <w:tcPr>
            <w:tcW w:w="1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372,648</w:t>
            </w:r>
          </w:p>
        </w:tc>
        <w:tc>
          <w:tcPr>
            <w:tcW w:w="1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465,810</w:t>
            </w:r>
          </w:p>
        </w:tc>
        <w:tc>
          <w:tcPr>
            <w:tcW w:w="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558,972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745,885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38"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415(b) of the Internal Revenue Code. The maximum earnings amount in 2000 which may be considered to compute a benefit in accordance with Section 401(a)(17) of the Code is $170,000. The maximum annual amount payable under the Plan as of December 31, 2000 in accordance with Section 415(b) of the Code is $135,000.</w:t>
      </w:r>
    </w:p>
    <w:p>
      <w:pPr>
        <w:spacing w:after="0" w:line="176" w:lineRule="exact"/>
        <w:rPr>
          <w:sz w:val="20"/>
          <w:szCs w:val="20"/>
          <w:color w:val="auto"/>
        </w:rPr>
      </w:pPr>
    </w:p>
    <w:p>
      <w:pPr>
        <w:ind w:left="10" w:right="3179" w:firstLine="617"/>
        <w:spacing w:after="0" w:line="257" w:lineRule="auto"/>
        <w:rPr>
          <w:sz w:val="20"/>
          <w:szCs w:val="20"/>
          <w:color w:val="auto"/>
        </w:rPr>
      </w:pPr>
      <w:r>
        <w:rPr>
          <w:rFonts w:ascii="Courier New" w:cs="Courier New" w:eastAsia="Courier New" w:hAnsi="Courier New"/>
          <w:sz w:val="14"/>
          <w:szCs w:val="14"/>
          <w:color w:val="auto"/>
        </w:rPr>
        <w:t>Compensation covered by the pension plans generally includes, but is not limited to, base salary, executive incentive compensation awards, lump sum payments in lieu of a salary increase, and overtime. The normal retirement age under the pension plans is 65, but unreduced early retirement benefits are available at age 62 and reduced benefits are available as early as age 55. The calculation of benefits under the pension plans is generally based on an annual accrual rate, average compensation for the highest consecutive five years of the ten years preceding retirement and the participant's number of years of 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 Plan. The amounts listed in the foregoing table are not subject to any deduction for Social Security benefits or other offsets amounts.</w:t>
      </w:r>
    </w:p>
    <w:p>
      <w:pPr>
        <w:spacing w:after="0" w:line="15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As of December 31, 2000, the estimated total annual benefits payable upon</w:t>
      </w:r>
    </w:p>
    <w:p>
      <w:pPr>
        <w:ind w:left="10"/>
        <w:spacing w:after="0"/>
        <w:rPr>
          <w:sz w:val="20"/>
          <w:szCs w:val="20"/>
          <w:color w:val="auto"/>
        </w:rPr>
      </w:pPr>
      <w:r>
        <w:rPr>
          <w:rFonts w:ascii="Courier New" w:cs="Courier New" w:eastAsia="Courier New" w:hAnsi="Courier New"/>
          <w:sz w:val="15"/>
          <w:szCs w:val="15"/>
          <w:color w:val="auto"/>
        </w:rPr>
        <w:t>retirement at age 65 for the individuals named in the compensation table, based</w:t>
      </w:r>
    </w:p>
    <w:p>
      <w:pPr>
        <w:ind w:left="10"/>
        <w:spacing w:after="0"/>
        <w:rPr>
          <w:sz w:val="20"/>
          <w:szCs w:val="20"/>
          <w:color w:val="auto"/>
        </w:rPr>
      </w:pPr>
      <w:r>
        <w:rPr>
          <w:rFonts w:ascii="Courier New" w:cs="Courier New" w:eastAsia="Courier New" w:hAnsi="Courier New"/>
          <w:sz w:val="15"/>
          <w:szCs w:val="15"/>
          <w:color w:val="auto"/>
        </w:rPr>
        <w:t>on continued employment at current compensation, are as follows: Mr. Zelnak,</w:t>
      </w:r>
    </w:p>
    <w:p>
      <w:pPr>
        <w:ind w:left="10"/>
        <w:spacing w:after="0" w:line="238" w:lineRule="auto"/>
        <w:rPr>
          <w:sz w:val="20"/>
          <w:szCs w:val="20"/>
          <w:color w:val="auto"/>
        </w:rPr>
      </w:pPr>
      <w:r>
        <w:rPr>
          <w:rFonts w:ascii="Courier New" w:cs="Courier New" w:eastAsia="Courier New" w:hAnsi="Courier New"/>
          <w:sz w:val="15"/>
          <w:szCs w:val="15"/>
          <w:color w:val="auto"/>
        </w:rPr>
        <w:t>$533,670; Mr. Sipling, $197,891; Ms. Henry, $235,301; Mr. Moe, $163,438; and Mr.</w:t>
      </w:r>
    </w:p>
    <w:p>
      <w:pPr>
        <w:ind w:left="10"/>
        <w:spacing w:after="0"/>
        <w:rPr>
          <w:sz w:val="20"/>
          <w:szCs w:val="20"/>
          <w:color w:val="auto"/>
        </w:rPr>
      </w:pPr>
      <w:r>
        <w:rPr>
          <w:rFonts w:ascii="Courier New" w:cs="Courier New" w:eastAsia="Courier New" w:hAnsi="Courier New"/>
          <w:sz w:val="15"/>
          <w:szCs w:val="15"/>
          <w:color w:val="auto"/>
        </w:rPr>
        <w:t>Deerson, $165,453. These amounts include benefits that are payable under the</w:t>
      </w:r>
    </w:p>
    <w:p>
      <w:pPr>
        <w:ind w:left="10"/>
        <w:spacing w:after="0"/>
        <w:rPr>
          <w:sz w:val="20"/>
          <w:szCs w:val="20"/>
          <w:color w:val="auto"/>
        </w:rPr>
      </w:pPr>
      <w:r>
        <w:rPr>
          <w:rFonts w:ascii="Courier New" w:cs="Courier New" w:eastAsia="Courier New" w:hAnsi="Courier New"/>
          <w:sz w:val="15"/>
          <w:szCs w:val="15"/>
          <w:color w:val="auto"/>
        </w:rPr>
        <w:t>SERP. The years of credited service upon assumed retirement at age 65 for Mr.</w:t>
      </w:r>
    </w:p>
    <w:p>
      <w:pPr>
        <w:ind w:left="10"/>
        <w:spacing w:after="0" w:line="238" w:lineRule="auto"/>
        <w:rPr>
          <w:sz w:val="20"/>
          <w:szCs w:val="20"/>
          <w:color w:val="auto"/>
        </w:rPr>
      </w:pPr>
      <w:r>
        <w:rPr>
          <w:rFonts w:ascii="Courier New" w:cs="Courier New" w:eastAsia="Courier New" w:hAnsi="Courier New"/>
          <w:sz w:val="15"/>
          <w:szCs w:val="15"/>
          <w:color w:val="auto"/>
        </w:rPr>
        <w:t>Zelnak, Mr. Sipling, Ms. Henry, Mr. Moe, and Mr. Deerson are 28.75 years, 27.67</w:t>
      </w:r>
    </w:p>
    <w:p>
      <w:pPr>
        <w:ind w:left="10"/>
        <w:spacing w:after="0"/>
        <w:rPr>
          <w:sz w:val="20"/>
          <w:szCs w:val="20"/>
          <w:color w:val="auto"/>
        </w:rPr>
      </w:pPr>
      <w:r>
        <w:rPr>
          <w:rFonts w:ascii="Courier New" w:cs="Courier New" w:eastAsia="Courier New" w:hAnsi="Courier New"/>
          <w:sz w:val="15"/>
          <w:szCs w:val="15"/>
          <w:color w:val="auto"/>
        </w:rPr>
        <w:t>years, 41.67 years, 36.92 years, and 36.75 years, respectively.</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Corporation has entered into Employment Protection Agreements, as amended from time to time,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(iv) a liquidation or dissolution of the Corporation, or (v) a sale of all or substantially all of the Corporation's assets.</w:t>
      </w:r>
    </w:p>
    <w:p>
      <w:pPr>
        <w:spacing w:after="0" w:line="18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 up" payments to compensate the executives for any golden parachute excise taxes imposed under the Internal Revenue Code on account of the severance amounts.</w:t>
      </w:r>
    </w:p>
    <w:p>
      <w:pPr>
        <w:spacing w:after="0" w:line="164"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SECURITY OWNERSHIP OF CERTAIN</w:t>
      </w:r>
    </w:p>
    <w:p>
      <w:pPr>
        <w:ind w:left="2110"/>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FIVE PERCENT SHAREHOLDERS</w:t>
      </w:r>
    </w:p>
    <w:p>
      <w:pPr>
        <w:spacing w:after="0" w:line="175"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The following table sets forth information with respect to the shares of Common Stock which are held by persons known to the Corporation to be the beneficial owners of more than 5% of such stock as of March 16, 2001. To the best of the Corporation's knowledge, based solely on filings on Schedule 13G with the Securities and Exchange Commission, no person (other than as disclosed below) owned more than 5 percent of any class of the Corporation's outstanding voting securities at the close of business on March 16, 2001.</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ind w:left="780"/>
              <w:spacing w:after="0"/>
              <w:rPr>
                <w:sz w:val="20"/>
                <w:szCs w:val="20"/>
                <w:color w:val="auto"/>
              </w:rPr>
            </w:pPr>
            <w:r>
              <w:rPr>
                <w:rFonts w:ascii="Courier New" w:cs="Courier New" w:eastAsia="Courier New" w:hAnsi="Courier New"/>
                <w:sz w:val="15"/>
                <w:szCs w:val="15"/>
                <w:color w:val="auto"/>
              </w:rPr>
              <w:t>NAME AND ADDRESS</w:t>
            </w: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AMOUNT AND NATURE OF</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PERCENT</w:t>
            </w:r>
          </w:p>
        </w:tc>
      </w:t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OF BENEFICIAL OWNER</w:t>
            </w: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BENEFICIAL OWNERSHIP</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OF CLASS</w:t>
            </w:r>
          </w:p>
        </w:tc>
      </w:tr>
      <w:tr>
        <w:trPr>
          <w:trHeight w:val="170"/>
        </w:trPr>
        <w:tc>
          <w:tcPr>
            <w:tcW w:w="3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Davis Selected Advisers, L.P.(1)</w:t>
            </w: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6,450,100</w:t>
            </w:r>
          </w:p>
        </w:tc>
        <w:tc>
          <w:tcPr>
            <w:tcW w:w="9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13.64%</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124 East Marcy Street</w:t>
            </w: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Santa Fe, NM 87501</w:t>
            </w: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3040" w:type="dxa"/>
            <w:vAlign w:val="bottom"/>
          </w:tcPr>
          <w:p>
            <w:pPr>
              <w:spacing w:after="0"/>
              <w:rPr>
                <w:sz w:val="20"/>
                <w:szCs w:val="20"/>
                <w:color w:val="auto"/>
              </w:rPr>
            </w:pPr>
            <w:r>
              <w:rPr>
                <w:rFonts w:ascii="Courier New" w:cs="Courier New" w:eastAsia="Courier New" w:hAnsi="Courier New"/>
                <w:sz w:val="15"/>
                <w:szCs w:val="15"/>
                <w:color w:val="auto"/>
              </w:rPr>
              <w:t>FMR Corp.(2)</w:t>
            </w: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4,787,834</w:t>
            </w:r>
          </w:p>
        </w:tc>
        <w:tc>
          <w:tcPr>
            <w:tcW w:w="9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10.12%</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Boston, MA 02109</w:t>
            </w: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9"/>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75" w:lineRule="exact"/>
        <w:rPr>
          <w:sz w:val="20"/>
          <w:szCs w:val="20"/>
          <w:color w:val="auto"/>
        </w:rPr>
      </w:pPr>
    </w:p>
    <w:p>
      <w:pPr>
        <w:ind w:left="350" w:right="4059" w:hanging="35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February 14, 2001 filed with the Securities and Exchange Commission.</w:t>
      </w:r>
    </w:p>
    <w:p>
      <w:pPr>
        <w:spacing w:after="0" w:line="6"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13G/A dated February 14, 2001 filed with the Securities and Exchange Commission. The total includes stock held by certain affiliated entities and individuals over which FMR Corp. and such affiliates have the sole power to vote or to direct the vote of 1,560,400 shares and the sole power to dispose or direct the disposition of 4,787,834 shares as a result of acting as investment adviser or subadviser to certain investment companies.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The following table sets forth information as of March 16, 2001 with respect to the shares of Common Stock that are held by the Directors and nominees, the Chief Executive Officer, and the four most highly compensated executive officers, individually, and by all Directors and executive officers of the Corporation as a group.</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2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AMOUNT AND NATURE OF</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BENEFICIAL OWNERSHIP(1)</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Richard G. Adamson...........................</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7,591(2)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Marcus C. Bennett............................</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12,057(2)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Bruce A. Deerson.............................</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57,919(3)(4)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Janice K. Henry..............................</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72,730(3)(4)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Bobby F. Leonard.............................</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10,567(2)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William E. McDonald..........................</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6,642(2)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Frank H. Menaker, Jr.........................</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10,485(2)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Donald M. Moe................................</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48,713(3)(4)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James M. Reed................................</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10,014(2)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William B. Sansom............................</w:t>
            </w:r>
          </w:p>
        </w:tc>
        <w:tc>
          <w:tcPr>
            <w:tcW w:w="29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9,182(2)</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3"/>
              </w:rPr>
              <w:t>Philip J. Sipling............................</w:t>
            </w:r>
          </w:p>
        </w:tc>
        <w:tc>
          <w:tcPr>
            <w:tcW w:w="2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96,316(3)(4)</w:t>
            </w:r>
          </w:p>
        </w:tc>
      </w:tr>
      <w:tr>
        <w:trPr>
          <w:trHeight w:val="509"/>
        </w:trPr>
        <w:tc>
          <w:tcPr>
            <w:tcW w:w="3420" w:type="dxa"/>
            <w:vAlign w:val="bottom"/>
          </w:tcPr>
          <w:p>
            <w:pPr>
              <w:spacing w:after="0"/>
              <w:rPr>
                <w:sz w:val="24"/>
                <w:szCs w:val="24"/>
                <w:color w:val="auto"/>
              </w:rPr>
            </w:pPr>
          </w:p>
        </w:tc>
        <w:tc>
          <w:tcPr>
            <w:tcW w:w="2920" w:type="dxa"/>
            <w:vAlign w:val="bottom"/>
          </w:tcPr>
          <w:p>
            <w:pPr>
              <w:jc w:val="right"/>
              <w:ind w:right="2667"/>
              <w:spacing w:after="0"/>
              <w:rPr>
                <w:sz w:val="20"/>
                <w:szCs w:val="20"/>
                <w:color w:val="auto"/>
              </w:rPr>
            </w:pPr>
            <w:r>
              <w:rPr>
                <w:rFonts w:ascii="Courier New" w:cs="Courier New" w:eastAsia="Courier New" w:hAnsi="Courier New"/>
                <w:sz w:val="15"/>
                <w:szCs w:val="15"/>
                <w:color w:val="auto"/>
                <w:w w:val="88"/>
              </w:rPr>
              <w:t>14</w:t>
            </w:r>
          </w:p>
        </w:tc>
      </w:tr>
    </w:tbl>
    <w:p>
      <w:pPr>
        <w:sectPr>
          <w:pgSz w:w="11900" w:h="16838" w:orient="portrait"/>
          <w:cols w:equalWidth="0" w:num="1">
            <w:col w:w="10229"/>
          </w:cols>
          <w:pgMar w:left="23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09" w:val="left"/>
        </w:tabs>
        <w:rPr>
          <w:sz w:val="20"/>
          <w:szCs w:val="20"/>
          <w:color w:val="auto"/>
        </w:rPr>
      </w:pPr>
      <w:r>
        <w:rPr>
          <w:rFonts w:ascii="Courier New" w:cs="Courier New" w:eastAsia="Courier New" w:hAnsi="Courier New"/>
          <w:sz w:val="15"/>
          <w:szCs w:val="15"/>
          <w:color w:val="auto"/>
        </w:rPr>
        <w:t>NAME OF</w:t>
      </w:r>
      <w:r>
        <w:rPr>
          <w:sz w:val="20"/>
          <w:szCs w:val="20"/>
          <w:color w:val="auto"/>
        </w:rPr>
        <w:tab/>
      </w:r>
      <w:r>
        <w:rPr>
          <w:rFonts w:ascii="Courier New" w:cs="Courier New" w:eastAsia="Courier New" w:hAnsi="Courier New"/>
          <w:sz w:val="14"/>
          <w:szCs w:val="14"/>
          <w:color w:val="auto"/>
        </w:rPr>
        <w:t>AMOUNT AND NATURE OF</w:t>
      </w:r>
    </w:p>
    <w:p>
      <w:pPr>
        <w:ind w:left="10"/>
        <w:spacing w:after="0"/>
        <w:tabs>
          <w:tab w:leader="none" w:pos="4129"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4"/>
          <w:szCs w:val="14"/>
          <w:color w:val="auto"/>
        </w:rPr>
        <w:t>BENEFICIAL OWNERSHIP(1)</w:t>
      </w:r>
    </w:p>
    <w:p>
      <w:pPr>
        <w:ind w:left="10"/>
        <w:spacing w:after="0"/>
        <w:tabs>
          <w:tab w:leader="none" w:pos="42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10"/>
        <w:spacing w:after="0"/>
        <w:tabs>
          <w:tab w:leader="none" w:pos="5089" w:val="left"/>
        </w:tabs>
        <w:rPr>
          <w:sz w:val="20"/>
          <w:szCs w:val="20"/>
          <w:color w:val="auto"/>
        </w:rPr>
      </w:pPr>
      <w:r>
        <w:rPr>
          <w:rFonts w:ascii="Courier New" w:cs="Courier New" w:eastAsia="Courier New" w:hAnsi="Courier New"/>
          <w:sz w:val="15"/>
          <w:szCs w:val="15"/>
          <w:color w:val="auto"/>
        </w:rPr>
        <w:t>Richard A. Vinroot...........................</w:t>
      </w:r>
      <w:r>
        <w:rPr>
          <w:sz w:val="20"/>
          <w:szCs w:val="20"/>
          <w:color w:val="auto"/>
        </w:rPr>
        <w:tab/>
      </w:r>
      <w:r>
        <w:rPr>
          <w:rFonts w:ascii="Courier New" w:cs="Courier New" w:eastAsia="Courier New" w:hAnsi="Courier New"/>
          <w:sz w:val="14"/>
          <w:szCs w:val="14"/>
          <w:color w:val="auto"/>
        </w:rPr>
        <w:t>7,780(2)</w:t>
      </w:r>
    </w:p>
    <w:p>
      <w:pPr>
        <w:ind w:left="10"/>
        <w:spacing w:after="0"/>
        <w:tabs>
          <w:tab w:leader="none" w:pos="4909" w:val="left"/>
        </w:tabs>
        <w:rPr>
          <w:sz w:val="20"/>
          <w:szCs w:val="20"/>
          <w:color w:val="auto"/>
        </w:rPr>
      </w:pPr>
      <w:r>
        <w:rPr>
          <w:rFonts w:ascii="Courier New" w:cs="Courier New" w:eastAsia="Courier New" w:hAnsi="Courier New"/>
          <w:sz w:val="15"/>
          <w:szCs w:val="15"/>
          <w:color w:val="auto"/>
        </w:rPr>
        <w:t>Stephen P. Zelnak, Jr........................</w:t>
      </w:r>
      <w:r>
        <w:rPr>
          <w:sz w:val="20"/>
          <w:szCs w:val="20"/>
          <w:color w:val="auto"/>
        </w:rPr>
        <w:tab/>
      </w:r>
      <w:r>
        <w:rPr>
          <w:rFonts w:ascii="Courier New" w:cs="Courier New" w:eastAsia="Courier New" w:hAnsi="Courier New"/>
          <w:sz w:val="14"/>
          <w:szCs w:val="14"/>
          <w:color w:val="auto"/>
        </w:rPr>
        <w:t>183,230(3)(5)()</w:t>
      </w:r>
    </w:p>
    <w:p>
      <w:pPr>
        <w:ind w:left="10"/>
        <w:spacing w:after="0"/>
        <w:rPr>
          <w:sz w:val="20"/>
          <w:szCs w:val="20"/>
          <w:color w:val="auto"/>
        </w:rPr>
      </w:pPr>
      <w:r>
        <w:rPr>
          <w:rFonts w:ascii="Courier New" w:cs="Courier New" w:eastAsia="Courier New" w:hAnsi="Courier New"/>
          <w:sz w:val="15"/>
          <w:szCs w:val="15"/>
          <w:color w:val="auto"/>
        </w:rPr>
        <w:t>All Directors and executive officers as a</w:t>
      </w:r>
    </w:p>
    <w:p>
      <w:pPr>
        <w:ind w:left="270"/>
        <w:spacing w:after="0" w:line="238" w:lineRule="auto"/>
        <w:rPr>
          <w:sz w:val="20"/>
          <w:szCs w:val="20"/>
          <w:color w:val="auto"/>
        </w:rPr>
      </w:pPr>
      <w:r>
        <w:rPr>
          <w:rFonts w:ascii="Courier New" w:cs="Courier New" w:eastAsia="Courier New" w:hAnsi="Courier New"/>
          <w:sz w:val="15"/>
          <w:szCs w:val="15"/>
          <w:color w:val="auto"/>
        </w:rPr>
        <w:t>group (16 individuals including those</w:t>
      </w:r>
    </w:p>
    <w:p>
      <w:pPr>
        <w:ind w:left="270"/>
        <w:spacing w:after="0"/>
        <w:tabs>
          <w:tab w:leader="none" w:pos="4909" w:val="left"/>
        </w:tabs>
        <w:rPr>
          <w:sz w:val="20"/>
          <w:szCs w:val="20"/>
          <w:color w:val="auto"/>
        </w:rPr>
      </w:pPr>
      <w:r>
        <w:rPr>
          <w:rFonts w:ascii="Courier New" w:cs="Courier New" w:eastAsia="Courier New" w:hAnsi="Courier New"/>
          <w:sz w:val="15"/>
          <w:szCs w:val="15"/>
          <w:color w:val="auto"/>
        </w:rPr>
        <w:t>named above)..............................</w:t>
      </w:r>
      <w:r>
        <w:rPr>
          <w:sz w:val="20"/>
          <w:szCs w:val="20"/>
          <w:color w:val="auto"/>
        </w:rPr>
        <w:tab/>
      </w:r>
      <w:r>
        <w:rPr>
          <w:rFonts w:ascii="Courier New" w:cs="Courier New" w:eastAsia="Courier New" w:hAnsi="Courier New"/>
          <w:sz w:val="14"/>
          <w:szCs w:val="14"/>
          <w:color w:val="auto"/>
        </w:rPr>
        <w:t>588,832(3)(4)</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439" w:hanging="350"/>
        <w:spacing w:after="0" w:line="238"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1.23% of the shares of Common Stock outstanding as of March 16, 2001.</w:t>
      </w:r>
    </w:p>
    <w:p>
      <w:pPr>
        <w:spacing w:after="0" w:line="6" w:lineRule="exact"/>
        <w:rPr>
          <w:rFonts w:ascii="Courier New" w:cs="Courier New" w:eastAsia="Courier New" w:hAnsi="Courier New"/>
          <w:sz w:val="15"/>
          <w:szCs w:val="15"/>
          <w:color w:val="auto"/>
        </w:rPr>
      </w:pPr>
    </w:p>
    <w:p>
      <w:pPr>
        <w:ind w:left="350" w:right="3179" w:hanging="350"/>
        <w:spacing w:after="0" w:line="256"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include compensation paid on a quarterly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16, 2001 is as follows: Mr. Adamson, 1,691; Mr. Bennett, 3,557; Mr. Leonard, 1,317; Mr. McDonald, 2,142; Mr. Menaker, 3,435; Mr. Reed, 2,514; Mr. Sansom, 3,632; and Mr. Vinroot, 3,280. Amounts reported also include options for Common Stock in the amount of 4,500 for each Director, all of which are exercisable.</w:t>
      </w:r>
    </w:p>
    <w:p>
      <w:pPr>
        <w:spacing w:after="0" w:line="3" w:lineRule="exact"/>
        <w:rPr>
          <w:rFonts w:ascii="Courier New" w:cs="Courier New" w:eastAsia="Courier New" w:hAnsi="Courier New"/>
          <w:sz w:val="14"/>
          <w:szCs w:val="14"/>
          <w:color w:val="auto"/>
        </w:rPr>
      </w:pPr>
    </w:p>
    <w:p>
      <w:pPr>
        <w:ind w:left="350" w:right="3179" w:hanging="350"/>
        <w:spacing w:after="0" w:line="256"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for each of Messrs. Deerson, Moe, Sipling, Zelnak and Ms. Henry and all Directors and executive officers as a group assumes that options held by each of them covering shares of Common Stock in the amounts indicated, which are currently exercisable within 60 days of March 16, 2001, have been exercised: Mr. Deerson, 42,832; Ms. Henry, 56,166; Mr. Moe, 41,000; Mr. Sipling, 75,666; Mr. Zelnak, 134,667; and all Directors and executive officers as a group, 418,327. The amounts reported also include Common Stock units credited to each of the named executives in connection with (i) their deferral of a portion of their cash bonus under the Martin Marietta Materials, Inc. Incentive Stock Plan, and (ii) restricted stock awards granted in January 2001 under the Martin Marietta Materials, Inc. Amended and Restated Stock-Based Award Plan that are subject to forfeiture in accordance with the terms of the plan, each in the following amounts: Mr. Deerson, 1,573 and 1,850, respectively; Ms. Henry, 5,067 and 2,384, respectively; Mr. Moe, 1,803 and 1,850, respectively; Mr. Sipling, 5,940 and 2,767, respectively; Mr. Zelnak, 24,539 and 5,492, respectively; and all Directors and executive officers as a group, 45,046 and 18,936, respectively. There are no voting rights associated with the stock units.</w:t>
      </w:r>
    </w:p>
    <w:p>
      <w:pPr>
        <w:spacing w:after="0" w:line="6" w:lineRule="exact"/>
        <w:rPr>
          <w:rFonts w:ascii="Courier New" w:cs="Courier New" w:eastAsia="Courier New" w:hAnsi="Courier New"/>
          <w:sz w:val="14"/>
          <w:szCs w:val="14"/>
          <w:color w:val="auto"/>
        </w:rPr>
      </w:pPr>
    </w:p>
    <w:p>
      <w:pPr>
        <w:ind w:left="350" w:right="3539" w:hanging="350"/>
        <w:spacing w:after="0" w:line="256"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approximation of the number of shares in the participant's account in the Martin Marietta Materials, Inc. Performance Sharing Plan.</w:t>
      </w:r>
    </w:p>
    <w:p>
      <w:pPr>
        <w:ind w:left="350" w:right="3539" w:hanging="350"/>
        <w:spacing w:after="0" w:line="26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 shares held by the Zelnak Private Foundation of which Mr. Zelnak and his wife are trustees and share voting and investment power.</w:t>
      </w:r>
    </w:p>
    <w:p>
      <w:pPr>
        <w:spacing w:after="0" w:line="153"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REPORT OF THE COMPENSATION COMMITTEE</w:t>
      </w:r>
    </w:p>
    <w:p>
      <w:pPr>
        <w:ind w:left="2390"/>
        <w:spacing w:after="0"/>
        <w:rPr>
          <w:sz w:val="20"/>
          <w:szCs w:val="20"/>
          <w:color w:val="auto"/>
        </w:rPr>
      </w:pPr>
      <w:r>
        <w:rPr>
          <w:rFonts w:ascii="Courier New" w:cs="Courier New" w:eastAsia="Courier New" w:hAnsi="Courier New"/>
          <w:sz w:val="15"/>
          <w:szCs w:val="15"/>
          <w:color w:val="auto"/>
        </w:rPr>
        <w:t>ON EXECUTIVE COMPENSATION</w:t>
      </w:r>
    </w:p>
    <w:p>
      <w:pPr>
        <w:spacing w:after="0" w:line="174"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The Corporation's executive compensation program is administered by the Compensation Committee (the "Committee") of the Board of Directors, which consists entirely of Board members who are neither officers nor employees of the Corporation. The role of the Compensation Committee is, among other things, to approve salaries and other compensation of the executive officers of the Corporation and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 COMPENSATION PHILOSOPHY</w:t>
      </w:r>
    </w:p>
    <w:p>
      <w:pPr>
        <w:spacing w:after="0" w:line="175" w:lineRule="exact"/>
        <w:rPr>
          <w:sz w:val="20"/>
          <w:szCs w:val="20"/>
          <w:color w:val="auto"/>
        </w:rPr>
      </w:pPr>
    </w:p>
    <w:p>
      <w:pPr>
        <w:ind w:left="10" w:right="3359" w:firstLine="617"/>
        <w:spacing w:after="0" w:line="238" w:lineRule="auto"/>
        <w:rPr>
          <w:sz w:val="20"/>
          <w:szCs w:val="20"/>
          <w:color w:val="auto"/>
        </w:rPr>
      </w:pPr>
      <w:r>
        <w:rPr>
          <w:rFonts w:ascii="Courier New" w:cs="Courier New" w:eastAsia="Courier New" w:hAnsi="Courier New"/>
          <w:sz w:val="15"/>
          <w:szCs w:val="15"/>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w:t>
      </w:r>
    </w:p>
    <w:p>
      <w:pPr>
        <w:sectPr>
          <w:pgSz w:w="11900" w:h="16838" w:orient="portrait"/>
          <w:cols w:equalWidth="0" w:num="1">
            <w:col w:w="10229"/>
          </w:cols>
          <w:pgMar w:left="230" w:top="283" w:right="1440" w:bottom="1440" w:gutter="0" w:footer="0" w:header="0"/>
        </w:sectPr>
      </w:pP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28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STRUCTURE AND AWARDS FOR 2000</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key elements of the Corporation's compensation structure are base salary, annual incentives and long-term incentives, each of which is intended to accomplish the overall compensation philosophy.</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Annual Compensation -- Base Salary. In setting base salaries for 2000, the Committee reviewed information drawn from various sources, including proxy statements and surveys conducted by an outside compensation consulting firm of a selected peer group of companies in the aggregates, cement and specialty chemical industries, including those in the Performance Graph peer group on page 21, and of a selected group of general industry companies with comparable revenues to those of the Corporation. The group of companies reflected in the compensation surveys was broader than the group of peer companies set forth in the Performance Graph on page 21 because of the Committee's belief that the larger group better represents the market within which it competes for executive talent.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6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at approximately the median compensation of executives having similar responsibilities in the compensation surveys, including those in the Performance Graph peer group.</w:t>
      </w:r>
    </w:p>
    <w:p>
      <w:pPr>
        <w:spacing w:after="0" w:line="181"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base salary for the Chairman, President and Chief Executive Officer of the Corporation was increased during 2000 to $665,000. This represents an approximate 4.7 percent increase from 1999. The rate of increase in 2000 reflected the Committee's determination that Mr. Zelnak's continued superior stewardship of the Corporation resulted in record sales despite a slowdown in construction aggregates demand, unusually severe weather and a significant increase in fuel costs, factors that impacted the entire aggregates industry. In addition, the Corporation completed five acquisitions in 2000 in strategic locations. The Committee also reviewed base salary data for chief executive officers in the compensation studies and in the Performance Graph peer group.</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Annual Compensation -- Bonus. To encourage achievement of the performance objectives of the Corporation, a significant portion of annual compensation takes the form of an incentive compensation bonus. In 2000,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77" w:lineRule="exact"/>
        <w:rPr>
          <w:sz w:val="20"/>
          <w:szCs w:val="20"/>
          <w:color w:val="auto"/>
        </w:rPr>
      </w:pPr>
    </w:p>
    <w:p>
      <w:pPr>
        <w:ind w:right="3359" w:firstLine="617"/>
        <w:spacing w:after="0" w:line="257" w:lineRule="auto"/>
        <w:rPr>
          <w:sz w:val="20"/>
          <w:szCs w:val="20"/>
          <w:color w:val="auto"/>
        </w:rPr>
      </w:pPr>
      <w:r>
        <w:rPr>
          <w:rFonts w:ascii="Courier New" w:cs="Courier New" w:eastAsia="Courier New" w:hAnsi="Courier New"/>
          <w:sz w:val="14"/>
          <w:szCs w:val="14"/>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customer satisfaction and product quality.</w:t>
      </w:r>
    </w:p>
    <w:p>
      <w:pPr>
        <w:spacing w:after="0" w:line="167"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w:t>
      </w:r>
    </w:p>
    <w:p>
      <w:pPr>
        <w:spacing w:after="0" w:line="179" w:lineRule="exact"/>
        <w:rPr>
          <w:sz w:val="20"/>
          <w:szCs w:val="20"/>
          <w:color w:val="auto"/>
        </w:rPr>
      </w:pPr>
    </w:p>
    <w:p>
      <w:pPr>
        <w:jc w:val="both"/>
        <w:ind w:right="3439" w:firstLine="617"/>
        <w:spacing w:after="0" w:line="237" w:lineRule="auto"/>
        <w:rPr>
          <w:sz w:val="20"/>
          <w:szCs w:val="20"/>
          <w:color w:val="auto"/>
        </w:rPr>
      </w:pPr>
      <w:r>
        <w:rPr>
          <w:rFonts w:ascii="Courier New" w:cs="Courier New" w:eastAsia="Courier New" w:hAnsi="Courier New"/>
          <w:sz w:val="15"/>
          <w:szCs w:val="15"/>
          <w:color w:val="auto"/>
        </w:rPr>
        <w:t>The Committee considers the recommendations of the Corporation's Chief Executive Officer but retains complete discretion in performing these reviews and in determining the amount of actual awards, if any.</w:t>
      </w:r>
    </w:p>
    <w:p>
      <w:pPr>
        <w:spacing w:after="0" w:line="175" w:lineRule="exact"/>
        <w:rPr>
          <w:sz w:val="20"/>
          <w:szCs w:val="20"/>
          <w:color w:val="auto"/>
        </w:rPr>
      </w:pPr>
    </w:p>
    <w:p>
      <w:pPr>
        <w:ind w:right="3179" w:firstLine="617"/>
        <w:spacing w:after="0" w:line="239" w:lineRule="auto"/>
        <w:rPr>
          <w:sz w:val="20"/>
          <w:szCs w:val="20"/>
          <w:color w:val="auto"/>
        </w:rPr>
      </w:pPr>
      <w:r>
        <w:rPr>
          <w:rFonts w:ascii="Courier New" w:cs="Courier New" w:eastAsia="Courier New" w:hAnsi="Courier New"/>
          <w:sz w:val="15"/>
          <w:szCs w:val="15"/>
          <w:color w:val="auto"/>
        </w:rPr>
        <w:t>Mr. Zelnak was awarded an annual incentive bonus of $625,000 for 2000 based on consideration of many diverse factors. Consistent with its compensation philosophy that focuses 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The Committee believes that an evaluation of Mr. Zelnak's overall performance during 2000 in achieving record sales and in implementing certain initiatives to position the Corporation for future growth reflects the preeminent leadership of Mr. Zelnak and the hard work of a dedicated management team. The Corporation's Incentive Stock Plan (discussed more generally below) requires Mr. Zelnak to use 25% of his 2000 annual incentive bonus towards credits of Common Stock units at a 20% discount to market value. These units generally vest in three years. In addition, Mr. Zelnak made an irrevocable choice six months prior to the bonus determination to use 25% more, for a total of 50% of his annual incentive bonus, towards Common Stock units. Although there was no special attempt to set Mr. Zelnak's 2000 bonus in any particular relationship to the compensation data, Mr. Zelnak's bonus was above the median level of bonus compensation of CEO's in the compensation surveys, including those in the Performance Graph peer group. His total cash compensation (base salary and bonus) was slightly above the median compensation of those CEOs. The Compensation Committee retains complete discretion in determining the amount of incentive compensation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be awarded to Mr. Zelnak. Consequently, no particular weighting of criteria is required or performed.</w:t>
      </w:r>
    </w:p>
    <w:p>
      <w:pPr>
        <w:spacing w:after="0" w:line="176" w:lineRule="exact"/>
        <w:rPr>
          <w:sz w:val="20"/>
          <w:szCs w:val="20"/>
          <w:color w:val="auto"/>
        </w:rPr>
      </w:pPr>
    </w:p>
    <w:p>
      <w:pPr>
        <w:ind w:right="3439" w:firstLine="617"/>
        <w:spacing w:after="0" w:line="258" w:lineRule="auto"/>
        <w:rPr>
          <w:sz w:val="20"/>
          <w:szCs w:val="20"/>
          <w:color w:val="auto"/>
        </w:rPr>
      </w:pPr>
      <w:r>
        <w:rPr>
          <w:rFonts w:ascii="Courier New" w:cs="Courier New" w:eastAsia="Courier New" w:hAnsi="Courier New"/>
          <w:sz w:val="14"/>
          <w:szCs w:val="14"/>
          <w:color w:val="auto"/>
        </w:rPr>
        <w:t>Long Term Compensation -- Stock Options. Stock options awarded under the Corporation's Amended and Restated Stock-Based Award Plan link the compensation provided to a group of 138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64"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number of options granted to an individual is based upon survey data provided by compensation consultants. The data shows the value of option awards as a multiple of base pay for comparable executive positions in other corporations. In making 2000 stock option award decisions, the Committee elected to provide option awards, as a multiple of base salary, near the average for awards made by firms in a national compensation group comprised of the same companies surveyed in the Compensation Committee's review of base salaries.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90,000 options in 2000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6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76"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Long Term Compensation -- Incentive Stock Awards. In 2000, a group of 54 executive officers and key personnel participated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 Participation in the plan is elective, except that executive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w:t>
      </w:r>
    </w:p>
    <w:p>
      <w:pPr>
        <w:spacing w:after="0" w:line="164"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Long Term Compensation -- Shareholder Value Achievement Plan Awards. In 2000, a group of 14 executive officers and key personnel was granted awards under the Martin Marietta Materials, Inc. Shareholder Value Achievement Plan (the "Achievement Plan"). The primary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purpose of the Achievement Plan is to foster and promote the long-term growth and performance of the Corporation by enhancing the Corporation's ability to attract and retain qualified key employees and motivate key employees through performance-based incentives.</w:t>
      </w:r>
    </w:p>
    <w:p>
      <w:pPr>
        <w:spacing w:after="0" w:line="176" w:lineRule="exact"/>
        <w:rPr>
          <w:sz w:val="20"/>
          <w:szCs w:val="20"/>
          <w:color w:val="auto"/>
        </w:rPr>
      </w:pPr>
    </w:p>
    <w:p>
      <w:pPr>
        <w:ind w:right="3179" w:firstLine="617"/>
        <w:spacing w:after="0" w:line="239" w:lineRule="auto"/>
        <w:rPr>
          <w:sz w:val="20"/>
          <w:szCs w:val="20"/>
          <w:color w:val="auto"/>
        </w:rPr>
      </w:pPr>
      <w:r>
        <w:rPr>
          <w:rFonts w:ascii="Courier New" w:cs="Courier New" w:eastAsia="Courier New" w:hAnsi="Courier New"/>
          <w:sz w:val="15"/>
          <w:szCs w:val="15"/>
          <w:color w:val="auto"/>
        </w:rPr>
        <w:t>The Committee periodically reviews the components of the Corporation's executive compensation program to ensure that pay levels are competitive and that incentive opportunities are effective in attracting and retaining talented employees. In 2000, the comparative groups used in the Achievement Plan were changed to more accurately compare the Corporation's performance to those companies that the Committee believes the Corporation competes with for investors. The 2000 awards granted under the Achievement Plan allow long term incentives to be earned by the Chief Executive Officer and the other participants when the Corporation attains specific return on capital goals that are equally weighted and are determined by a total return to shareholders ranking that must be at least in the 40th percentile as compared to the Standard and Poor's index of 400 MidCap companies and to the Standard and Poor's Basic Materials Industrial Group. The groups used as comparisons under the Achievement Plan differ from and are larger than the peer group used in the Performance Graph because the Corporation has historically compared its financial performance against a larger competitor group for compensation purposes. In addition, the Committee believes that investors in the Corporation compare its performance to those in these larger competitor groups. Awards earned under this plan are made in Common Stock that vests at the end of a three-year period if the performance goals are attained. The objective of this plan is to focus senior management's attention on certain critical factors affecting the Corporation's long term performance and reward them for making successful long term decisions. The value of these awards may vary considerably based on the Corporation's stock price performance.</w:t>
      </w:r>
    </w:p>
    <w:p>
      <w:pPr>
        <w:spacing w:after="0" w:line="177"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Stock-Based Awards -- Generally. 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WITH RESPECT TO DEDUCTIBILITY OF COMPENSATION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2000.</w:t>
      </w:r>
    </w:p>
    <w:p>
      <w:pPr>
        <w:spacing w:after="0" w:line="178"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general compensation policies and objectives that are currently in place best serves shareholder interests.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COMPENSATION COMMITTEE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Bobby F. Leonard, Chairman</w:t>
      </w:r>
    </w:p>
    <w:p>
      <w:pPr>
        <w:ind w:left="3420"/>
        <w:spacing w:after="0"/>
        <w:rPr>
          <w:sz w:val="20"/>
          <w:szCs w:val="20"/>
          <w:color w:val="auto"/>
        </w:rPr>
      </w:pPr>
      <w:r>
        <w:rPr>
          <w:rFonts w:ascii="Courier New" w:cs="Courier New" w:eastAsia="Courier New" w:hAnsi="Courier New"/>
          <w:sz w:val="15"/>
          <w:szCs w:val="15"/>
          <w:color w:val="auto"/>
        </w:rPr>
        <w:t>Marcus C. Bennett</w:t>
      </w:r>
    </w:p>
    <w:p>
      <w:pPr>
        <w:ind w:left="3420"/>
        <w:spacing w:after="0"/>
        <w:rPr>
          <w:sz w:val="20"/>
          <w:szCs w:val="20"/>
          <w:color w:val="auto"/>
        </w:rPr>
      </w:pPr>
      <w:r>
        <w:rPr>
          <w:rFonts w:ascii="Courier New" w:cs="Courier New" w:eastAsia="Courier New" w:hAnsi="Courier New"/>
          <w:sz w:val="15"/>
          <w:szCs w:val="15"/>
          <w:color w:val="auto"/>
        </w:rPr>
        <w:t>William E. McDonald</w:t>
      </w:r>
    </w:p>
    <w:p>
      <w:pPr>
        <w:ind w:left="3420"/>
        <w:spacing w:after="0" w:line="238" w:lineRule="auto"/>
        <w:rPr>
          <w:sz w:val="20"/>
          <w:szCs w:val="20"/>
          <w:color w:val="auto"/>
        </w:rPr>
      </w:pPr>
      <w:r>
        <w:rPr>
          <w:rFonts w:ascii="Courier New" w:cs="Courier New" w:eastAsia="Courier New" w:hAnsi="Courier New"/>
          <w:sz w:val="15"/>
          <w:szCs w:val="15"/>
          <w:color w:val="auto"/>
        </w:rPr>
        <w:t>William B. Sansom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COMPARISON CUMULATIVE TOTAL RETURN(1)</w:t>
      </w:r>
    </w:p>
    <w:p>
      <w:pPr>
        <w:ind w:left="1770"/>
        <w:spacing w:after="0"/>
        <w:rPr>
          <w:sz w:val="20"/>
          <w:szCs w:val="20"/>
          <w:color w:val="auto"/>
        </w:rPr>
      </w:pPr>
      <w:r>
        <w:rPr>
          <w:rFonts w:ascii="Courier New" w:cs="Courier New" w:eastAsia="Courier New" w:hAnsi="Courier New"/>
          <w:sz w:val="15"/>
          <w:szCs w:val="15"/>
          <w:color w:val="auto"/>
        </w:rPr>
        <w:t>MARTIN MARIETTA MATERIALS, INC., S&amp;P 500</w:t>
      </w:r>
    </w:p>
    <w:p>
      <w:pPr>
        <w:ind w:left="2550"/>
        <w:spacing w:after="0"/>
        <w:rPr>
          <w:sz w:val="20"/>
          <w:szCs w:val="20"/>
          <w:color w:val="auto"/>
        </w:rPr>
      </w:pPr>
      <w:r>
        <w:rPr>
          <w:rFonts w:ascii="Courier New" w:cs="Courier New" w:eastAsia="Courier New" w:hAnsi="Courier New"/>
          <w:sz w:val="15"/>
          <w:szCs w:val="15"/>
          <w:color w:val="auto"/>
        </w:rPr>
        <w:t>AND PEER GROUP INDICES</w:t>
      </w:r>
    </w:p>
    <w:p>
      <w:pPr>
        <w:spacing w:after="0" w:line="174" w:lineRule="exact"/>
        <w:rPr>
          <w:sz w:val="20"/>
          <w:szCs w:val="20"/>
          <w:color w:val="auto"/>
        </w:rPr>
      </w:pPr>
    </w:p>
    <w:p>
      <w:pPr>
        <w:ind w:left="10" w:right="3620" w:firstLine="617"/>
        <w:spacing w:after="0" w:line="258" w:lineRule="auto"/>
        <w:rPr>
          <w:sz w:val="20"/>
          <w:szCs w:val="20"/>
          <w:color w:val="auto"/>
        </w:rPr>
      </w:pPr>
      <w:r>
        <w:rPr>
          <w:rFonts w:ascii="Courier New" w:cs="Courier New" w:eastAsia="Courier New" w:hAnsi="Courier New"/>
          <w:sz w:val="14"/>
          <w:szCs w:val="14"/>
          <w:color w:val="auto"/>
        </w:rPr>
        <w:t>The following graph compares the performance of the Corporation's Common Stock to that of the Standard and Poor's 500 Stock Index ("S&amp;P 500") and a market capitalization weighted index containing a group of peer companies in the aggregates and cement industries selected by the Corporation. The peer group consists of the following companies: Florida Rock Industries, Inc., Lafarge Corporation, Martin Marietta Materials, Inc. and Vulcan Materials Company.(2)</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35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MLM</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S&amp;P 500 INDEX</w:t>
            </w:r>
          </w:p>
        </w:tc>
        <w:tc>
          <w:tcPr>
            <w:tcW w:w="1600" w:type="dxa"/>
            <w:vAlign w:val="bottom"/>
          </w:tcPr>
          <w:p>
            <w:pPr>
              <w:ind w:left="720"/>
              <w:spacing w:after="0"/>
              <w:rPr>
                <w:sz w:val="20"/>
                <w:szCs w:val="20"/>
                <w:color w:val="auto"/>
              </w:rPr>
            </w:pPr>
            <w:r>
              <w:rPr>
                <w:rFonts w:ascii="Courier New" w:cs="Courier New" w:eastAsia="Courier New" w:hAnsi="Courier New"/>
                <w:sz w:val="15"/>
                <w:szCs w:val="15"/>
                <w:color w:val="auto"/>
                <w:w w:val="95"/>
              </w:rPr>
              <w:t>PEER GROUP</w:t>
            </w:r>
          </w:p>
        </w:tc>
      </w:tr>
      <w:tr>
        <w:trPr>
          <w:trHeight w:val="170"/>
        </w:trPr>
        <w:tc>
          <w:tcPr>
            <w:tcW w:w="2860" w:type="dxa"/>
            <w:vAlign w:val="bottom"/>
          </w:tcPr>
          <w:p>
            <w:pPr>
              <w:spacing w:after="0"/>
              <w:rPr>
                <w:sz w:val="14"/>
                <w:szCs w:val="14"/>
                <w:color w:val="auto"/>
              </w:rPr>
            </w:pPr>
          </w:p>
        </w:tc>
        <w:tc>
          <w:tcPr>
            <w:tcW w:w="35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12/31/95</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100.00</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100.00</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100.00</w:t>
            </w:r>
          </w:p>
        </w:tc>
      </w:tr>
      <w:tr>
        <w:trPr>
          <w:trHeight w:val="170"/>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12/31/96</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115.00</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122.96</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110.81</w:t>
            </w:r>
          </w:p>
        </w:tc>
      </w:tr>
      <w:tr>
        <w:trPr>
          <w:trHeight w:val="170"/>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12/31/97</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183.69</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163.98</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178.00</w:t>
            </w:r>
          </w:p>
        </w:tc>
      </w:tr>
      <w:tr>
        <w:trPr>
          <w:trHeight w:val="170"/>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12/31/98</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316.02</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210.85</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254.04</w:t>
            </w:r>
          </w:p>
        </w:tc>
      </w:tr>
      <w:tr>
        <w:trPr>
          <w:trHeight w:val="170"/>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12/31/99</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210.64</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255.21</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204.57</w:t>
            </w:r>
          </w:p>
        </w:tc>
      </w:tr>
      <w:tr>
        <w:trPr>
          <w:trHeight w:val="170"/>
        </w:trPr>
        <w:tc>
          <w:tcPr>
            <w:tcW w:w="2860" w:type="dxa"/>
            <w:vAlign w:val="bottom"/>
          </w:tcPr>
          <w:p>
            <w:pPr>
              <w:jc w:val="right"/>
              <w:ind w:right="2087"/>
              <w:spacing w:after="0"/>
              <w:rPr>
                <w:sz w:val="20"/>
                <w:szCs w:val="20"/>
                <w:color w:val="auto"/>
              </w:rPr>
            </w:pPr>
            <w:r>
              <w:rPr>
                <w:rFonts w:ascii="Courier New" w:cs="Courier New" w:eastAsia="Courier New" w:hAnsi="Courier New"/>
                <w:sz w:val="15"/>
                <w:szCs w:val="15"/>
                <w:color w:val="auto"/>
                <w:w w:val="94"/>
              </w:rPr>
              <w:t>12/31/00</w:t>
            </w:r>
          </w:p>
        </w:tc>
        <w:tc>
          <w:tcPr>
            <w:tcW w:w="3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220.24</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231.98</w:t>
            </w:r>
          </w:p>
        </w:tc>
        <w:tc>
          <w:tcPr>
            <w:tcW w:w="160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224.37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620" w:hanging="350"/>
        <w:spacing w:after="0" w:line="235"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investment in the Corporation's Common Stock and each index was $100, with quarterly reinvestment of dividends.</w:t>
      </w:r>
    </w:p>
    <w:p>
      <w:pPr>
        <w:spacing w:after="0" w:line="6" w:lineRule="exact"/>
        <w:rPr>
          <w:rFonts w:ascii="Courier New" w:cs="Courier New" w:eastAsia="Courier New" w:hAnsi="Courier New"/>
          <w:sz w:val="15"/>
          <w:szCs w:val="15"/>
          <w:color w:val="auto"/>
        </w:rPr>
      </w:pPr>
    </w:p>
    <w:p>
      <w:pPr>
        <w:ind w:left="350" w:right="3980" w:hanging="350"/>
        <w:spacing w:after="0" w:line="235"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peer group index includes CalMat Co. up until the time of its merger into Vulcan Materials Company as of January 6, 1999.</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670"/>
          </w:cols>
          <w:pgMar w:left="230" w:top="283" w:right="999"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COMPENSATION COMMITTEE INTERLOCKS AND INSIDER</w:t>
      </w:r>
    </w:p>
    <w:p>
      <w:pPr>
        <w:jc w:val="center"/>
        <w:ind w:right="3259"/>
        <w:spacing w:after="0"/>
        <w:rPr>
          <w:sz w:val="20"/>
          <w:szCs w:val="20"/>
          <w:color w:val="auto"/>
        </w:rPr>
      </w:pPr>
      <w:r>
        <w:rPr>
          <w:rFonts w:ascii="Courier New" w:cs="Courier New" w:eastAsia="Courier New" w:hAnsi="Courier New"/>
          <w:sz w:val="15"/>
          <w:szCs w:val="15"/>
          <w:color w:val="auto"/>
        </w:rPr>
        <w:t>PARTICIPATION IN COMPENSATION DECISIONS</w:t>
      </w:r>
    </w:p>
    <w:p>
      <w:pPr>
        <w:spacing w:after="0" w:line="174"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CERTAIN RELATED TRANSACTIONS</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17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AUDIT COMMITTEE REPORT OF THE BOARD OF DIRECTORS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Board of Directors has charged the Audit Committee with a number of responsibilities, including review of the adequacy of the Corporation's financial reporting and accounting systems and controls. The Committee has a direct line of communication with the Corporation's independent auditors and the director of the internal audit function. The Committee is composed entirely of independent directors as defined by the listing standards of the New York Stock Exchange. The Board has adopted a written Audit Committee charter, a copy of which is included as an appendix to this Proxy Statement.</w:t>
      </w:r>
    </w:p>
    <w:p>
      <w:pPr>
        <w:spacing w:after="0" w:line="178"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the discharge of its responsibilities, the Audit Committee has reviewed and discussed with management and the independent auditors the Corporation's audited financial statements for fiscal year 2000. In addition, the Committee has discussed with the independent auditors matters such as the quality (in addition to acceptability), clarity, consistency and completeness of the Corporation's financial reporting, as required by Statement on Auditing Standards No. 61, Communication with Audit Committees as amended by Statement on Auditing Standards No. 90, Audit Committee Communications.</w:t>
      </w:r>
    </w:p>
    <w:p>
      <w:pPr>
        <w:spacing w:after="0" w:line="178"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Audit Committee has received from the independent auditors written disclosures and a letter concerning the independent auditors' independence from the Corporation, as required by Independence Standards Board Standard No. 1, Independence Discussions with Audit Committees. These disclosures have been reviewed by the Committee and discussed with the independent auditors.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Based on these reviews and discussions, the Committee has recommended to the Board that the audited financial statements be included in the Corporation's 2000 Annual Report on Form 10-K for filing with the Securities and Exchange Commission.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AUDIT COMMITTEE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James M. Reed, Chairman</w:t>
      </w:r>
    </w:p>
    <w:p>
      <w:pPr>
        <w:ind w:left="3420"/>
        <w:spacing w:after="0"/>
        <w:rPr>
          <w:sz w:val="20"/>
          <w:szCs w:val="20"/>
          <w:color w:val="auto"/>
        </w:rPr>
      </w:pPr>
      <w:r>
        <w:rPr>
          <w:rFonts w:ascii="Courier New" w:cs="Courier New" w:eastAsia="Courier New" w:hAnsi="Courier New"/>
          <w:sz w:val="15"/>
          <w:szCs w:val="15"/>
          <w:color w:val="auto"/>
        </w:rPr>
        <w:t>Richard G. Adamson</w:t>
      </w:r>
    </w:p>
    <w:p>
      <w:pPr>
        <w:ind w:left="3420"/>
        <w:spacing w:after="0"/>
        <w:rPr>
          <w:sz w:val="20"/>
          <w:szCs w:val="20"/>
          <w:color w:val="auto"/>
        </w:rPr>
      </w:pPr>
      <w:r>
        <w:rPr>
          <w:rFonts w:ascii="Courier New" w:cs="Courier New" w:eastAsia="Courier New" w:hAnsi="Courier New"/>
          <w:sz w:val="15"/>
          <w:szCs w:val="15"/>
          <w:color w:val="auto"/>
        </w:rPr>
        <w:t>William E. McDonald</w:t>
      </w:r>
    </w:p>
    <w:p>
      <w:pPr>
        <w:ind w:left="3420"/>
        <w:spacing w:after="0" w:line="238" w:lineRule="auto"/>
        <w:rPr>
          <w:sz w:val="20"/>
          <w:szCs w:val="20"/>
          <w:color w:val="auto"/>
        </w:rPr>
      </w:pPr>
      <w:r>
        <w:rPr>
          <w:rFonts w:ascii="Courier New" w:cs="Courier New" w:eastAsia="Courier New" w:hAnsi="Courier New"/>
          <w:sz w:val="15"/>
          <w:szCs w:val="15"/>
          <w:color w:val="auto"/>
        </w:rPr>
        <w:t>Frank H. Menaker, Jr.</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FEES PAID TO INDEPENDENT AUDITORS</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AUDIT FEES: The aggregate fees billed for professional services rendered by Ernst &amp; Young LLP to the Corporation in connection with the annual audit and for the reviews during 2000 of the Corporation's financial statements included in the quarterly reports on Form 10Q were $579,000.</w:t>
      </w:r>
    </w:p>
    <w:p>
      <w:pPr>
        <w:spacing w:after="0" w:line="176"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ALL OTHER FEES: The aggregate fees billed for professional services rendered by Ernst &amp; Young LLP to the Corporation in connection with audit-related services, including pension and subsidiary audits, business acquisitions, accounting consultations, internal audit and Securities and Exchange Commission registrations, were $325,000. The aggregate fees billed for professional services rendered by Ernst &amp; Young LLP to the Corporation in 2000 in connection with non-audit related activities, including tax compliance and consulting services, were $378,000. The total aggregate non-audit fees billed for all other fees for professional services rendered by Ernst &amp; Young LLP to the Corporation in 2000 were $703,000.</w:t>
      </w:r>
    </w:p>
    <w:p>
      <w:pPr>
        <w:spacing w:after="0" w:line="180"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In appointing Ernst &amp; Young LLP to serve as independent auditors for the year ending December 31, 2001, the Audit Committee considered whether the provision of these non-audit related services is compatible with maintaining the independent auditors' independence.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FINANCIAL STATEMENTS</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Upon the written request of any shareholder, the Corporation will provide without charge a copy of its Annual Report on Form 10-K for the year ended December 31, 2000, filed with the Securities and Exchange Commission. Requests should be mailed to the Corporate Secretary, Martin Marietta Materials, Inc., 2710 Wycliff Road, Raleigh, North Carolina 27607.</w:t>
      </w:r>
    </w:p>
    <w:p>
      <w:pPr>
        <w:spacing w:after="0" w:line="17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METHOD OF PROXY SOLICITATION</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$15,000. The Corporation will, if requested, reimburse banks, brokerage houses and other custodians, nominees and certain fiduciaries for their reasonable expenses incurred in mailing proxy materials to their principals.</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259" w:firstLine="617"/>
        <w:spacing w:after="0" w:line="257" w:lineRule="auto"/>
        <w:rPr>
          <w:sz w:val="20"/>
          <w:szCs w:val="20"/>
          <w:color w:val="auto"/>
        </w:rPr>
      </w:pPr>
      <w:r>
        <w:rPr>
          <w:rFonts w:ascii="Courier New" w:cs="Courier New" w:eastAsia="Courier New" w:hAnsi="Courier New"/>
          <w:sz w:val="14"/>
          <w:szCs w:val="14"/>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6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SHAREHOLDERS' PROPOSALS FOR 2002 ANNUAL MEETING</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Proposals by shareholders for nominations for directors or other matters intended to be presented at the 2002 Annual Meeting of Shareholders of the Corporation must be received by the Secretary of the Corporation no later than November 26, 2001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Accordingly, to be considered at the 2002</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Annual Meeting of Shareholders, proposals must be received by the Secretary of the Corporation no earlier than February 21, 2002 and no later than March 25, 2002.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22,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APPENDIX A</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MARTIN MARIETTA MATERIALS, INC.</w:t>
      </w:r>
    </w:p>
    <w:p>
      <w:pPr>
        <w:jc w:val="center"/>
        <w:ind w:right="3259"/>
        <w:spacing w:after="0"/>
        <w:rPr>
          <w:sz w:val="20"/>
          <w:szCs w:val="20"/>
          <w:color w:val="auto"/>
        </w:rPr>
      </w:pPr>
      <w:r>
        <w:rPr>
          <w:rFonts w:ascii="Courier New" w:cs="Courier New" w:eastAsia="Courier New" w:hAnsi="Courier New"/>
          <w:sz w:val="15"/>
          <w:szCs w:val="15"/>
          <w:color w:val="auto"/>
        </w:rPr>
        <w:t>AUDIT COMMITTEE CHARTER</w:t>
      </w:r>
    </w:p>
    <w:p>
      <w:pPr>
        <w:spacing w:after="0" w:line="174" w:lineRule="exact"/>
        <w:rPr>
          <w:sz w:val="20"/>
          <w:szCs w:val="20"/>
          <w:color w:val="auto"/>
        </w:rPr>
      </w:pPr>
    </w:p>
    <w:p>
      <w:pPr>
        <w:ind w:right="3259" w:firstLine="617"/>
        <w:spacing w:after="0" w:line="259" w:lineRule="auto"/>
        <w:rPr>
          <w:sz w:val="20"/>
          <w:szCs w:val="20"/>
          <w:color w:val="auto"/>
        </w:rPr>
      </w:pPr>
      <w:r>
        <w:rPr>
          <w:rFonts w:ascii="Courier New" w:cs="Courier New" w:eastAsia="Courier New" w:hAnsi="Courier New"/>
          <w:sz w:val="14"/>
          <w:szCs w:val="14"/>
          <w:color w:val="auto"/>
        </w:rPr>
        <w:t>The Audit Committee will, except when such powers are by statute or the Articles of Incorporation or the Bylaws reserved to the full Board or delegated to another committee of the Board, possess and may exercise the powers of the Board relating to accounting and auditing matters of this Corporation.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COMPOSITION</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The Committee will be comprised of three or more directors, including a chairperson, who are not officers or employees of the Corporation. The members of the Committee will meet all the requirements of the New York Stock Exchange, including the independence and experience requirements. Each Committee member will be financially literate or will become financially literate within a reasonable period of time after appointment to the Committee, and at least one member of the Committee will have accounting or related financial management expertise. The foregoing qualifications will be determined by the Board in its business judgment.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Committee will hold quarterly meetings with appropriate management personnel, representatives of the Corporation, independent auditors and the internal audit department, and will meet in separate executive sessions with the Corporation's independent auditors and internal audit department representatives to review and resolve any matters of concern presented to the Committee. The Committee may meet as many additional times as the Committee deems necessary or appropriate.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w:t>
      </w:r>
    </w:p>
    <w:p>
      <w:pPr>
        <w:spacing w:after="0" w:line="175"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The Corporation's management is responsible for preparing the Corporation's financial statements and the independent auditors are responsible for auditing the financial statements. The Committee will oversee the conduct of these activities by the Corporation's management and its internal and independent auditors. The Committee's policies and procedures will remain flexible to permit it to react to changing conditions and pertinent requirements. In carrying out its oversight responsibilities, the Committee is not providing any expert or special assurance as to the Corporation's financial statements or any certification as to the independent auditors' work.</w:t>
      </w:r>
    </w:p>
    <w:p>
      <w:pPr>
        <w:spacing w:after="0" w:line="3"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In carrying out its oversight function, the Committee will perform the following: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Selection</w:t>
      </w:r>
    </w:p>
    <w:p>
      <w:pPr>
        <w:spacing w:after="0" w:line="175"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Select and evaluate the independent auditors and recommend to the Board the appointment (or the nomination of the independent auditors to be proposed for shareholder approval in a proxy statement) or, where appropriate, the replacement of the independent auditors. This includes communicating to the independent auditors that they are ultimately accountable to the Committee and the Board.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Independence</w:t>
      </w:r>
    </w:p>
    <w:p>
      <w:pPr>
        <w:spacing w:after="0" w:line="175" w:lineRule="exact"/>
        <w:rPr>
          <w:sz w:val="20"/>
          <w:szCs w:val="20"/>
          <w:color w:val="auto"/>
        </w:rPr>
      </w:pPr>
    </w:p>
    <w:p>
      <w:pPr>
        <w:ind w:left="880" w:right="3179" w:hanging="273"/>
        <w:spacing w:after="0" w:line="258"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Inquire as to the independence of the independent auditors and receive from the independent auditors, at least annually, a formal written statement delineating all relationships between the independent auditors and the Corporation as contemplated by Independence Standards Board Standard No. 1, Independence Discussions with Audit Committees.</w:t>
      </w:r>
    </w:p>
    <w:p>
      <w:pPr>
        <w:spacing w:after="0" w:line="164" w:lineRule="exact"/>
        <w:rPr>
          <w:rFonts w:ascii="Courier New" w:cs="Courier New" w:eastAsia="Courier New" w:hAnsi="Courier New"/>
          <w:sz w:val="14"/>
          <w:szCs w:val="14"/>
          <w:color w:val="auto"/>
        </w:rPr>
      </w:pPr>
    </w:p>
    <w:p>
      <w:pPr>
        <w:ind w:left="880" w:right="3179" w:hanging="273"/>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Actively engage in a dialogue with the independent auditors with respect to any disclosed relationships or services that may impact the objectivity and independence of the independent auditors and, if appropriate, recommend that the Board take action in response to the independent auditors' report to satisfy itself of the independent auditors' independence.</w:t>
      </w:r>
    </w:p>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Annual Procedures</w:t>
      </w:r>
    </w:p>
    <w:p>
      <w:pPr>
        <w:spacing w:after="0" w:line="175" w:lineRule="exact"/>
        <w:rPr>
          <w:sz w:val="20"/>
          <w:szCs w:val="20"/>
          <w:color w:val="auto"/>
        </w:rPr>
      </w:pPr>
    </w:p>
    <w:p>
      <w:pPr>
        <w:jc w:val="both"/>
        <w:ind w:left="880" w:right="3259" w:hanging="273"/>
        <w:spacing w:after="0" w:line="258"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end of the fiscal year, review and approve the scope and timing of the annual independent audit of the Corporation's financial statements. The Committee's review should include an explanation from the independent auditors of the factors considered by the auditors in determining the audit scope, including the major risk factors.</w:t>
      </w:r>
    </w:p>
    <w:p>
      <w:pPr>
        <w:spacing w:after="0" w:line="164" w:lineRule="exact"/>
        <w:rPr>
          <w:rFonts w:ascii="Courier New" w:cs="Courier New" w:eastAsia="Courier New" w:hAnsi="Courier New"/>
          <w:sz w:val="14"/>
          <w:szCs w:val="14"/>
          <w:color w:val="auto"/>
        </w:rPr>
      </w:pPr>
    </w:p>
    <w:p>
      <w:pPr>
        <w:ind w:left="880" w:right="3359" w:hanging="273"/>
        <w:spacing w:after="0" w:line="260"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the independent auditors to perform a timely quarterly review of the interim financial statements in accordance with Statement on Auditing Standards No. 71, Interim Financial Information.</w:t>
      </w:r>
    </w:p>
    <w:p>
      <w:pPr>
        <w:spacing w:after="0" w:line="162" w:lineRule="exact"/>
        <w:rPr>
          <w:rFonts w:ascii="Courier New" w:cs="Courier New" w:eastAsia="Courier New" w:hAnsi="Courier New"/>
          <w:sz w:val="14"/>
          <w:szCs w:val="14"/>
          <w:color w:val="auto"/>
        </w:rPr>
      </w:pPr>
    </w:p>
    <w:p>
      <w:pPr>
        <w:ind w:left="880" w:right="3259" w:hanging="27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 with management, the internal auditors and the independent auditors to discuss any relevant significant recommendations that the independent auditors may have, particularly those characterized as "material," review management's responses, and receive follow-up reports on actions taken.</w:t>
      </w:r>
    </w:p>
    <w:p>
      <w:pPr>
        <w:spacing w:after="0" w:line="178" w:lineRule="exact"/>
        <w:rPr>
          <w:rFonts w:ascii="Courier New" w:cs="Courier New" w:eastAsia="Courier New" w:hAnsi="Courier New"/>
          <w:sz w:val="15"/>
          <w:szCs w:val="15"/>
          <w:color w:val="auto"/>
        </w:rPr>
      </w:pPr>
    </w:p>
    <w:p>
      <w:pPr>
        <w:ind w:left="880" w:right="3179" w:hanging="273"/>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independent auditors the quality of the Corporation's financial, accounting and auditing personnel.</w:t>
      </w:r>
    </w:p>
    <w:p>
      <w:pPr>
        <w:spacing w:after="0" w:line="175" w:lineRule="exact"/>
        <w:rPr>
          <w:rFonts w:ascii="Courier New" w:cs="Courier New" w:eastAsia="Courier New" w:hAnsi="Courier New"/>
          <w:sz w:val="15"/>
          <w:szCs w:val="15"/>
          <w:color w:val="auto"/>
        </w:rPr>
      </w:pPr>
    </w:p>
    <w:p>
      <w:pPr>
        <w:ind w:left="880" w:right="3259" w:hanging="27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annually, in consultation with management, the fee arrangement with the independent auditors and approve the fees and other significant compensation to be paid to the independent auditors, including the nature, extent and fees for any services performed for the Corporation outside of the annual audit.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AUDITORS:</w:t>
      </w:r>
    </w:p>
    <w:p>
      <w:pPr>
        <w:spacing w:after="0" w:line="175" w:lineRule="exact"/>
        <w:rPr>
          <w:sz w:val="20"/>
          <w:szCs w:val="20"/>
          <w:color w:val="auto"/>
        </w:rPr>
      </w:pPr>
    </w:p>
    <w:p>
      <w:pPr>
        <w:ind w:left="880" w:right="3539" w:hanging="273"/>
        <w:spacing w:after="0" w:line="265"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qualifications and work of the Corporation's internal auditing staff, including the adequacy of its budget and staffing.</w:t>
      </w:r>
    </w:p>
    <w:p>
      <w:pPr>
        <w:spacing w:after="0" w:line="158" w:lineRule="exact"/>
        <w:rPr>
          <w:rFonts w:ascii="Courier New" w:cs="Courier New" w:eastAsia="Courier New" w:hAnsi="Courier New"/>
          <w:sz w:val="14"/>
          <w:szCs w:val="14"/>
          <w:color w:val="auto"/>
        </w:rPr>
      </w:pPr>
    </w:p>
    <w:p>
      <w:pPr>
        <w:ind w:left="880" w:right="3179" w:hanging="273"/>
        <w:spacing w:after="0" w:line="238"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annually and discuss with management and the independent auditors the plan and scope of internal audit's work plan for the year, including coordination of the audit with the independent auditors. During this review, inquire about the Corporation's significant risks and exposures and assess the steps taken by management and the internal auditors to minimize such risks and exposures to the Corporation. Review periodically, as appropriate, any changes in the internal audit scope or work plan.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left="880" w:right="3439" w:hanging="273"/>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significant reports prepared by internal audit together with management's response and follow-up to these reports.</w:t>
      </w:r>
    </w:p>
    <w:p>
      <w:pPr>
        <w:spacing w:after="0" w:line="175" w:lineRule="exact"/>
        <w:rPr>
          <w:rFonts w:ascii="Courier New" w:cs="Courier New" w:eastAsia="Courier New" w:hAnsi="Courier New"/>
          <w:sz w:val="15"/>
          <w:szCs w:val="15"/>
          <w:color w:val="auto"/>
        </w:rPr>
      </w:pPr>
    </w:p>
    <w:p>
      <w:pPr>
        <w:ind w:left="880" w:right="3979" w:hanging="273"/>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 to the internal auditors that they are ultimately accountable to the Committee and the Board.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PROCESS:</w:t>
      </w:r>
    </w:p>
    <w:p>
      <w:pPr>
        <w:spacing w:after="0" w:line="175" w:lineRule="exact"/>
        <w:rPr>
          <w:sz w:val="20"/>
          <w:szCs w:val="20"/>
          <w:color w:val="auto"/>
        </w:rPr>
      </w:pPr>
    </w:p>
    <w:p>
      <w:pPr>
        <w:jc w:val="both"/>
        <w:ind w:right="3359" w:firstLine="617"/>
        <w:spacing w:after="0" w:line="237" w:lineRule="auto"/>
        <w:rPr>
          <w:sz w:val="20"/>
          <w:szCs w:val="20"/>
          <w:color w:val="auto"/>
        </w:rPr>
      </w:pPr>
      <w:r>
        <w:rPr>
          <w:rFonts w:ascii="Courier New" w:cs="Courier New" w:eastAsia="Courier New" w:hAnsi="Courier New"/>
          <w:sz w:val="15"/>
          <w:szCs w:val="15"/>
          <w:color w:val="auto"/>
        </w:rPr>
        <w:t>Audited Financial Statements. At the completion of the annual audit, review with management, the internal auditors and the independent auditors the following:</w:t>
      </w:r>
    </w:p>
    <w:p>
      <w:pPr>
        <w:spacing w:after="0" w:line="175" w:lineRule="exact"/>
        <w:rPr>
          <w:sz w:val="20"/>
          <w:szCs w:val="20"/>
          <w:color w:val="auto"/>
        </w:rPr>
      </w:pPr>
    </w:p>
    <w:p>
      <w:pPr>
        <w:ind w:left="880" w:right="3439" w:hanging="27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financial statements and related footnotes and financial information to be included in the Corporation's annual report to shareholders and on Form 10-K prior to its filing.</w:t>
      </w:r>
    </w:p>
    <w:p>
      <w:pPr>
        <w:spacing w:after="0" w:line="174" w:lineRule="exact"/>
        <w:rPr>
          <w:rFonts w:ascii="Courier New" w:cs="Courier New" w:eastAsia="Courier New" w:hAnsi="Courier New"/>
          <w:sz w:val="15"/>
          <w:szCs w:val="15"/>
          <w:color w:val="auto"/>
        </w:rPr>
      </w:pPr>
    </w:p>
    <w:p>
      <w:pPr>
        <w:ind w:left="880" w:right="3179" w:hanging="27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the audit of the financial statements and the related report thereon and, if applicable, a report on changes during the year in accounting principles and their application.</w:t>
      </w:r>
    </w:p>
    <w:p>
      <w:pPr>
        <w:spacing w:after="0" w:line="174" w:lineRule="exact"/>
        <w:rPr>
          <w:rFonts w:ascii="Courier New" w:cs="Courier New" w:eastAsia="Courier New" w:hAnsi="Courier New"/>
          <w:sz w:val="15"/>
          <w:szCs w:val="15"/>
          <w:color w:val="auto"/>
        </w:rPr>
      </w:pPr>
    </w:p>
    <w:p>
      <w:pPr>
        <w:ind w:left="880" w:right="3179" w:hanging="273"/>
        <w:spacing w:after="0" w:line="238"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to the external audit plan and significant variations in the actual scope of the independent audit, if any, and any serious disputes or difficulties with management encountered during the audit. Inquire about the cooperation received by the independent auditors during their audit, including access to all requested records, data and information. Inquire of the independent auditors whether there have been any disagreements with management, which if not satisfactorily resolved, would have caused them to issue a nonstandard report on the Corporation's financial statements and whether any limitations have been placed by management on the scope or nature of their audit procedures.</w:t>
      </w:r>
    </w:p>
    <w:p>
      <w:pPr>
        <w:spacing w:after="0" w:line="180" w:lineRule="exact"/>
        <w:rPr>
          <w:rFonts w:ascii="Courier New" w:cs="Courier New" w:eastAsia="Courier New" w:hAnsi="Courier New"/>
          <w:sz w:val="15"/>
          <w:szCs w:val="15"/>
          <w:color w:val="auto"/>
        </w:rPr>
      </w:pPr>
    </w:p>
    <w:p>
      <w:pPr>
        <w:jc w:val="both"/>
        <w:ind w:left="880" w:right="3179" w:hanging="27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communications as required to be communicated by the independent auditors by Statement of Auditing Standards (SAS) 61 as amended by SAS 90 relating to the conduct of the audit.</w:t>
      </w:r>
    </w:p>
    <w:p>
      <w:pPr>
        <w:spacing w:after="0" w:line="174" w:lineRule="exact"/>
        <w:rPr>
          <w:rFonts w:ascii="Courier New" w:cs="Courier New" w:eastAsia="Courier New" w:hAnsi="Courier New"/>
          <w:sz w:val="15"/>
          <w:szCs w:val="15"/>
          <w:color w:val="auto"/>
        </w:rPr>
      </w:pPr>
    </w:p>
    <w:p>
      <w:pPr>
        <w:ind w:left="880" w:right="3359" w:hanging="27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deemed appropriate after such review and discussion, recommend to the Board that the financial statements be included in the Corporation's annual report on Form 10-K.</w:t>
      </w:r>
    </w:p>
    <w:p>
      <w:pPr>
        <w:spacing w:after="0" w:line="174" w:lineRule="exact"/>
        <w:rPr>
          <w:rFonts w:ascii="Courier New" w:cs="Courier New" w:eastAsia="Courier New" w:hAnsi="Courier New"/>
          <w:sz w:val="15"/>
          <w:szCs w:val="15"/>
          <w:color w:val="auto"/>
        </w:rPr>
      </w:pPr>
    </w:p>
    <w:p>
      <w:pPr>
        <w:ind w:left="880" w:right="3179" w:hanging="27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at least annually, receive a written report from the Corporation's counsel regarding any legal, regulatory and environmental matters that may have a material impact on the financial statements.</w:t>
      </w:r>
    </w:p>
    <w:p>
      <w:pPr>
        <w:spacing w:after="0" w:line="176" w:lineRule="exact"/>
        <w:rPr>
          <w:sz w:val="20"/>
          <w:szCs w:val="20"/>
          <w:color w:val="auto"/>
        </w:rPr>
      </w:pPr>
    </w:p>
    <w:p>
      <w:pPr>
        <w:ind w:right="3179" w:firstLine="617"/>
        <w:spacing w:after="0" w:line="258" w:lineRule="auto"/>
        <w:rPr>
          <w:sz w:val="20"/>
          <w:szCs w:val="20"/>
          <w:color w:val="auto"/>
        </w:rPr>
      </w:pPr>
      <w:r>
        <w:rPr>
          <w:rFonts w:ascii="Courier New" w:cs="Courier New" w:eastAsia="Courier New" w:hAnsi="Courier New"/>
          <w:sz w:val="14"/>
          <w:szCs w:val="14"/>
          <w:color w:val="auto"/>
        </w:rPr>
        <w:t>Interim Financial Statements. At the written request of the independent auditors, the Committee, through its chairperson or the Committee as a whole, will review with management of the Corporation and the independent auditors, prior to filing the quarterly reports on Form 10-Q, any matters described in Statement on Auditing Standards No. 61, Communications with Audit Committees and identified as having a significant effect on the interim financial statements.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259" w:firstLine="617"/>
        <w:spacing w:after="0" w:line="235" w:lineRule="auto"/>
        <w:rPr>
          <w:sz w:val="20"/>
          <w:szCs w:val="20"/>
          <w:color w:val="auto"/>
        </w:rPr>
      </w:pPr>
      <w:r>
        <w:rPr>
          <w:rFonts w:ascii="Courier New" w:cs="Courier New" w:eastAsia="Courier New" w:hAnsi="Courier New"/>
          <w:sz w:val="15"/>
          <w:szCs w:val="15"/>
          <w:color w:val="auto"/>
        </w:rPr>
        <w:t>Financial Reporting Practices. The Committee will review annually with management, the internal auditors and the independent auditors the following:</w:t>
      </w:r>
    </w:p>
    <w:p>
      <w:pPr>
        <w:spacing w:after="0" w:line="176" w:lineRule="exact"/>
        <w:rPr>
          <w:sz w:val="20"/>
          <w:szCs w:val="20"/>
          <w:color w:val="auto"/>
        </w:rPr>
      </w:pPr>
    </w:p>
    <w:p>
      <w:pPr>
        <w:ind w:left="880" w:right="3179" w:hanging="273"/>
        <w:spacing w:after="0" w:line="259"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accounting and financial reporting controls. In connection with such review, obtain annually in writing from the independent auditors their letter as to the adequacy and effectiveness of the Corporation's accounting and financial reporting controls.</w:t>
      </w:r>
    </w:p>
    <w:p>
      <w:pPr>
        <w:spacing w:after="0" w:line="162" w:lineRule="exact"/>
        <w:rPr>
          <w:rFonts w:ascii="Courier New" w:cs="Courier New" w:eastAsia="Courier New" w:hAnsi="Courier New"/>
          <w:sz w:val="14"/>
          <w:szCs w:val="14"/>
          <w:color w:val="auto"/>
        </w:rPr>
      </w:pPr>
    </w:p>
    <w:p>
      <w:pPr>
        <w:ind w:left="880" w:right="3259" w:hanging="273"/>
        <w:spacing w:after="0" w:line="237"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and reporting principles, practices and procedures applied by the Corporation in preparing its financial statements, including any changes thereto, significant judgments that may affect the financial results and any recommendations to improve existing practices.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5" w:lineRule="exact"/>
        <w:rPr>
          <w:sz w:val="20"/>
          <w:szCs w:val="20"/>
          <w:color w:val="auto"/>
        </w:rPr>
      </w:pPr>
    </w:p>
    <w:p>
      <w:pPr>
        <w:ind w:right="3359" w:firstLine="617"/>
        <w:spacing w:after="0" w:line="237" w:lineRule="auto"/>
        <w:rPr>
          <w:sz w:val="20"/>
          <w:szCs w:val="20"/>
          <w:color w:val="auto"/>
        </w:rPr>
      </w:pPr>
      <w:r>
        <w:rPr>
          <w:rFonts w:ascii="Courier New" w:cs="Courier New" w:eastAsia="Courier New" w:hAnsi="Courier New"/>
          <w:sz w:val="15"/>
          <w:szCs w:val="15"/>
          <w:color w:val="auto"/>
        </w:rPr>
        <w:t>The Committee is granted the authority to investigate any matter or activity within the scope of its responsibility. In that regard, the Committee may retain consultants or experts as it deems necessary to assist in its investigations. All employees will be directed to cooperate as requested by members of the Committee.</w:t>
      </w:r>
    </w:p>
    <w:p>
      <w:pPr>
        <w:spacing w:after="0" w:line="178" w:lineRule="exact"/>
        <w:rPr>
          <w:sz w:val="20"/>
          <w:szCs w:val="20"/>
          <w:color w:val="auto"/>
        </w:rPr>
      </w:pPr>
    </w:p>
    <w:p>
      <w:pPr>
        <w:ind w:right="3539" w:firstLine="617"/>
        <w:spacing w:after="0" w:line="237" w:lineRule="auto"/>
        <w:rPr>
          <w:sz w:val="20"/>
          <w:szCs w:val="20"/>
          <w:color w:val="auto"/>
        </w:rPr>
      </w:pPr>
      <w:r>
        <w:rPr>
          <w:rFonts w:ascii="Courier New" w:cs="Courier New" w:eastAsia="Courier New" w:hAnsi="Courier New"/>
          <w:sz w:val="15"/>
          <w:szCs w:val="15"/>
          <w:color w:val="auto"/>
        </w:rPr>
        <w:t>The Committee will review and reassess the adequacy of this charter annually in compliance with applicable NYSE Audit Committee Requirements and recommend proposed changes, if any, to the Board for approval.</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Approve the report required under SEC and NYSE rules to be included in the Corporation's annual proxy statement, including publication of this charter at least every three years as an appendix to the proxy statement.</w:t>
      </w:r>
    </w:p>
    <w:p>
      <w:pPr>
        <w:spacing w:after="0" w:line="175" w:lineRule="exact"/>
        <w:rPr>
          <w:sz w:val="20"/>
          <w:szCs w:val="20"/>
          <w:color w:val="auto"/>
        </w:rPr>
      </w:pPr>
    </w:p>
    <w:p>
      <w:pPr>
        <w:ind w:right="3359" w:firstLine="617"/>
        <w:spacing w:after="0" w:line="237" w:lineRule="auto"/>
        <w:rPr>
          <w:sz w:val="20"/>
          <w:szCs w:val="20"/>
          <w:color w:val="auto"/>
        </w:rPr>
      </w:pPr>
      <w:r>
        <w:rPr>
          <w:rFonts w:ascii="Courier New" w:cs="Courier New" w:eastAsia="Courier New" w:hAnsi="Courier New"/>
          <w:sz w:val="15"/>
          <w:szCs w:val="15"/>
          <w:color w:val="auto"/>
        </w:rPr>
        <w:t>All formal action by the Committee will be reported to the Board at its meeting next succeeding such action, and will be subject to revisions and alteration by the Board as appropriate.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(MARTIN MARIETTA MATERIALS, INC. LOGO)</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Martin Marietta Materials, Inc.</w:t>
      </w:r>
    </w:p>
    <w:p>
      <w:pPr>
        <w:ind w:left="2460"/>
        <w:spacing w:after="0"/>
        <w:rPr>
          <w:sz w:val="20"/>
          <w:szCs w:val="20"/>
          <w:color w:val="auto"/>
        </w:rPr>
      </w:pPr>
      <w:r>
        <w:rPr>
          <w:rFonts w:ascii="Courier New" w:cs="Courier New" w:eastAsia="Courier New" w:hAnsi="Courier New"/>
          <w:sz w:val="15"/>
          <w:szCs w:val="15"/>
          <w:color w:val="auto"/>
        </w:rPr>
        <w:t>2710 Wycliff Road</w:t>
      </w:r>
    </w:p>
    <w:p>
      <w:pPr>
        <w:ind w:left="2720"/>
        <w:spacing w:after="0"/>
        <w:rPr>
          <w:sz w:val="20"/>
          <w:szCs w:val="20"/>
          <w:color w:val="auto"/>
        </w:rPr>
      </w:pPr>
      <w:r>
        <w:rPr>
          <w:rFonts w:ascii="Courier New" w:cs="Courier New" w:eastAsia="Courier New" w:hAnsi="Courier New"/>
          <w:sz w:val="15"/>
          <w:szCs w:val="15"/>
          <w:color w:val="auto"/>
        </w:rPr>
        <w:t>919-781-4550</w:t>
      </w:r>
    </w:p>
    <w:p>
      <w:pPr>
        <w:ind w:left="2280"/>
        <w:spacing w:after="0" w:line="238" w:lineRule="auto"/>
        <w:rPr>
          <w:sz w:val="20"/>
          <w:szCs w:val="20"/>
          <w:color w:val="auto"/>
        </w:rPr>
      </w:pPr>
      <w:r>
        <w:rPr>
          <w:rFonts w:ascii="Courier New" w:cs="Courier New" w:eastAsia="Courier New" w:hAnsi="Courier New"/>
          <w:sz w:val="15"/>
          <w:szCs w:val="15"/>
          <w:color w:val="auto"/>
        </w:rPr>
        <w:t>www.martinmarietta.com</w:t>
      </w:r>
    </w:p>
    <w:p>
      <w:pPr>
        <w:ind w:left="2280"/>
        <w:spacing w:after="0"/>
        <w:rPr>
          <w:sz w:val="20"/>
          <w:szCs w:val="20"/>
          <w:color w:val="auto"/>
        </w:rPr>
      </w:pPr>
      <w:r>
        <w:rPr>
          <w:rFonts w:ascii="Courier New" w:cs="Courier New" w:eastAsia="Courier New" w:hAnsi="Courier New"/>
          <w:sz w:val="15"/>
          <w:szCs w:val="15"/>
          <w:color w:val="auto"/>
        </w:rPr>
        <w:t>NYSE Stock Symbol: MLM</w:t>
      </w:r>
    </w:p>
    <w:p>
      <w:pPr>
        <w:sectPr>
          <w:pgSz w:w="11900" w:h="16838" w:orient="portrait"/>
          <w:cols w:equalWidth="0" w:num="1">
            <w:col w:w="9959"/>
          </w:cols>
          <w:pgMar w:left="50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 FOLD AND DETACH HERE -</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PROXY SOLICITED BY THE BOARD OF DIRECTORS FOR THE</w:t>
      </w:r>
    </w:p>
    <w:p>
      <w:pPr>
        <w:ind w:left="1850"/>
        <w:spacing w:after="0"/>
        <w:rPr>
          <w:sz w:val="20"/>
          <w:szCs w:val="20"/>
          <w:color w:val="auto"/>
        </w:rPr>
      </w:pPr>
      <w:r>
        <w:rPr>
          <w:rFonts w:ascii="Courier New" w:cs="Courier New" w:eastAsia="Courier New" w:hAnsi="Courier New"/>
          <w:sz w:val="15"/>
          <w:szCs w:val="15"/>
          <w:color w:val="auto"/>
        </w:rPr>
        <w:t>ANNUAL MEETING TO BE HELD MAY 22, 2001</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22, 2001, and at any adjournment thereof.</w:t>
      </w:r>
    </w:p>
    <w:p>
      <w:pPr>
        <w:spacing w:after="0" w:line="176" w:lineRule="exact"/>
        <w:rPr>
          <w:sz w:val="20"/>
          <w:szCs w:val="20"/>
          <w:color w:val="auto"/>
        </w:rPr>
      </w:pPr>
    </w:p>
    <w:p>
      <w:pPr>
        <w:ind w:left="270" w:right="3179" w:hanging="270"/>
        <w:spacing w:after="0" w:line="235" w:lineRule="auto"/>
        <w:tabs>
          <w:tab w:leader="none" w:pos="27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Richard G. Adamson, Marcus C. Bennett and Bobby F. Leonard</w:t>
      </w:r>
    </w:p>
    <w:p>
      <w:pPr>
        <w:spacing w:after="0" w:line="176" w:lineRule="exact"/>
        <w:rPr>
          <w:sz w:val="20"/>
          <w:szCs w:val="20"/>
          <w:color w:val="auto"/>
        </w:rPr>
      </w:pPr>
    </w:p>
    <w:p>
      <w:pPr>
        <w:ind w:left="270" w:right="3619" w:hanging="5"/>
        <w:spacing w:after="0" w:line="235" w:lineRule="auto"/>
        <w:tabs>
          <w:tab w:leader="none" w:pos="4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0"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50" w:hanging="173"/>
        <w:spacing w:after="0"/>
        <w:tabs>
          <w:tab w:leader="none" w:pos="35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WITHHOLD AUTHORITY to vote for the listed nominees</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ERNST &amp; YOUNG LLP AS INDEPENDENT AUDITORS</w:t>
      </w:r>
    </w:p>
    <w:p>
      <w:pPr>
        <w:spacing w:after="0" w:line="169" w:lineRule="exact"/>
        <w:rPr>
          <w:sz w:val="20"/>
          <w:szCs w:val="20"/>
          <w:color w:val="auto"/>
        </w:rPr>
      </w:pPr>
    </w:p>
    <w:p>
      <w:pPr>
        <w:ind w:left="350"/>
        <w:spacing w:after="0"/>
        <w:tabs>
          <w:tab w:leader="none" w:pos="2369" w:val="left"/>
          <w:tab w:leader="none" w:pos="474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left="270" w:right="3699" w:hanging="270"/>
        <w:spacing w:after="0" w:line="237" w:lineRule="auto"/>
        <w:tabs>
          <w:tab w:leader="none" w:pos="2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OR ANY ADJOURNMENTS THEREOF.</w:t>
      </w:r>
    </w:p>
    <w:p>
      <w:pPr>
        <w:sectPr>
          <w:pgSz w:w="11900" w:h="16838" w:orient="portrait"/>
          <w:cols w:equalWidth="0" w:num="1">
            <w:col w:w="10229"/>
          </w:cols>
          <w:pgMar w:left="23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MARTIN MARIETTA MATERIALS, INC.</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 FOLD AND DETACH HERE -</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proxy is solicited by the Board of Directors and when properly executed will be voted as specified herein and, unless otherwise directed, will be voted FOR the election of all nominees as Directors and FOR the ratification of selection of Ernst &amp; Young LLP as independent auditors. The Board of Directors recommends voting FOR each item.</w:t>
      </w:r>
    </w:p>
    <w:p>
      <w:pPr>
        <w:spacing w:after="0" w:line="17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Receipt of Notice of Annual Meeting of Shareholders and accompanying Proxy Statement is hereby acknowledged.</w:t>
      </w:r>
    </w:p>
    <w:p>
      <w:pPr>
        <w:spacing w:after="0" w:line="17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PLEASE DATE AND SIGN EXACTLY AS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PRINTED BELOW AND RETURN PROMPTLY</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IN THE ENCLOSED POSTAGE PAID</w:t>
      </w:r>
    </w:p>
    <w:p>
      <w:pPr>
        <w:ind w:left="4040"/>
        <w:spacing w:after="0"/>
        <w:rPr>
          <w:sz w:val="20"/>
          <w:szCs w:val="20"/>
          <w:color w:val="auto"/>
        </w:rPr>
      </w:pPr>
      <w:r>
        <w:rPr>
          <w:rFonts w:ascii="Courier New" w:cs="Courier New" w:eastAsia="Courier New" w:hAnsi="Courier New"/>
          <w:sz w:val="15"/>
          <w:szCs w:val="15"/>
          <w:color w:val="auto"/>
        </w:rPr>
        <w:t>ENVELOPE.</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2001</w:t>
      </w:r>
    </w:p>
    <w:p>
      <w:pPr>
        <w:spacing w:after="0" w:line="11" w:lineRule="exact"/>
        <w:rPr>
          <w:sz w:val="20"/>
          <w:szCs w:val="20"/>
          <w:color w:val="auto"/>
        </w:rPr>
      </w:pPr>
    </w:p>
    <w:p>
      <w:pPr>
        <w:sectPr>
          <w:pgSz w:w="11900" w:h="16838" w:orient="portrait"/>
          <w:cols w:equalWidth="0" w:num="2">
            <w:col w:w="5800" w:space="720"/>
            <w:col w:w="3699"/>
          </w:cols>
          <w:pgMar w:left="240" w:top="283" w:right="1440" w:bottom="1440" w:gutter="0" w:footer="0" w:header="0"/>
          <w:type w:val="continuous"/>
        </w:sectPr>
      </w:pPr>
    </w:p>
    <w:p>
      <w:pPr>
        <w:ind w:left="4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Signature and Title</w:t>
      </w:r>
    </w:p>
    <w:p>
      <w:pPr>
        <w:spacing w:after="0" w:line="17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Signature if held jointly</w:t>
      </w:r>
    </w:p>
    <w:p>
      <w:pPr>
        <w:spacing w:after="0" w:line="16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(WHEN SIGNING AS ATTORNEY,</w:t>
      </w:r>
    </w:p>
    <w:p>
      <w:pPr>
        <w:ind w:left="4400"/>
        <w:spacing w:after="0"/>
        <w:rPr>
          <w:sz w:val="20"/>
          <w:szCs w:val="20"/>
          <w:color w:val="auto"/>
        </w:rPr>
      </w:pPr>
      <w:r>
        <w:rPr>
          <w:rFonts w:ascii="Courier New" w:cs="Courier New" w:eastAsia="Courier New" w:hAnsi="Courier New"/>
          <w:sz w:val="15"/>
          <w:szCs w:val="15"/>
          <w:color w:val="auto"/>
        </w:rPr>
        <w:t>EXECUTOR, ADMINISTRATOR,</w:t>
      </w:r>
    </w:p>
    <w:p>
      <w:pPr>
        <w:ind w:left="4400"/>
        <w:spacing w:after="0"/>
        <w:rPr>
          <w:sz w:val="20"/>
          <w:szCs w:val="20"/>
          <w:color w:val="auto"/>
        </w:rPr>
      </w:pPr>
      <w:r>
        <w:rPr>
          <w:rFonts w:ascii="Courier New" w:cs="Courier New" w:eastAsia="Courier New" w:hAnsi="Courier New"/>
          <w:sz w:val="15"/>
          <w:szCs w:val="15"/>
          <w:color w:val="auto"/>
        </w:rPr>
        <w:t>TRUSTEE, GUARDIAN, ETC., GIVE</w:t>
      </w:r>
    </w:p>
    <w:p>
      <w:pPr>
        <w:ind w:left="4400"/>
        <w:spacing w:after="0" w:line="238" w:lineRule="auto"/>
        <w:rPr>
          <w:sz w:val="20"/>
          <w:szCs w:val="20"/>
          <w:color w:val="auto"/>
        </w:rPr>
      </w:pPr>
      <w:r>
        <w:rPr>
          <w:rFonts w:ascii="Courier New" w:cs="Courier New" w:eastAsia="Courier New" w:hAnsi="Courier New"/>
          <w:sz w:val="15"/>
          <w:szCs w:val="15"/>
          <w:color w:val="auto"/>
        </w:rPr>
        <w:t>TITLE AS SUCH. IF JOINT</w:t>
      </w:r>
    </w:p>
    <w:p>
      <w:pPr>
        <w:ind w:left="4400"/>
        <w:spacing w:after="0"/>
        <w:rPr>
          <w:sz w:val="20"/>
          <w:szCs w:val="20"/>
          <w:color w:val="auto"/>
        </w:rPr>
      </w:pPr>
      <w:r>
        <w:rPr>
          <w:rFonts w:ascii="Courier New" w:cs="Courier New" w:eastAsia="Courier New" w:hAnsi="Courier New"/>
          <w:sz w:val="15"/>
          <w:szCs w:val="15"/>
          <w:color w:val="auto"/>
        </w:rPr>
        <w:t>ACCOUNT, EACH JOINT OWNER</w:t>
      </w:r>
    </w:p>
    <w:p>
      <w:pPr>
        <w:ind w:left="4400"/>
        <w:spacing w:after="0"/>
        <w:rPr>
          <w:sz w:val="20"/>
          <w:szCs w:val="20"/>
          <w:color w:val="auto"/>
        </w:rPr>
      </w:pPr>
      <w:r>
        <w:rPr>
          <w:rFonts w:ascii="Courier New" w:cs="Courier New" w:eastAsia="Courier New" w:hAnsi="Courier New"/>
          <w:sz w:val="15"/>
          <w:szCs w:val="15"/>
          <w:color w:val="auto"/>
        </w:rPr>
        <w:t>SHOULD SIGN. IF A CORPORATION</w:t>
      </w:r>
    </w:p>
    <w:p>
      <w:pPr>
        <w:ind w:left="4400"/>
        <w:spacing w:after="0" w:line="238" w:lineRule="auto"/>
        <w:rPr>
          <w:sz w:val="20"/>
          <w:szCs w:val="20"/>
          <w:color w:val="auto"/>
        </w:rPr>
      </w:pPr>
      <w:r>
        <w:rPr>
          <w:rFonts w:ascii="Courier New" w:cs="Courier New" w:eastAsia="Courier New" w:hAnsi="Courier New"/>
          <w:sz w:val="15"/>
          <w:szCs w:val="15"/>
          <w:color w:val="auto"/>
        </w:rPr>
        <w:t>OR A PARTNERSHIP, SIGN FULL</w:t>
      </w:r>
    </w:p>
    <w:p>
      <w:pPr>
        <w:ind w:left="4400"/>
        <w:spacing w:after="0"/>
        <w:rPr>
          <w:sz w:val="20"/>
          <w:szCs w:val="20"/>
          <w:color w:val="auto"/>
        </w:rPr>
      </w:pPr>
      <w:r>
        <w:rPr>
          <w:rFonts w:ascii="Courier New" w:cs="Courier New" w:eastAsia="Courier New" w:hAnsi="Courier New"/>
          <w:sz w:val="15"/>
          <w:szCs w:val="15"/>
          <w:color w:val="auto"/>
        </w:rPr>
        <w:t>CORPORATE NAME OR PARTNERSHIP</w:t>
      </w:r>
    </w:p>
    <w:p>
      <w:pPr>
        <w:ind w:left="4400"/>
        <w:spacing w:after="0"/>
        <w:rPr>
          <w:sz w:val="20"/>
          <w:szCs w:val="20"/>
          <w:color w:val="auto"/>
        </w:rPr>
      </w:pPr>
      <w:r>
        <w:rPr>
          <w:rFonts w:ascii="Courier New" w:cs="Courier New" w:eastAsia="Courier New" w:hAnsi="Courier New"/>
          <w:sz w:val="15"/>
          <w:szCs w:val="15"/>
          <w:color w:val="auto"/>
        </w:rPr>
        <w:t>NAME, AS THE CASE MAY BE, BY</w:t>
      </w:r>
    </w:p>
    <w:p>
      <w:pPr>
        <w:ind w:left="4400"/>
        <w:spacing w:after="0"/>
        <w:rPr>
          <w:sz w:val="20"/>
          <w:szCs w:val="20"/>
          <w:color w:val="auto"/>
        </w:rPr>
      </w:pPr>
      <w:r>
        <w:rPr>
          <w:rFonts w:ascii="Courier New" w:cs="Courier New" w:eastAsia="Courier New" w:hAnsi="Courier New"/>
          <w:sz w:val="15"/>
          <w:szCs w:val="15"/>
          <w:color w:val="auto"/>
        </w:rPr>
        <w:t>AN AUTHORIZED PERSON.)</w:t>
      </w:r>
    </w:p>
    <w:sectPr>
      <w:pgSz w:w="11900" w:h="16838" w:orient="portrait"/>
      <w:cols w:equalWidth="0" w:num="1">
        <w:col w:w="10219"/>
      </w:cols>
      <w:pgMar w:left="240" w:top="2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
      <w:numFmt w:val="bullet"/>
      <w:start w:val="1"/>
    </w:lvl>
    <w:lvl w:ilvl="1">
      <w:lvlJc w:val="left"/>
      <w:lvlText w:val="(%2)"/>
      <w:numFmt w:val="decimal"/>
      <w:start w:val="2"/>
    </w:lvl>
  </w:abstractNum>
  <w:abstractNum w:abstractNumId="4">
    <w:nsid w:val="6B68079A"/>
    <w:multiLevelType w:val="hybridMultilevel"/>
    <w:lvl w:ilvl="0">
      <w:lvlJc w:val="left"/>
      <w:lvlText w:val="-"/>
      <w:numFmt w:val="bullet"/>
      <w:start w:val="1"/>
    </w:lvl>
    <w:lvl w:ilvl="1">
      <w:lvlJc w:val="left"/>
      <w:lvlText w:val="(%2)"/>
      <w:numFmt w:val="decimal"/>
      <w:start w:val="3"/>
    </w:lvl>
  </w:abstractNum>
  <w:abstractNum w:abstractNumId="5">
    <w:nsid w:val="4E6AFB66"/>
    <w:multiLevelType w:val="hybridMultilevel"/>
    <w:lvl w:ilvl="0">
      <w:lvlJc w:val="left"/>
      <w:lvlText w:val="-"/>
      <w:numFmt w:val="bullet"/>
      <w:start w:val="1"/>
    </w:lvl>
    <w:lvl w:ilvl="1">
      <w:lvlJc w:val="left"/>
      <w:lvlText w:val="(%2)"/>
      <w:numFmt w:val="decimal"/>
      <w:start w:val="4"/>
    </w:lvl>
  </w:abstractNum>
  <w:abstractNum w:abstractNumId="6">
    <w:nsid w:val="25E45D32"/>
    <w:multiLevelType w:val="hybridMultilevel"/>
    <w:lvl w:ilvl="0">
      <w:lvlJc w:val="left"/>
      <w:lvlText w:val="(%1)"/>
      <w:numFmt w:val="decimal"/>
      <w:start w:val="1"/>
    </w:lvl>
    <w:lvl w:ilvl="1">
      <w:lvlJc w:val="left"/>
      <w:lvlText w:val="(%2)"/>
      <w:numFmt w:val="decimal"/>
      <w:start w:val="3"/>
    </w:lvl>
  </w:abstractNum>
  <w:abstractNum w:abstractNumId="7">
    <w:nsid w:val="519B500D"/>
    <w:multiLevelType w:val="hybridMultilevel"/>
    <w:lvl w:ilvl="0">
      <w:lvlJc w:val="left"/>
      <w:lvlText w:val="(%1)"/>
      <w:numFmt w:val="lowerRoman"/>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3"/>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
      <w:numFmt w:val="bullet"/>
      <w:start w:val="1"/>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2019-12-14T03:04:57Z</dcterms:created>
  <dcterms:modified xsi:type="dcterms:W3CDTF">2019-12-14T03:04:57Z</dcterms:modified>
</cp:coreProperties>
</file>