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80"/>
        <w:spacing w:after="0"/>
        <w:rPr>
          <w:sz w:val="20"/>
          <w:szCs w:val="20"/>
          <w:color w:val="auto"/>
        </w:rPr>
      </w:pPr>
      <w:r>
        <w:rPr>
          <w:rFonts w:ascii="Calibri" w:cs="Calibri" w:eastAsia="Calibri" w:hAnsi="Calibri"/>
          <w:sz w:val="4"/>
          <w:szCs w:val="4"/>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c9</w:t>
      </w:r>
    </w:p>
    <w:p>
      <w:pPr>
        <w:jc w:val="center"/>
        <w:spacing w:after="0" w:line="234" w:lineRule="auto"/>
        <w:rPr>
          <w:sz w:val="20"/>
          <w:szCs w:val="20"/>
          <w:color w:val="auto"/>
        </w:rPr>
      </w:pPr>
      <w:r>
        <w:rPr>
          <w:rFonts w:ascii="Calibri" w:cs="Calibri" w:eastAsia="Calibri" w:hAnsi="Calibri"/>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Calibri" w:cs="Calibri" w:eastAsia="Calibri" w:hAnsi="Calibri"/>
          <w:sz w:val="21"/>
          <w:szCs w:val="21"/>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64135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FORM 10-K</w:t>
      </w:r>
    </w:p>
    <w:p>
      <w:pPr>
        <w:spacing w:after="0"/>
        <w:rPr>
          <w:sz w:val="20"/>
          <w:szCs w:val="20"/>
          <w:color w:val="auto"/>
        </w:rPr>
      </w:pPr>
      <w:r>
        <w:rPr>
          <w:rFonts w:ascii="Calibri" w:cs="Calibri" w:eastAsia="Calibri" w:hAnsi="Calibri"/>
          <w:sz w:val="18"/>
          <w:szCs w:val="18"/>
          <w:b w:val="1"/>
          <w:bCs w:val="1"/>
          <w:color w:val="auto"/>
        </w:rPr>
        <w:t>(</w:t>
      </w:r>
      <w:r>
        <w:rPr>
          <w:rFonts w:ascii="Calibri" w:cs="Calibri" w:eastAsia="Calibri" w:hAnsi="Calibri"/>
          <w:sz w:val="16"/>
          <w:szCs w:val="16"/>
          <w:b w:val="1"/>
          <w:bCs w:val="1"/>
          <w:color w:val="auto"/>
        </w:rPr>
        <w:t>Mark One)</w:t>
      </w:r>
    </w:p>
    <w:p>
      <w:pPr>
        <w:spacing w:after="0" w:line="32" w:lineRule="exact"/>
        <w:rPr>
          <w:sz w:val="24"/>
          <w:szCs w:val="24"/>
          <w:color w:val="auto"/>
        </w:rPr>
      </w:pPr>
    </w:p>
    <w:p>
      <w:pPr>
        <w:ind w:right="4360" w:firstLine="8"/>
        <w:spacing w:after="0" w:line="243" w:lineRule="auto"/>
        <w:tabs>
          <w:tab w:leader="none" w:pos="312" w:val="left"/>
        </w:tabs>
        <w:numPr>
          <w:ilvl w:val="0"/>
          <w:numId w:val="1"/>
        </w:numPr>
        <w:rPr>
          <w:rFonts w:ascii="MS PGothic" w:cs="MS PGothic" w:eastAsia="MS PGothic" w:hAnsi="MS PGothic"/>
          <w:sz w:val="18"/>
          <w:szCs w:val="18"/>
          <w:color w:val="auto"/>
          <w:highlight w:val="black"/>
        </w:rPr>
      </w:pPr>
      <w:r>
        <w:rPr>
          <w:rFonts w:ascii="Calibri" w:cs="Calibri" w:eastAsia="Calibri" w:hAnsi="Calibri"/>
          <w:sz w:val="16"/>
          <w:szCs w:val="16"/>
          <w:b w:val="1"/>
          <w:bCs w:val="1"/>
          <w:color w:val="auto"/>
        </w:rPr>
        <w:t xml:space="preserve">ANNUAL REPORT PURSUANT TO SECTION 13 OR 15(d) OF THE SECURITIES EXCHANGE ACT OF 1934 </w:t>
      </w:r>
      <w:r>
        <w:rPr>
          <w:rFonts w:ascii="Calibri" w:cs="Calibri" w:eastAsia="Calibri" w:hAnsi="Calibri"/>
          <w:sz w:val="16"/>
          <w:szCs w:val="16"/>
          <w:color w:val="auto"/>
        </w:rPr>
        <w:t xml:space="preserve">For the fscal year ended </w:t>
      </w:r>
      <w:r>
        <w:rPr>
          <w:rFonts w:ascii="Calibri" w:cs="Calibri" w:eastAsia="Calibri" w:hAnsi="Calibri"/>
          <w:sz w:val="16"/>
          <w:szCs w:val="16"/>
          <w:b w:val="1"/>
          <w:bCs w:val="1"/>
          <w:color w:val="auto"/>
        </w:rPr>
        <w:t>December 31, 2023</w:t>
      </w:r>
    </w:p>
    <w:p>
      <w:pPr>
        <w:spacing w:after="0" w:line="5" w:lineRule="exact"/>
        <w:rPr>
          <w:sz w:val="24"/>
          <w:szCs w:val="24"/>
          <w:color w:val="auto"/>
        </w:rPr>
      </w:pPr>
    </w:p>
    <w:p>
      <w:pPr>
        <w:jc w:val="center"/>
        <w:spacing w:after="0"/>
        <w:rPr>
          <w:sz w:val="20"/>
          <w:szCs w:val="20"/>
          <w:color w:val="auto"/>
        </w:rPr>
      </w:pPr>
      <w:r>
        <w:rPr>
          <w:rFonts w:ascii="Calibri" w:cs="Calibri" w:eastAsia="Calibri" w:hAnsi="Calibri"/>
          <w:sz w:val="16"/>
          <w:szCs w:val="16"/>
          <w:color w:val="auto"/>
        </w:rPr>
        <w:t>OR</w:t>
      </w:r>
    </w:p>
    <w:p>
      <w:pPr>
        <w:ind w:left="320" w:hanging="312"/>
        <w:spacing w:after="0" w:line="198" w:lineRule="auto"/>
        <w:tabs>
          <w:tab w:leader="none" w:pos="320" w:val="left"/>
        </w:tabs>
        <w:numPr>
          <w:ilvl w:val="0"/>
          <w:numId w:val="2"/>
        </w:numPr>
        <w:rPr>
          <w:rFonts w:ascii="MS PGothic" w:cs="MS PGothic" w:eastAsia="MS PGothic" w:hAnsi="MS PGothic"/>
          <w:sz w:val="7"/>
          <w:szCs w:val="7"/>
          <w:color w:val="auto"/>
          <w:highlight w:val="black"/>
        </w:rPr>
      </w:pPr>
      <w:r>
        <w:rPr>
          <w:rFonts w:ascii="Calibri" w:cs="Calibri" w:eastAsia="Calibri" w:hAnsi="Calibri"/>
          <w:sz w:val="6"/>
          <w:szCs w:val="6"/>
          <w:b w:val="1"/>
          <w:bCs w:val="1"/>
          <w:color w:val="auto"/>
        </w:rPr>
        <w:t>TRANSITION REPORT PURSUANT TO SECTION 13 OR 15(d) OF THE SECURITIES EXCHANGE ACT OF 1934</w:t>
      </w:r>
    </w:p>
    <w:p>
      <w:pPr>
        <w:spacing w:after="0" w:line="214" w:lineRule="exact"/>
        <w:rPr>
          <w:sz w:val="24"/>
          <w:szCs w:val="24"/>
          <w:color w:val="auto"/>
        </w:rPr>
      </w:pPr>
    </w:p>
    <w:p>
      <w:pPr>
        <w:spacing w:after="0"/>
        <w:tabs>
          <w:tab w:leader="none" w:pos="2500" w:val="left"/>
        </w:tabs>
        <w:rPr>
          <w:sz w:val="20"/>
          <w:szCs w:val="20"/>
          <w:color w:val="auto"/>
        </w:rPr>
      </w:pPr>
      <w:r>
        <w:rPr>
          <w:rFonts w:ascii="Calibri" w:cs="Calibri" w:eastAsia="Calibri" w:hAnsi="Calibri"/>
          <w:sz w:val="16"/>
          <w:szCs w:val="16"/>
          <w:color w:val="auto"/>
        </w:rPr>
        <w:t>For the transiton period from</w:t>
      </w:r>
      <w:r>
        <w:rPr>
          <w:sz w:val="20"/>
          <w:szCs w:val="20"/>
          <w:color w:val="auto"/>
        </w:rPr>
        <w:tab/>
      </w:r>
      <w:r>
        <w:rPr>
          <w:rFonts w:ascii="Calibri" w:cs="Calibri" w:eastAsia="Calibri" w:hAnsi="Calibri"/>
          <w:sz w:val="16"/>
          <w:szCs w:val="16"/>
          <w:color w:val="auto"/>
        </w:rPr>
        <w:t>to</w:t>
      </w:r>
    </w:p>
    <w:p>
      <w:pPr>
        <w:sectPr>
          <w:pgSz w:w="11900" w:h="16838" w:orient="portrait"/>
          <w:cols w:equalWidth="0" w:num="1">
            <w:col w:w="11240"/>
          </w:cols>
          <w:pgMar w:left="320" w:top="1179" w:right="339" w:bottom="1440" w:gutter="0" w:footer="0" w:header="0"/>
        </w:sectPr>
      </w:pPr>
    </w:p>
    <w:p>
      <w:pPr>
        <w:spacing w:after="0" w:line="48" w:lineRule="exact"/>
        <w:rPr>
          <w:sz w:val="24"/>
          <w:szCs w:val="24"/>
          <w:color w:val="auto"/>
        </w:rPr>
      </w:pPr>
    </w:p>
    <w:p>
      <w:pPr>
        <w:ind w:left="4540"/>
        <w:spacing w:after="0"/>
        <w:rPr>
          <w:sz w:val="20"/>
          <w:szCs w:val="20"/>
          <w:color w:val="auto"/>
        </w:rPr>
      </w:pPr>
      <w:r>
        <w:rPr>
          <w:rFonts w:ascii="Calibri" w:cs="Calibri" w:eastAsia="Calibri" w:hAnsi="Calibri"/>
          <w:sz w:val="16"/>
          <w:szCs w:val="16"/>
          <w:color w:val="auto"/>
        </w:rPr>
        <w:t>Commission fle number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Calibri" w:cs="Calibri" w:eastAsia="Calibri" w:hAnsi="Calibri"/>
          <w:sz w:val="16"/>
          <w:szCs w:val="16"/>
          <w:b w:val="1"/>
          <w:bCs w:val="1"/>
          <w:color w:val="auto"/>
        </w:rPr>
        <w:t>1-12744</w:t>
      </w:r>
    </w:p>
    <w:p>
      <w:pPr>
        <w:spacing w:after="0" w:line="56" w:lineRule="exact"/>
        <w:rPr>
          <w:sz w:val="24"/>
          <w:szCs w:val="24"/>
          <w:color w:val="auto"/>
        </w:rPr>
      </w:pPr>
    </w:p>
    <w:p>
      <w:pPr>
        <w:sectPr>
          <w:pgSz w:w="11900" w:h="16838" w:orient="portrait"/>
          <w:cols w:equalWidth="0" w:num="2">
            <w:col w:w="6140" w:space="40"/>
            <w:col w:w="5060"/>
          </w:cols>
          <w:pgMar w:left="320" w:top="1179" w:right="339" w:bottom="1440" w:gutter="0" w:footer="0" w:header="0"/>
          <w:type w:val="continuous"/>
        </w:sectPr>
      </w:pPr>
    </w:p>
    <w:p>
      <w:pPr>
        <w:jc w:val="center"/>
        <w:spacing w:after="0"/>
        <w:rPr>
          <w:sz w:val="20"/>
          <w:szCs w:val="20"/>
          <w:color w:val="auto"/>
        </w:rPr>
      </w:pPr>
      <w:r>
        <w:rPr>
          <w:rFonts w:ascii="Calibri" w:cs="Calibri" w:eastAsia="Calibri" w:hAnsi="Calibri"/>
          <w:sz w:val="22"/>
          <w:szCs w:val="22"/>
          <w:b w:val="1"/>
          <w:bCs w:val="1"/>
          <w:color w:val="auto"/>
        </w:rPr>
        <w:t>MARTIN MARIETTA MATERIALS, INC.</w:t>
      </w:r>
    </w:p>
    <w:p>
      <w:pPr>
        <w:spacing w:after="0" w:line="12"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(Exact name of registrant as specifed in its charter)</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40" w:type="dxa"/>
            <w:vAlign w:val="bottom"/>
            <w:gridSpan w:val="3"/>
          </w:tcPr>
          <w:p>
            <w:pPr>
              <w:jc w:val="center"/>
              <w:ind w:left="1328"/>
              <w:spacing w:after="0"/>
              <w:rPr>
                <w:sz w:val="20"/>
                <w:szCs w:val="20"/>
                <w:color w:val="auto"/>
              </w:rPr>
            </w:pPr>
            <w:r>
              <w:rPr>
                <w:rFonts w:ascii="Calibri" w:cs="Calibri" w:eastAsia="Calibri" w:hAnsi="Calibri"/>
                <w:sz w:val="14"/>
                <w:szCs w:val="14"/>
                <w:b w:val="1"/>
                <w:bCs w:val="1"/>
                <w:color w:val="auto"/>
              </w:rPr>
              <w:t>North Carolina</w:t>
            </w:r>
          </w:p>
        </w:tc>
        <w:tc>
          <w:tcPr>
            <w:tcW w:w="2860" w:type="dxa"/>
            <w:vAlign w:val="bottom"/>
          </w:tcPr>
          <w:p>
            <w:pPr>
              <w:spacing w:after="0"/>
              <w:rPr>
                <w:sz w:val="14"/>
                <w:szCs w:val="14"/>
                <w:color w:val="auto"/>
              </w:rPr>
            </w:pPr>
          </w:p>
        </w:tc>
        <w:tc>
          <w:tcPr>
            <w:tcW w:w="4140" w:type="dxa"/>
            <w:vAlign w:val="bottom"/>
            <w:gridSpan w:val="3"/>
          </w:tcPr>
          <w:p>
            <w:pPr>
              <w:jc w:val="right"/>
              <w:ind w:right="2328"/>
              <w:spacing w:after="0"/>
              <w:rPr>
                <w:sz w:val="20"/>
                <w:szCs w:val="20"/>
                <w:color w:val="auto"/>
              </w:rPr>
            </w:pPr>
            <w:r>
              <w:rPr>
                <w:rFonts w:ascii="Calibri" w:cs="Calibri" w:eastAsia="Calibri" w:hAnsi="Calibri"/>
                <w:sz w:val="14"/>
                <w:szCs w:val="14"/>
                <w:b w:val="1"/>
                <w:bCs w:val="1"/>
                <w:color w:val="auto"/>
              </w:rPr>
              <w:t>56-1848578</w:t>
            </w:r>
          </w:p>
        </w:tc>
      </w:tr>
      <w:tr>
        <w:trPr>
          <w:trHeight w:val="203"/>
        </w:trPr>
        <w:tc>
          <w:tcPr>
            <w:tcW w:w="7100" w:type="dxa"/>
            <w:vAlign w:val="bottom"/>
            <w:gridSpan w:val="4"/>
          </w:tcPr>
          <w:p>
            <w:pPr>
              <w:jc w:val="center"/>
              <w:ind w:right="1390"/>
              <w:spacing w:after="0"/>
              <w:rPr>
                <w:sz w:val="20"/>
                <w:szCs w:val="20"/>
                <w:color w:val="auto"/>
              </w:rPr>
            </w:pPr>
            <w:r>
              <w:rPr>
                <w:rFonts w:ascii="Calibri" w:cs="Calibri" w:eastAsia="Calibri" w:hAnsi="Calibri"/>
                <w:sz w:val="14"/>
                <w:szCs w:val="14"/>
                <w:b w:val="1"/>
                <w:bCs w:val="1"/>
                <w:color w:val="auto"/>
              </w:rPr>
              <w:t>(State or other jurisdicton of incorporaton or organizaton)</w:t>
            </w:r>
          </w:p>
        </w:tc>
        <w:tc>
          <w:tcPr>
            <w:tcW w:w="4140" w:type="dxa"/>
            <w:vAlign w:val="bottom"/>
            <w:gridSpan w:val="3"/>
          </w:tcPr>
          <w:p>
            <w:pPr>
              <w:jc w:val="center"/>
              <w:ind w:right="1288"/>
              <w:spacing w:after="0"/>
              <w:rPr>
                <w:sz w:val="20"/>
                <w:szCs w:val="20"/>
                <w:color w:val="auto"/>
              </w:rPr>
            </w:pPr>
            <w:r>
              <w:rPr>
                <w:rFonts w:ascii="Calibri" w:cs="Calibri" w:eastAsia="Calibri" w:hAnsi="Calibri"/>
                <w:sz w:val="14"/>
                <w:szCs w:val="14"/>
                <w:b w:val="1"/>
                <w:bCs w:val="1"/>
                <w:color w:val="auto"/>
              </w:rPr>
              <w:t>(I.R.S. Employer Identfcaton No.)</w:t>
            </w:r>
          </w:p>
        </w:tc>
      </w:tr>
      <w:tr>
        <w:trPr>
          <w:trHeight w:val="203"/>
        </w:trPr>
        <w:tc>
          <w:tcPr>
            <w:tcW w:w="4240" w:type="dxa"/>
            <w:vAlign w:val="bottom"/>
            <w:gridSpan w:val="3"/>
          </w:tcPr>
          <w:p>
            <w:pPr>
              <w:jc w:val="center"/>
              <w:ind w:left="1368"/>
              <w:spacing w:after="0"/>
              <w:rPr>
                <w:sz w:val="20"/>
                <w:szCs w:val="20"/>
                <w:color w:val="auto"/>
              </w:rPr>
            </w:pPr>
            <w:r>
              <w:rPr>
                <w:rFonts w:ascii="Calibri" w:cs="Calibri" w:eastAsia="Calibri" w:hAnsi="Calibri"/>
                <w:sz w:val="14"/>
                <w:szCs w:val="14"/>
                <w:b w:val="1"/>
                <w:bCs w:val="1"/>
                <w:color w:val="auto"/>
              </w:rPr>
              <w:t>4123 Parklake Avenue, Raleigh, North Carolina</w:t>
            </w:r>
          </w:p>
        </w:tc>
        <w:tc>
          <w:tcPr>
            <w:tcW w:w="2860" w:type="dxa"/>
            <w:vAlign w:val="bottom"/>
          </w:tcPr>
          <w:p>
            <w:pPr>
              <w:spacing w:after="0"/>
              <w:rPr>
                <w:sz w:val="17"/>
                <w:szCs w:val="17"/>
                <w:color w:val="auto"/>
              </w:rPr>
            </w:pPr>
          </w:p>
        </w:tc>
        <w:tc>
          <w:tcPr>
            <w:tcW w:w="4140" w:type="dxa"/>
            <w:vAlign w:val="bottom"/>
            <w:gridSpan w:val="3"/>
          </w:tcPr>
          <w:p>
            <w:pPr>
              <w:jc w:val="right"/>
              <w:ind w:right="2488"/>
              <w:spacing w:after="0"/>
              <w:rPr>
                <w:sz w:val="20"/>
                <w:szCs w:val="20"/>
                <w:color w:val="auto"/>
              </w:rPr>
            </w:pPr>
            <w:r>
              <w:rPr>
                <w:rFonts w:ascii="Calibri" w:cs="Calibri" w:eastAsia="Calibri" w:hAnsi="Calibri"/>
                <w:sz w:val="14"/>
                <w:szCs w:val="14"/>
                <w:b w:val="1"/>
                <w:bCs w:val="1"/>
                <w:color w:val="auto"/>
              </w:rPr>
              <w:t>27612</w:t>
            </w:r>
          </w:p>
        </w:tc>
      </w:tr>
      <w:tr>
        <w:trPr>
          <w:trHeight w:val="203"/>
        </w:trPr>
        <w:tc>
          <w:tcPr>
            <w:tcW w:w="4240" w:type="dxa"/>
            <w:vAlign w:val="bottom"/>
            <w:gridSpan w:val="3"/>
          </w:tcPr>
          <w:p>
            <w:pPr>
              <w:jc w:val="center"/>
              <w:ind w:left="1348"/>
              <w:spacing w:after="0"/>
              <w:rPr>
                <w:sz w:val="20"/>
                <w:szCs w:val="20"/>
                <w:color w:val="auto"/>
              </w:rPr>
            </w:pPr>
            <w:r>
              <w:rPr>
                <w:rFonts w:ascii="Calibri" w:cs="Calibri" w:eastAsia="Calibri" w:hAnsi="Calibri"/>
                <w:sz w:val="14"/>
                <w:szCs w:val="14"/>
                <w:b w:val="1"/>
                <w:bCs w:val="1"/>
                <w:color w:val="auto"/>
              </w:rPr>
              <w:t>(Address of principal executve ofces)</w:t>
            </w:r>
          </w:p>
        </w:tc>
        <w:tc>
          <w:tcPr>
            <w:tcW w:w="2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jc w:val="center"/>
              <w:ind w:right="1828"/>
              <w:spacing w:after="0"/>
              <w:rPr>
                <w:sz w:val="20"/>
                <w:szCs w:val="20"/>
                <w:color w:val="auto"/>
              </w:rPr>
            </w:pPr>
            <w:r>
              <w:rPr>
                <w:rFonts w:ascii="Calibri" w:cs="Calibri" w:eastAsia="Calibri" w:hAnsi="Calibri"/>
                <w:sz w:val="14"/>
                <w:szCs w:val="14"/>
                <w:b w:val="1"/>
                <w:bCs w:val="1"/>
                <w:color w:val="auto"/>
              </w:rPr>
              <w:t>(Zip Code)</w:t>
            </w:r>
          </w:p>
        </w:tc>
      </w:tr>
      <w:tr>
        <w:trPr>
          <w:trHeight w:val="243"/>
        </w:trPr>
        <w:tc>
          <w:tcPr>
            <w:tcW w:w="3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60" w:type="dxa"/>
            <w:vAlign w:val="bottom"/>
          </w:tcPr>
          <w:p>
            <w:pPr>
              <w:ind w:left="940"/>
              <w:spacing w:after="0"/>
              <w:rPr>
                <w:sz w:val="20"/>
                <w:szCs w:val="20"/>
                <w:color w:val="auto"/>
              </w:rPr>
            </w:pPr>
            <w:r>
              <w:rPr>
                <w:rFonts w:ascii="Calibri" w:cs="Calibri" w:eastAsia="Calibri" w:hAnsi="Calibri"/>
                <w:sz w:val="14"/>
                <w:szCs w:val="14"/>
                <w:b w:val="1"/>
                <w:bCs w:val="1"/>
                <w:color w:val="auto"/>
              </w:rPr>
              <w:t>(919) 781-4550</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0" w:type="dxa"/>
            <w:vAlign w:val="bottom"/>
          </w:tcPr>
          <w:p>
            <w:pPr>
              <w:spacing w:after="0"/>
              <w:rPr>
                <w:sz w:val="21"/>
                <w:szCs w:val="21"/>
                <w:color w:val="auto"/>
              </w:rPr>
            </w:pPr>
          </w:p>
        </w:tc>
      </w:tr>
      <w:tr>
        <w:trPr>
          <w:trHeight w:val="158"/>
        </w:trPr>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60" w:type="dxa"/>
            <w:vAlign w:val="bottom"/>
          </w:tcPr>
          <w:p>
            <w:pPr>
              <w:spacing w:after="0"/>
              <w:rPr>
                <w:sz w:val="20"/>
                <w:szCs w:val="20"/>
                <w:color w:val="auto"/>
              </w:rPr>
            </w:pPr>
            <w:r>
              <w:rPr>
                <w:rFonts w:ascii="Calibri" w:cs="Calibri" w:eastAsia="Calibri" w:hAnsi="Calibri"/>
                <w:sz w:val="13"/>
                <w:szCs w:val="13"/>
                <w:b w:val="1"/>
                <w:bCs w:val="1"/>
                <w:i w:val="1"/>
                <w:iCs w:val="1"/>
                <w:color w:val="auto"/>
                <w:w w:val="99"/>
              </w:rPr>
              <w:t>(Registrant’s telephone number, including area code)</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0" w:type="dxa"/>
            <w:vAlign w:val="bottom"/>
          </w:tcPr>
          <w:p>
            <w:pPr>
              <w:spacing w:after="0"/>
              <w:rPr>
                <w:sz w:val="13"/>
                <w:szCs w:val="13"/>
                <w:color w:val="auto"/>
              </w:rPr>
            </w:pPr>
          </w:p>
        </w:tc>
      </w:tr>
      <w:tr>
        <w:trPr>
          <w:trHeight w:val="220"/>
        </w:trPr>
        <w:tc>
          <w:tcPr>
            <w:tcW w:w="4240" w:type="dxa"/>
            <w:vAlign w:val="bottom"/>
            <w:gridSpan w:val="3"/>
          </w:tcPr>
          <w:p>
            <w:pPr>
              <w:spacing w:after="0"/>
              <w:rPr>
                <w:sz w:val="20"/>
                <w:szCs w:val="20"/>
                <w:color w:val="auto"/>
              </w:rPr>
            </w:pPr>
            <w:r>
              <w:rPr>
                <w:rFonts w:ascii="Calibri" w:cs="Calibri" w:eastAsia="Calibri" w:hAnsi="Calibri"/>
                <w:sz w:val="14"/>
                <w:szCs w:val="14"/>
                <w:b w:val="1"/>
                <w:bCs w:val="1"/>
                <w:color w:val="auto"/>
              </w:rPr>
              <w:t>Securites registered pursuant to Secton 12(b) of the Act:</w:t>
            </w:r>
          </w:p>
        </w:tc>
        <w:tc>
          <w:tcPr>
            <w:tcW w:w="2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189"/>
        </w:trPr>
        <w:tc>
          <w:tcPr>
            <w:tcW w:w="4240" w:type="dxa"/>
            <w:vAlign w:val="bottom"/>
            <w:gridSpan w:val="3"/>
          </w:tcPr>
          <w:p>
            <w:pPr>
              <w:ind w:left="1340"/>
              <w:spacing w:after="0"/>
              <w:rPr>
                <w:sz w:val="20"/>
                <w:szCs w:val="20"/>
                <w:color w:val="auto"/>
              </w:rPr>
            </w:pPr>
            <w:r>
              <w:rPr>
                <w:rFonts w:ascii="Calibri" w:cs="Calibri" w:eastAsia="Calibri" w:hAnsi="Calibri"/>
                <w:sz w:val="14"/>
                <w:szCs w:val="14"/>
                <w:b w:val="1"/>
                <w:bCs w:val="1"/>
                <w:color w:val="auto"/>
              </w:rPr>
              <w:t>Title of each class</w:t>
            </w:r>
          </w:p>
        </w:tc>
        <w:tc>
          <w:tcPr>
            <w:tcW w:w="2860" w:type="dxa"/>
            <w:vAlign w:val="bottom"/>
          </w:tcPr>
          <w:p>
            <w:pPr>
              <w:ind w:left="920"/>
              <w:spacing w:after="0"/>
              <w:rPr>
                <w:sz w:val="20"/>
                <w:szCs w:val="20"/>
                <w:color w:val="auto"/>
              </w:rPr>
            </w:pPr>
            <w:r>
              <w:rPr>
                <w:rFonts w:ascii="Calibri" w:cs="Calibri" w:eastAsia="Calibri" w:hAnsi="Calibri"/>
                <w:sz w:val="14"/>
                <w:szCs w:val="14"/>
                <w:b w:val="1"/>
                <w:bCs w:val="1"/>
                <w:color w:val="auto"/>
              </w:rPr>
              <w:t>Trading Symbol(s)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Calibri" w:cs="Calibri" w:eastAsia="Calibri" w:hAnsi="Calibri"/>
                <w:sz w:val="14"/>
                <w:szCs w:val="14"/>
                <w:b w:val="1"/>
                <w:bCs w:val="1"/>
                <w:color w:val="auto"/>
              </w:rPr>
              <w:t>Name of each exchange on which registered</w:t>
            </w:r>
          </w:p>
        </w:tc>
      </w:tr>
      <w:tr>
        <w:trPr>
          <w:trHeight w:val="33"/>
        </w:trPr>
        <w:tc>
          <w:tcPr>
            <w:tcW w:w="38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163"/>
        </w:trPr>
        <w:tc>
          <w:tcPr>
            <w:tcW w:w="3720" w:type="dxa"/>
            <w:vAlign w:val="bottom"/>
            <w:tcBorders>
              <w:top w:val="single" w:sz="8" w:color="auto"/>
            </w:tcBorders>
          </w:tcPr>
          <w:p>
            <w:pPr>
              <w:ind w:left="640"/>
              <w:spacing w:after="0" w:line="164" w:lineRule="exact"/>
              <w:rPr>
                <w:sz w:val="20"/>
                <w:szCs w:val="20"/>
                <w:color w:val="auto"/>
              </w:rPr>
            </w:pPr>
            <w:r>
              <w:rPr>
                <w:rFonts w:ascii="Calibri" w:cs="Calibri" w:eastAsia="Calibri" w:hAnsi="Calibri"/>
                <w:sz w:val="14"/>
                <w:szCs w:val="14"/>
                <w:b w:val="1"/>
                <w:bCs w:val="1"/>
                <w:color w:val="auto"/>
              </w:rPr>
              <w:t>Common Stock (par value $.01 per share)</w:t>
            </w:r>
          </w:p>
        </w:tc>
        <w:tc>
          <w:tcPr>
            <w:tcW w:w="1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860" w:type="dxa"/>
            <w:vAlign w:val="bottom"/>
            <w:tcBorders>
              <w:top w:val="single" w:sz="8" w:color="auto"/>
            </w:tcBorders>
          </w:tcPr>
          <w:p>
            <w:pPr>
              <w:ind w:left="1300"/>
              <w:spacing w:after="0" w:line="164" w:lineRule="exact"/>
              <w:rPr>
                <w:sz w:val="20"/>
                <w:szCs w:val="20"/>
                <w:color w:val="auto"/>
              </w:rPr>
            </w:pPr>
            <w:r>
              <w:rPr>
                <w:rFonts w:ascii="Calibri" w:cs="Calibri" w:eastAsia="Calibri" w:hAnsi="Calibri"/>
                <w:sz w:val="14"/>
                <w:szCs w:val="14"/>
                <w:b w:val="1"/>
                <w:bCs w:val="1"/>
                <w:color w:val="auto"/>
              </w:rPr>
              <w:t>MLM</w:t>
            </w:r>
          </w:p>
        </w:tc>
        <w:tc>
          <w:tcPr>
            <w:tcW w:w="4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0" w:type="dxa"/>
            <w:vAlign w:val="bottom"/>
            <w:tcBorders>
              <w:top w:val="single" w:sz="8" w:color="auto"/>
            </w:tcBorders>
          </w:tcPr>
          <w:p>
            <w:pPr>
              <w:jc w:val="center"/>
              <w:spacing w:after="0" w:line="164" w:lineRule="exact"/>
              <w:rPr>
                <w:sz w:val="20"/>
                <w:szCs w:val="20"/>
                <w:color w:val="auto"/>
              </w:rPr>
            </w:pPr>
            <w:r>
              <w:rPr>
                <w:rFonts w:ascii="Calibri" w:cs="Calibri" w:eastAsia="Calibri" w:hAnsi="Calibri"/>
                <w:sz w:val="14"/>
                <w:szCs w:val="14"/>
                <w:b w:val="1"/>
                <w:bCs w:val="1"/>
                <w:color w:val="auto"/>
              </w:rPr>
              <w:t>New York Stock Exchange</w:t>
            </w:r>
          </w:p>
        </w:tc>
      </w:tr>
      <w:tr>
        <w:trPr>
          <w:trHeight w:val="215"/>
        </w:trPr>
        <w:tc>
          <w:tcPr>
            <w:tcW w:w="4240" w:type="dxa"/>
            <w:vAlign w:val="bottom"/>
            <w:gridSpan w:val="3"/>
          </w:tcPr>
          <w:p>
            <w:pPr>
              <w:spacing w:after="0"/>
              <w:rPr>
                <w:sz w:val="20"/>
                <w:szCs w:val="20"/>
                <w:color w:val="auto"/>
              </w:rPr>
            </w:pPr>
            <w:r>
              <w:rPr>
                <w:rFonts w:ascii="Calibri" w:cs="Calibri" w:eastAsia="Calibri" w:hAnsi="Calibri"/>
                <w:sz w:val="14"/>
                <w:szCs w:val="14"/>
                <w:color w:val="auto"/>
              </w:rPr>
              <w:t xml:space="preserve">Securites registered pursuant to Secton 12(g) of the Act: </w:t>
            </w:r>
            <w:r>
              <w:rPr>
                <w:rFonts w:ascii="Calibri" w:cs="Calibri" w:eastAsia="Calibri" w:hAnsi="Calibri"/>
                <w:sz w:val="14"/>
                <w:szCs w:val="14"/>
                <w:b w:val="1"/>
                <w:bCs w:val="1"/>
                <w:color w:val="auto"/>
              </w:rPr>
              <w:t>None</w:t>
            </w:r>
          </w:p>
        </w:tc>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58"/>
        </w:trPr>
        <w:tc>
          <w:tcPr>
            <w:tcW w:w="7100" w:type="dxa"/>
            <w:vAlign w:val="bottom"/>
            <w:gridSpan w:val="4"/>
          </w:tcPr>
          <w:p>
            <w:pPr>
              <w:spacing w:after="0"/>
              <w:rPr>
                <w:sz w:val="20"/>
                <w:szCs w:val="20"/>
                <w:color w:val="auto"/>
              </w:rPr>
            </w:pPr>
            <w:r>
              <w:rPr>
                <w:rFonts w:ascii="Calibri" w:cs="Calibri" w:eastAsia="Calibri" w:hAnsi="Calibri"/>
                <w:sz w:val="14"/>
                <w:szCs w:val="14"/>
                <w:color w:val="auto"/>
              </w:rPr>
              <w:t>Indicate by check mark if the registrant is a well-known seasoned issuer, as defned in Rule 405 of the Securites Act.  YES</w:t>
            </w:r>
          </w:p>
        </w:tc>
        <w:tc>
          <w:tcPr>
            <w:tcW w:w="4140" w:type="dxa"/>
            <w:vAlign w:val="bottom"/>
            <w:gridSpan w:val="3"/>
          </w:tcPr>
          <w:p>
            <w:pPr>
              <w:ind w:left="60"/>
              <w:spacing w:after="0" w:line="208" w:lineRule="exact"/>
              <w:rPr>
                <w:sz w:val="20"/>
                <w:szCs w:val="20"/>
                <w:color w:val="auto"/>
              </w:rPr>
            </w:pPr>
            <w:r>
              <w:rPr>
                <w:rFonts w:ascii="MS PGothic" w:cs="MS PGothic" w:eastAsia="MS PGothic" w:hAnsi="MS PGothic"/>
                <w:sz w:val="17"/>
                <w:szCs w:val="17"/>
                <w:color w:val="auto"/>
              </w:rPr>
              <w:t>☒</w:t>
            </w:r>
            <w:r>
              <w:rPr>
                <w:rFonts w:ascii="Calibri" w:cs="Calibri" w:eastAsia="Calibri" w:hAnsi="Calibri"/>
                <w:sz w:val="14"/>
                <w:szCs w:val="14"/>
                <w:color w:val="auto"/>
              </w:rPr>
              <w:t xml:space="preserve"> NO  </w:t>
            </w:r>
            <w:r>
              <w:rPr>
                <w:rFonts w:ascii="MS PGothic" w:cs="MS PGothic" w:eastAsia="MS PGothic" w:hAnsi="MS PGothic"/>
                <w:sz w:val="17"/>
                <w:szCs w:val="17"/>
                <w:color w:val="auto"/>
              </w:rPr>
              <w:t>☐</w:t>
            </w:r>
          </w:p>
        </w:tc>
      </w:tr>
      <w:tr>
        <w:trPr>
          <w:trHeight w:val="303"/>
        </w:trPr>
        <w:tc>
          <w:tcPr>
            <w:tcW w:w="11240" w:type="dxa"/>
            <w:vAlign w:val="bottom"/>
            <w:gridSpan w:val="7"/>
          </w:tcPr>
          <w:p>
            <w:pPr>
              <w:spacing w:after="0" w:line="208" w:lineRule="exact"/>
              <w:rPr>
                <w:sz w:val="20"/>
                <w:szCs w:val="20"/>
                <w:color w:val="auto"/>
              </w:rPr>
            </w:pPr>
            <w:r>
              <w:rPr>
                <w:rFonts w:ascii="Calibri" w:cs="Calibri" w:eastAsia="Calibri" w:hAnsi="Calibri"/>
                <w:sz w:val="14"/>
                <w:szCs w:val="14"/>
                <w:color w:val="auto"/>
              </w:rPr>
              <w:t xml:space="preserve">Indicate by check mark if the registrant is not required to fle reports pursuant to Secton 13 or Secton 15(d) of the Exchange Act.  YES  </w:t>
            </w:r>
            <w:r>
              <w:rPr>
                <w:rFonts w:ascii="MS PGothic" w:cs="MS PGothic" w:eastAsia="MS PGothic" w:hAnsi="MS PGothic"/>
                <w:sz w:val="17"/>
                <w:szCs w:val="17"/>
                <w:color w:val="auto"/>
              </w:rPr>
              <w:t>☐</w:t>
            </w:r>
            <w:r>
              <w:rPr>
                <w:rFonts w:ascii="Calibri" w:cs="Calibri" w:eastAsia="Calibri" w:hAnsi="Calibri"/>
                <w:sz w:val="14"/>
                <w:szCs w:val="14"/>
                <w:color w:val="auto"/>
              </w:rPr>
              <w:t xml:space="preserve"> NO  </w:t>
            </w:r>
            <w:r>
              <w:rPr>
                <w:rFonts w:ascii="MS PGothic" w:cs="MS PGothic" w:eastAsia="MS PGothic" w:hAnsi="MS PGothic"/>
                <w:sz w:val="17"/>
                <w:szCs w:val="17"/>
                <w:color w:val="auto"/>
              </w:rPr>
              <w:t>☒</w:t>
            </w:r>
          </w:p>
        </w:tc>
      </w:tr>
    </w:tbl>
    <w:p>
      <w:pPr>
        <w:jc w:val="both"/>
        <w:ind w:left="160" w:hanging="157"/>
        <w:spacing w:after="0" w:line="188" w:lineRule="exact"/>
        <w:rPr>
          <w:sz w:val="20"/>
          <w:szCs w:val="20"/>
          <w:color w:val="auto"/>
        </w:rPr>
      </w:pPr>
      <w:r>
        <w:rPr>
          <w:rFonts w:ascii="Calibri" w:cs="Calibri" w:eastAsia="Calibri" w:hAnsi="Calibri"/>
          <w:sz w:val="14"/>
          <w:szCs w:val="14"/>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jc w:val="both"/>
        <w:ind w:left="160" w:hanging="157"/>
        <w:spacing w:after="0" w:line="196" w:lineRule="exact"/>
        <w:rPr>
          <w:sz w:val="20"/>
          <w:szCs w:val="20"/>
          <w:color w:val="auto"/>
        </w:rPr>
      </w:pPr>
      <w:r>
        <w:rPr>
          <w:rFonts w:ascii="Calibri" w:cs="Calibri" w:eastAsia="Calibri" w:hAnsi="Calibri"/>
          <w:sz w:val="14"/>
          <w:szCs w:val="14"/>
          <w:color w:val="auto"/>
        </w:rPr>
        <w:t xml:space="preserve">Indicate by check mark whether the registrant has submited electronically every Interactve Data File required to be submited pursuant to Rule 405 of Regulaton S-T during the preceding 12 months (or for such shorter period that the registrant was required to submit such fles).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jc w:val="both"/>
        <w:ind w:left="160" w:hanging="157"/>
        <w:spacing w:after="0" w:line="242" w:lineRule="auto"/>
        <w:rPr>
          <w:sz w:val="20"/>
          <w:szCs w:val="20"/>
          <w:color w:val="auto"/>
        </w:rPr>
      </w:pPr>
      <w:r>
        <w:rPr>
          <w:rFonts w:ascii="Calibri" w:cs="Calibri" w:eastAsia="Calibri" w:hAnsi="Calibri"/>
          <w:sz w:val="14"/>
          <w:szCs w:val="14"/>
          <w:color w:val="auto"/>
        </w:rPr>
        <w:t>Indicate by check mark whether the registrant is a large accelerated fler, an accelerated fler, a non-accelerated fler, a smaller reportng company, or emerging growth company. See the defnitons of “large accelerated fler,” “accelerated fler,” “smaller reportng company,” and “emerging growth company” in Rule 12b-2 of the Exchange Act.</w:t>
      </w:r>
    </w:p>
    <w:tbl>
      <w:tblPr>
        <w:tblLayout w:type="fixed"/>
        <w:tblInd w:w="20" w:type="dxa"/>
        <w:tblCellMar>
          <w:top w:w="0" w:type="dxa"/>
          <w:left w:w="0" w:type="dxa"/>
          <w:bottom w:w="0" w:type="dxa"/>
          <w:right w:w="0" w:type="dxa"/>
        </w:tblCellMar>
      </w:tblPr>
      <w:tr>
        <w:trPr>
          <w:trHeight w:val="156"/>
        </w:trPr>
        <w:tc>
          <w:tcPr>
            <w:tcW w:w="2040" w:type="dxa"/>
            <w:vAlign w:val="bottom"/>
            <w:vMerge w:val="restart"/>
          </w:tcPr>
          <w:p>
            <w:pPr>
              <w:spacing w:after="0"/>
              <w:rPr>
                <w:sz w:val="20"/>
                <w:szCs w:val="20"/>
                <w:color w:val="auto"/>
              </w:rPr>
            </w:pPr>
            <w:r>
              <w:rPr>
                <w:rFonts w:ascii="Calibri" w:cs="Calibri" w:eastAsia="Calibri" w:hAnsi="Calibri"/>
                <w:sz w:val="14"/>
                <w:szCs w:val="14"/>
                <w:color w:val="auto"/>
              </w:rPr>
              <w:t>Large accelerated fler</w:t>
            </w:r>
          </w:p>
        </w:tc>
        <w:tc>
          <w:tcPr>
            <w:tcW w:w="2260" w:type="dxa"/>
            <w:vAlign w:val="bottom"/>
          </w:tcPr>
          <w:p>
            <w:pPr>
              <w:ind w:left="760"/>
              <w:spacing w:after="0" w:line="156" w:lineRule="exact"/>
              <w:rPr>
                <w:sz w:val="20"/>
                <w:szCs w:val="20"/>
                <w:color w:val="auto"/>
              </w:rPr>
            </w:pPr>
            <w:r>
              <w:rPr>
                <w:rFonts w:ascii="MS PGothic" w:cs="MS PGothic" w:eastAsia="MS PGothic" w:hAnsi="MS PGothic"/>
                <w:sz w:val="18"/>
                <w:szCs w:val="18"/>
                <w:color w:val="auto"/>
              </w:rPr>
              <w:t>☒</w:t>
            </w:r>
          </w:p>
        </w:tc>
        <w:tc>
          <w:tcPr>
            <w:tcW w:w="3520" w:type="dxa"/>
            <w:vAlign w:val="bottom"/>
            <w:vMerge w:val="restart"/>
          </w:tcPr>
          <w:p>
            <w:pPr>
              <w:ind w:left="1320"/>
              <w:spacing w:after="0"/>
              <w:rPr>
                <w:sz w:val="20"/>
                <w:szCs w:val="20"/>
                <w:color w:val="auto"/>
              </w:rPr>
            </w:pPr>
            <w:r>
              <w:rPr>
                <w:rFonts w:ascii="Calibri" w:cs="Calibri" w:eastAsia="Calibri" w:hAnsi="Calibri"/>
                <w:sz w:val="14"/>
                <w:szCs w:val="14"/>
                <w:color w:val="auto"/>
              </w:rPr>
              <w:t>Accelerated fler</w:t>
            </w:r>
          </w:p>
        </w:tc>
        <w:tc>
          <w:tcPr>
            <w:tcW w:w="760" w:type="dxa"/>
            <w:vAlign w:val="bottom"/>
          </w:tcPr>
          <w:p>
            <w:pPr>
              <w:ind w:left="600"/>
              <w:spacing w:after="0" w:line="156"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4"/>
        </w:trPr>
        <w:tc>
          <w:tcPr>
            <w:tcW w:w="2040" w:type="dxa"/>
            <w:vAlign w:val="bottom"/>
            <w:vMerge w:val="continue"/>
          </w:tcPr>
          <w:p>
            <w:pPr>
              <w:spacing w:after="0"/>
              <w:rPr>
                <w:sz w:val="2"/>
                <w:szCs w:val="2"/>
                <w:color w:val="auto"/>
              </w:rPr>
            </w:pPr>
          </w:p>
        </w:tc>
        <w:tc>
          <w:tcPr>
            <w:tcW w:w="2260" w:type="dxa"/>
            <w:vAlign w:val="bottom"/>
            <w:vMerge w:val="restart"/>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vMerge w:val="continue"/>
          </w:tcPr>
          <w:p>
            <w:pPr>
              <w:spacing w:after="0"/>
              <w:rPr>
                <w:sz w:val="2"/>
                <w:szCs w:val="2"/>
                <w:color w:val="auto"/>
              </w:rPr>
            </w:pPr>
          </w:p>
        </w:tc>
        <w:tc>
          <w:tcPr>
            <w:tcW w:w="760" w:type="dxa"/>
            <w:vAlign w:val="bottom"/>
            <w:vMerge w:val="restart"/>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line="20" w:lineRule="exact"/>
              <w:rPr>
                <w:sz w:val="1"/>
                <w:szCs w:val="1"/>
                <w:color w:val="auto"/>
              </w:rPr>
            </w:pPr>
          </w:p>
        </w:tc>
      </w:tr>
      <w:tr>
        <w:trPr>
          <w:trHeight w:val="195"/>
        </w:trPr>
        <w:tc>
          <w:tcPr>
            <w:tcW w:w="2040" w:type="dxa"/>
            <w:vAlign w:val="bottom"/>
            <w:vMerge w:val="restart"/>
          </w:tcPr>
          <w:p>
            <w:pPr>
              <w:spacing w:after="0"/>
              <w:rPr>
                <w:sz w:val="20"/>
                <w:szCs w:val="20"/>
                <w:color w:val="auto"/>
              </w:rPr>
            </w:pPr>
            <w:r>
              <w:rPr>
                <w:rFonts w:ascii="Calibri" w:cs="Calibri" w:eastAsia="Calibri" w:hAnsi="Calibri"/>
                <w:sz w:val="14"/>
                <w:szCs w:val="14"/>
                <w:color w:val="auto"/>
              </w:rPr>
              <w:t>Non-accelerated fler</w:t>
            </w:r>
          </w:p>
        </w:tc>
        <w:tc>
          <w:tcPr>
            <w:tcW w:w="2260" w:type="dxa"/>
            <w:vAlign w:val="bottom"/>
            <w:vMerge w:val="continue"/>
          </w:tcPr>
          <w:p>
            <w:pPr>
              <w:spacing w:after="0"/>
              <w:rPr>
                <w:sz w:val="17"/>
                <w:szCs w:val="17"/>
                <w:color w:val="auto"/>
              </w:rPr>
            </w:pPr>
          </w:p>
        </w:tc>
        <w:tc>
          <w:tcPr>
            <w:tcW w:w="3520" w:type="dxa"/>
            <w:vAlign w:val="bottom"/>
            <w:vMerge w:val="restart"/>
          </w:tcPr>
          <w:p>
            <w:pPr>
              <w:ind w:left="1320"/>
              <w:spacing w:after="0"/>
              <w:rPr>
                <w:sz w:val="20"/>
                <w:szCs w:val="20"/>
                <w:color w:val="auto"/>
              </w:rPr>
            </w:pPr>
            <w:r>
              <w:rPr>
                <w:rFonts w:ascii="Calibri" w:cs="Calibri" w:eastAsia="Calibri" w:hAnsi="Calibri"/>
                <w:sz w:val="14"/>
                <w:szCs w:val="14"/>
                <w:color w:val="auto"/>
              </w:rPr>
              <w:t>Smaller reportng company</w:t>
            </w: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40" w:type="dxa"/>
            <w:vAlign w:val="bottom"/>
            <w:vMerge w:val="continue"/>
          </w:tcPr>
          <w:p>
            <w:pPr>
              <w:spacing w:after="0"/>
              <w:rPr>
                <w:sz w:val="2"/>
                <w:szCs w:val="2"/>
                <w:color w:val="auto"/>
              </w:rPr>
            </w:pPr>
          </w:p>
        </w:tc>
        <w:tc>
          <w:tcPr>
            <w:tcW w:w="226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8"/>
        </w:trPr>
        <w:tc>
          <w:tcPr>
            <w:tcW w:w="2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520" w:type="dxa"/>
            <w:vAlign w:val="bottom"/>
          </w:tcPr>
          <w:p>
            <w:pPr>
              <w:ind w:left="1320"/>
              <w:spacing w:after="0"/>
              <w:rPr>
                <w:sz w:val="20"/>
                <w:szCs w:val="20"/>
                <w:color w:val="auto"/>
              </w:rPr>
            </w:pPr>
            <w:r>
              <w:rPr>
                <w:rFonts w:ascii="Calibri" w:cs="Calibri" w:eastAsia="Calibri" w:hAnsi="Calibri"/>
                <w:sz w:val="14"/>
                <w:szCs w:val="14"/>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ind w:left="160" w:hanging="157"/>
        <w:spacing w:after="0" w:line="188" w:lineRule="exact"/>
        <w:rPr>
          <w:sz w:val="20"/>
          <w:szCs w:val="20"/>
          <w:color w:val="auto"/>
        </w:rPr>
      </w:pPr>
      <w:r>
        <w:rPr>
          <w:rFonts w:ascii="Calibri" w:cs="Calibri" w:eastAsia="Calibri" w:hAnsi="Calibri"/>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15" w:lineRule="exact"/>
        <w:rPr>
          <w:sz w:val="24"/>
          <w:szCs w:val="24"/>
          <w:color w:val="auto"/>
        </w:rPr>
      </w:pPr>
    </w:p>
    <w:p>
      <w:pPr>
        <w:ind w:left="160" w:hanging="157"/>
        <w:spacing w:after="0" w:line="217" w:lineRule="exact"/>
        <w:rPr>
          <w:sz w:val="20"/>
          <w:szCs w:val="20"/>
          <w:color w:val="auto"/>
        </w:rPr>
      </w:pPr>
      <w:r>
        <w:rPr>
          <w:rFonts w:ascii="Calibri" w:cs="Calibri" w:eastAsia="Calibri" w:hAnsi="Calibri"/>
          <w:sz w:val="14"/>
          <w:szCs w:val="14"/>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7"/>
          <w:szCs w:val="17"/>
          <w:color w:val="auto"/>
        </w:rPr>
        <w:t>☒</w:t>
      </w:r>
    </w:p>
    <w:p>
      <w:pPr>
        <w:spacing w:after="0" w:line="12" w:lineRule="exact"/>
        <w:rPr>
          <w:sz w:val="24"/>
          <w:szCs w:val="24"/>
          <w:color w:val="auto"/>
        </w:rPr>
      </w:pPr>
    </w:p>
    <w:p>
      <w:pPr>
        <w:ind w:left="160" w:right="20" w:hanging="157"/>
        <w:spacing w:after="0" w:line="196" w:lineRule="exact"/>
        <w:rPr>
          <w:sz w:val="20"/>
          <w:szCs w:val="20"/>
          <w:color w:val="auto"/>
        </w:rPr>
      </w:pPr>
      <w:r>
        <w:rPr>
          <w:rFonts w:ascii="Calibri" w:cs="Calibri" w:eastAsia="Calibri" w:hAnsi="Calibri"/>
          <w:sz w:val="14"/>
          <w:szCs w:val="14"/>
          <w:color w:val="auto"/>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left="160" w:hanging="157"/>
        <w:spacing w:after="0" w:line="196" w:lineRule="exact"/>
        <w:rPr>
          <w:sz w:val="20"/>
          <w:szCs w:val="20"/>
          <w:color w:val="auto"/>
        </w:rPr>
      </w:pPr>
      <w:r>
        <w:rPr>
          <w:rFonts w:ascii="Calibri" w:cs="Calibri" w:eastAsia="Calibri" w:hAnsi="Calibri"/>
          <w:sz w:val="14"/>
          <w:szCs w:val="14"/>
          <w:color w:val="auto"/>
        </w:rPr>
        <w:t xml:space="preserve">Indicate by check mark whether any of those error correctons are restatements that required a recovery analysis of incentve-based compensaton received by any of the registrant’s executve oﬃcers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1" w:lineRule="exact"/>
        <w:rPr>
          <w:sz w:val="20"/>
          <w:szCs w:val="20"/>
          <w:color w:val="auto"/>
        </w:rPr>
      </w:pPr>
      <w:r>
        <w:rPr>
          <w:rFonts w:ascii="Calibri" w:cs="Calibri" w:eastAsia="Calibri" w:hAnsi="Calibri"/>
          <w:sz w:val="14"/>
          <w:szCs w:val="14"/>
          <w:color w:val="auto"/>
        </w:rPr>
        <w:t xml:space="preserve">Indicate by check mark whether the registrant is a shell company (as defned in Rule 12b-2 of the Exchange Act).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126" w:lineRule="exact"/>
        <w:rPr>
          <w:sz w:val="24"/>
          <w:szCs w:val="24"/>
          <w:color w:val="auto"/>
        </w:rPr>
      </w:pPr>
    </w:p>
    <w:p>
      <w:pPr>
        <w:spacing w:after="0"/>
        <w:rPr>
          <w:sz w:val="20"/>
          <w:szCs w:val="20"/>
          <w:color w:val="auto"/>
        </w:rPr>
      </w:pPr>
      <w:r>
        <w:rPr>
          <w:rFonts w:ascii="Calibri" w:cs="Calibri" w:eastAsia="Calibri" w:hAnsi="Calibri"/>
          <w:sz w:val="14"/>
          <w:szCs w:val="14"/>
          <w:color w:val="auto"/>
        </w:rPr>
        <w:t>As of June 30, 2023, the last business day of the registrant’s most recently completed second fscal quarter, the aggregate market value of the registrant’s common stock held by non-afliates of</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7460" w:type="dxa"/>
            <w:vAlign w:val="bottom"/>
            <w:gridSpan w:val="6"/>
          </w:tcPr>
          <w:p>
            <w:pPr>
              <w:ind w:left="160"/>
              <w:spacing w:after="0"/>
              <w:rPr>
                <w:sz w:val="20"/>
                <w:szCs w:val="20"/>
                <w:color w:val="auto"/>
              </w:rPr>
            </w:pPr>
            <w:r>
              <w:rPr>
                <w:rFonts w:ascii="Calibri" w:cs="Calibri" w:eastAsia="Calibri" w:hAnsi="Calibri"/>
                <w:sz w:val="14"/>
                <w:szCs w:val="14"/>
                <w:color w:val="auto"/>
              </w:rPr>
              <w:t xml:space="preserve">the registrant was </w:t>
            </w:r>
            <w:r>
              <w:rPr>
                <w:rFonts w:ascii="Calibri" w:cs="Calibri" w:eastAsia="Calibri" w:hAnsi="Calibri"/>
                <w:sz w:val="14"/>
                <w:szCs w:val="14"/>
                <w:b w:val="1"/>
                <w:bCs w:val="1"/>
                <w:color w:val="auto"/>
              </w:rPr>
              <w:t>$25,108,651,455</w:t>
            </w:r>
            <w:r>
              <w:rPr>
                <w:rFonts w:ascii="Calibri" w:cs="Calibri" w:eastAsia="Calibri" w:hAnsi="Calibri"/>
                <w:sz w:val="14"/>
                <w:szCs w:val="14"/>
                <w:color w:val="auto"/>
              </w:rPr>
              <w:t xml:space="preserve"> based on the closing sale price as reported on the New York Stock Exchange.</w:t>
            </w:r>
          </w:p>
        </w:tc>
        <w:tc>
          <w:tcPr>
            <w:tcW w:w="3780" w:type="dxa"/>
            <w:vAlign w:val="bottom"/>
          </w:tcPr>
          <w:p>
            <w:pPr>
              <w:spacing w:after="0"/>
              <w:rPr>
                <w:sz w:val="14"/>
                <w:szCs w:val="14"/>
                <w:color w:val="auto"/>
              </w:rPr>
            </w:pPr>
          </w:p>
        </w:tc>
      </w:tr>
      <w:tr>
        <w:trPr>
          <w:trHeight w:val="257"/>
        </w:trPr>
        <w:tc>
          <w:tcPr>
            <w:tcW w:w="7460" w:type="dxa"/>
            <w:vAlign w:val="bottom"/>
            <w:gridSpan w:val="6"/>
          </w:tcPr>
          <w:p>
            <w:pPr>
              <w:spacing w:after="0"/>
              <w:rPr>
                <w:sz w:val="20"/>
                <w:szCs w:val="20"/>
                <w:color w:val="auto"/>
              </w:rPr>
            </w:pPr>
            <w:r>
              <w:rPr>
                <w:rFonts w:ascii="Calibri" w:cs="Calibri" w:eastAsia="Calibri" w:hAnsi="Calibri"/>
                <w:sz w:val="14"/>
                <w:szCs w:val="14"/>
                <w:color w:val="auto"/>
              </w:rPr>
              <w:t>Indicate the number of shares outstanding of each of the issuer’s classes of common stock on the latest practcable date.</w:t>
            </w:r>
          </w:p>
        </w:tc>
        <w:tc>
          <w:tcPr>
            <w:tcW w:w="3780" w:type="dxa"/>
            <w:vAlign w:val="bottom"/>
          </w:tcPr>
          <w:p>
            <w:pPr>
              <w:spacing w:after="0"/>
              <w:rPr>
                <w:sz w:val="22"/>
                <w:szCs w:val="22"/>
                <w:color w:val="auto"/>
              </w:rPr>
            </w:pPr>
          </w:p>
        </w:tc>
      </w:tr>
      <w:tr>
        <w:trPr>
          <w:trHeight w:val="189"/>
        </w:trPr>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jc w:val="center"/>
              <w:ind w:left="108"/>
              <w:spacing w:after="0"/>
              <w:rPr>
                <w:sz w:val="20"/>
                <w:szCs w:val="20"/>
                <w:color w:val="auto"/>
              </w:rPr>
            </w:pPr>
            <w:r>
              <w:rPr>
                <w:rFonts w:ascii="Calibri" w:cs="Calibri" w:eastAsia="Calibri" w:hAnsi="Calibri"/>
                <w:sz w:val="14"/>
                <w:szCs w:val="14"/>
                <w:color w:val="auto"/>
                <w:w w:val="98"/>
              </w:rPr>
              <w:t>Class</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780" w:type="dxa"/>
            <w:vAlign w:val="bottom"/>
          </w:tcPr>
          <w:p>
            <w:pPr>
              <w:jc w:val="center"/>
              <w:ind w:right="1628"/>
              <w:spacing w:after="0"/>
              <w:rPr>
                <w:sz w:val="20"/>
                <w:szCs w:val="20"/>
                <w:color w:val="auto"/>
              </w:rPr>
            </w:pPr>
            <w:r>
              <w:rPr>
                <w:rFonts w:ascii="Calibri" w:cs="Calibri" w:eastAsia="Calibri" w:hAnsi="Calibri"/>
                <w:sz w:val="14"/>
                <w:szCs w:val="14"/>
                <w:color w:val="auto"/>
              </w:rPr>
              <w:t>Outstanding at February 20, 2024</w:t>
            </w:r>
          </w:p>
        </w:tc>
      </w:tr>
      <w:tr>
        <w:trPr>
          <w:trHeight w:val="33"/>
        </w:trPr>
        <w:tc>
          <w:tcPr>
            <w:tcW w:w="132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163"/>
        </w:trPr>
        <w:tc>
          <w:tcPr>
            <w:tcW w:w="1320" w:type="dxa"/>
            <w:vAlign w:val="bottom"/>
          </w:tcPr>
          <w:p>
            <w:pPr>
              <w:spacing w:after="0"/>
              <w:rPr>
                <w:sz w:val="14"/>
                <w:szCs w:val="14"/>
                <w:color w:val="auto"/>
              </w:rPr>
            </w:pPr>
          </w:p>
        </w:tc>
        <w:tc>
          <w:tcPr>
            <w:tcW w:w="4320" w:type="dxa"/>
            <w:vAlign w:val="bottom"/>
            <w:gridSpan w:val="3"/>
          </w:tcPr>
          <w:p>
            <w:pPr>
              <w:jc w:val="center"/>
              <w:ind w:right="1248"/>
              <w:spacing w:after="0" w:line="164" w:lineRule="exact"/>
              <w:rPr>
                <w:sz w:val="20"/>
                <w:szCs w:val="20"/>
                <w:color w:val="auto"/>
              </w:rPr>
            </w:pPr>
            <w:r>
              <w:rPr>
                <w:rFonts w:ascii="Calibri" w:cs="Calibri" w:eastAsia="Calibri" w:hAnsi="Calibri"/>
                <w:sz w:val="14"/>
                <w:szCs w:val="14"/>
                <w:b w:val="1"/>
                <w:bCs w:val="1"/>
                <w:color w:val="auto"/>
              </w:rPr>
              <w:t>Common Stock, $.01 par value per share</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780" w:type="dxa"/>
            <w:vAlign w:val="bottom"/>
          </w:tcPr>
          <w:p>
            <w:pPr>
              <w:jc w:val="center"/>
              <w:ind w:right="1628"/>
              <w:spacing w:after="0" w:line="164" w:lineRule="exact"/>
              <w:rPr>
                <w:sz w:val="20"/>
                <w:szCs w:val="20"/>
                <w:color w:val="auto"/>
              </w:rPr>
            </w:pPr>
            <w:r>
              <w:rPr>
                <w:rFonts w:ascii="Calibri" w:cs="Calibri" w:eastAsia="Calibri" w:hAnsi="Calibri"/>
                <w:sz w:val="14"/>
                <w:szCs w:val="14"/>
                <w:b w:val="1"/>
                <w:bCs w:val="1"/>
                <w:color w:val="auto"/>
              </w:rPr>
              <w:t>61,822,465 shares</w:t>
            </w:r>
          </w:p>
        </w:tc>
      </w:tr>
      <w:tr>
        <w:trPr>
          <w:trHeight w:val="350"/>
        </w:trPr>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60" w:type="dxa"/>
            <w:vAlign w:val="bottom"/>
            <w:gridSpan w:val="3"/>
          </w:tcPr>
          <w:p>
            <w:pPr>
              <w:ind w:left="900"/>
              <w:spacing w:after="0"/>
              <w:rPr>
                <w:sz w:val="20"/>
                <w:szCs w:val="20"/>
                <w:color w:val="auto"/>
              </w:rPr>
            </w:pPr>
            <w:r>
              <w:rPr>
                <w:rFonts w:ascii="Calibri" w:cs="Calibri" w:eastAsia="Calibri" w:hAnsi="Calibri"/>
                <w:sz w:val="14"/>
                <w:szCs w:val="14"/>
                <w:b w:val="1"/>
                <w:bCs w:val="1"/>
                <w:color w:val="auto"/>
              </w:rPr>
              <w:t>DOCUMENTS INCORPORATED BY REFERENCE</w:t>
            </w:r>
          </w:p>
        </w:tc>
        <w:tc>
          <w:tcPr>
            <w:tcW w:w="3780" w:type="dxa"/>
            <w:vAlign w:val="bottom"/>
          </w:tcPr>
          <w:p>
            <w:pPr>
              <w:spacing w:after="0"/>
              <w:rPr>
                <w:sz w:val="24"/>
                <w:szCs w:val="24"/>
                <w:color w:val="auto"/>
              </w:rPr>
            </w:pPr>
          </w:p>
        </w:tc>
      </w:tr>
      <w:tr>
        <w:trPr>
          <w:trHeight w:val="243"/>
        </w:trPr>
        <w:tc>
          <w:tcPr>
            <w:tcW w:w="1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40" w:type="dxa"/>
            <w:vAlign w:val="bottom"/>
          </w:tcPr>
          <w:p>
            <w:pPr>
              <w:jc w:val="center"/>
              <w:ind w:left="108"/>
              <w:spacing w:after="0"/>
              <w:rPr>
                <w:sz w:val="20"/>
                <w:szCs w:val="20"/>
                <w:color w:val="auto"/>
              </w:rPr>
            </w:pPr>
            <w:r>
              <w:rPr>
                <w:rFonts w:ascii="Calibri" w:cs="Calibri" w:eastAsia="Calibri" w:hAnsi="Calibri"/>
                <w:sz w:val="14"/>
                <w:szCs w:val="14"/>
                <w:color w:val="auto"/>
              </w:rPr>
              <w:t>Document</w:t>
            </w: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780" w:type="dxa"/>
            <w:vAlign w:val="bottom"/>
          </w:tcPr>
          <w:p>
            <w:pPr>
              <w:jc w:val="center"/>
              <w:ind w:right="1628"/>
              <w:spacing w:after="0"/>
              <w:rPr>
                <w:sz w:val="20"/>
                <w:szCs w:val="20"/>
                <w:color w:val="auto"/>
              </w:rPr>
            </w:pPr>
            <w:r>
              <w:rPr>
                <w:rFonts w:ascii="Calibri" w:cs="Calibri" w:eastAsia="Calibri" w:hAnsi="Calibri"/>
                <w:sz w:val="14"/>
                <w:szCs w:val="14"/>
                <w:color w:val="auto"/>
              </w:rPr>
              <w:t>Parts Into Which Incorporated</w:t>
            </w:r>
          </w:p>
        </w:tc>
      </w:tr>
      <w:tr>
        <w:trPr>
          <w:trHeight w:val="34"/>
        </w:trPr>
        <w:tc>
          <w:tcPr>
            <w:tcW w:w="56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163"/>
        </w:trPr>
        <w:tc>
          <w:tcPr>
            <w:tcW w:w="5640" w:type="dxa"/>
            <w:vAlign w:val="bottom"/>
            <w:gridSpan w:val="4"/>
          </w:tcPr>
          <w:p>
            <w:pPr>
              <w:ind w:left="20"/>
              <w:spacing w:after="0" w:line="164" w:lineRule="exact"/>
              <w:rPr>
                <w:sz w:val="20"/>
                <w:szCs w:val="20"/>
                <w:color w:val="auto"/>
              </w:rPr>
            </w:pPr>
            <w:r>
              <w:rPr>
                <w:rFonts w:ascii="Calibri" w:cs="Calibri" w:eastAsia="Calibri" w:hAnsi="Calibri"/>
                <w:sz w:val="14"/>
                <w:szCs w:val="14"/>
                <w:color w:val="auto"/>
              </w:rPr>
              <w:t>Proxy Statement for the Annual Meetng of Shareholders to be held May 16, 2024 (Proxy</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780" w:type="dxa"/>
            <w:vAlign w:val="bottom"/>
          </w:tcPr>
          <w:p>
            <w:pPr>
              <w:jc w:val="center"/>
              <w:ind w:right="1648"/>
              <w:spacing w:after="0" w:line="164" w:lineRule="exact"/>
              <w:rPr>
                <w:sz w:val="20"/>
                <w:szCs w:val="20"/>
                <w:color w:val="auto"/>
              </w:rPr>
            </w:pPr>
            <w:r>
              <w:rPr>
                <w:rFonts w:ascii="Calibri" w:cs="Calibri" w:eastAsia="Calibri" w:hAnsi="Calibri"/>
                <w:sz w:val="14"/>
                <w:szCs w:val="14"/>
                <w:color w:val="auto"/>
              </w:rPr>
              <w:t>Part III</w:t>
            </w:r>
          </w:p>
        </w:tc>
      </w:tr>
      <w:tr>
        <w:trPr>
          <w:trHeight w:val="175"/>
        </w:trPr>
        <w:tc>
          <w:tcPr>
            <w:tcW w:w="1320" w:type="dxa"/>
            <w:vAlign w:val="bottom"/>
          </w:tcPr>
          <w:p>
            <w:pPr>
              <w:ind w:left="20"/>
              <w:spacing w:after="0"/>
              <w:rPr>
                <w:sz w:val="20"/>
                <w:szCs w:val="20"/>
                <w:color w:val="auto"/>
              </w:rPr>
            </w:pPr>
            <w:r>
              <w:rPr>
                <w:rFonts w:ascii="Calibri" w:cs="Calibri" w:eastAsia="Calibri" w:hAnsi="Calibri"/>
                <w:sz w:val="14"/>
                <w:szCs w:val="14"/>
                <w:color w:val="auto"/>
              </w:rPr>
              <w:t>Statement)</w:t>
            </w: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780" w:type="dxa"/>
            <w:vAlign w:val="bottom"/>
          </w:tcPr>
          <w:p>
            <w:pPr>
              <w:spacing w:after="0"/>
              <w:rPr>
                <w:sz w:val="15"/>
                <w:szCs w:val="15"/>
                <w:color w:val="auto"/>
              </w:rPr>
            </w:pPr>
          </w:p>
        </w:tc>
      </w:tr>
      <w:tr>
        <w:trPr>
          <w:trHeight w:val="34"/>
        </w:trPr>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581"/>
        </w:trPr>
        <w:tc>
          <w:tcPr>
            <w:tcW w:w="1320" w:type="dxa"/>
            <w:vAlign w:val="bottom"/>
          </w:tcPr>
          <w:p>
            <w:pPr>
              <w:ind w:left="100"/>
              <w:spacing w:after="0"/>
              <w:rPr>
                <w:sz w:val="20"/>
                <w:szCs w:val="20"/>
                <w:color w:val="auto"/>
              </w:rPr>
            </w:pPr>
            <w:r>
              <w:rPr>
                <w:rFonts w:ascii="Calibri" w:cs="Calibri" w:eastAsia="Calibri" w:hAnsi="Calibri"/>
                <w:sz w:val="14"/>
                <w:szCs w:val="14"/>
                <w:b w:val="1"/>
                <w:bCs w:val="1"/>
                <w:color w:val="auto"/>
              </w:rPr>
              <w:t>Auditor Firm Id:</w:t>
            </w:r>
          </w:p>
        </w:tc>
        <w:tc>
          <w:tcPr>
            <w:tcW w:w="740" w:type="dxa"/>
            <w:vAlign w:val="bottom"/>
          </w:tcPr>
          <w:p>
            <w:pPr>
              <w:jc w:val="right"/>
              <w:ind w:right="188"/>
              <w:spacing w:after="0"/>
              <w:rPr>
                <w:sz w:val="20"/>
                <w:szCs w:val="20"/>
                <w:color w:val="auto"/>
              </w:rPr>
            </w:pPr>
            <w:r>
              <w:rPr>
                <w:rFonts w:ascii="Calibri" w:cs="Calibri" w:eastAsia="Calibri" w:hAnsi="Calibri"/>
                <w:sz w:val="14"/>
                <w:szCs w:val="14"/>
                <w:b w:val="1"/>
                <w:bCs w:val="1"/>
                <w:color w:val="auto"/>
              </w:rPr>
              <w:t>238</w:t>
            </w:r>
          </w:p>
        </w:tc>
        <w:tc>
          <w:tcPr>
            <w:tcW w:w="1340" w:type="dxa"/>
            <w:vAlign w:val="bottom"/>
          </w:tcPr>
          <w:p>
            <w:pPr>
              <w:ind w:left="260"/>
              <w:spacing w:after="0"/>
              <w:rPr>
                <w:sz w:val="20"/>
                <w:szCs w:val="20"/>
                <w:color w:val="auto"/>
              </w:rPr>
            </w:pPr>
            <w:r>
              <w:rPr>
                <w:rFonts w:ascii="Calibri" w:cs="Calibri" w:eastAsia="Calibri" w:hAnsi="Calibri"/>
                <w:sz w:val="14"/>
                <w:szCs w:val="14"/>
                <w:b w:val="1"/>
                <w:bCs w:val="1"/>
                <w:color w:val="auto"/>
              </w:rPr>
              <w:t>Auditor Name:</w:t>
            </w:r>
          </w:p>
        </w:tc>
        <w:tc>
          <w:tcPr>
            <w:tcW w:w="2240" w:type="dxa"/>
            <w:vAlign w:val="bottom"/>
          </w:tcPr>
          <w:p>
            <w:pPr>
              <w:ind w:left="200"/>
              <w:spacing w:after="0"/>
              <w:rPr>
                <w:sz w:val="20"/>
                <w:szCs w:val="20"/>
                <w:color w:val="auto"/>
              </w:rPr>
            </w:pPr>
            <w:r>
              <w:rPr>
                <w:rFonts w:ascii="Calibri" w:cs="Calibri" w:eastAsia="Calibri" w:hAnsi="Calibri"/>
                <w:sz w:val="14"/>
                <w:szCs w:val="14"/>
                <w:b w:val="1"/>
                <w:bCs w:val="1"/>
                <w:color w:val="auto"/>
              </w:rPr>
              <w:t>PricewaterhouseCoopers LLP</w:t>
            </w:r>
          </w:p>
        </w:tc>
        <w:tc>
          <w:tcPr>
            <w:tcW w:w="100" w:type="dxa"/>
            <w:vAlign w:val="bottom"/>
          </w:tcPr>
          <w:p>
            <w:pPr>
              <w:spacing w:after="0"/>
              <w:rPr>
                <w:sz w:val="24"/>
                <w:szCs w:val="24"/>
                <w:color w:val="auto"/>
              </w:rPr>
            </w:pPr>
          </w:p>
        </w:tc>
        <w:tc>
          <w:tcPr>
            <w:tcW w:w="1720" w:type="dxa"/>
            <w:vAlign w:val="bottom"/>
          </w:tcPr>
          <w:p>
            <w:pPr>
              <w:ind w:left="620"/>
              <w:spacing w:after="0"/>
              <w:rPr>
                <w:sz w:val="20"/>
                <w:szCs w:val="20"/>
                <w:color w:val="auto"/>
              </w:rPr>
            </w:pPr>
            <w:r>
              <w:rPr>
                <w:rFonts w:ascii="Calibri" w:cs="Calibri" w:eastAsia="Calibri" w:hAnsi="Calibri"/>
                <w:sz w:val="14"/>
                <w:szCs w:val="14"/>
                <w:b w:val="1"/>
                <w:bCs w:val="1"/>
                <w:color w:val="auto"/>
              </w:rPr>
              <w:t>Auditor Locaton:</w:t>
            </w:r>
          </w:p>
        </w:tc>
        <w:tc>
          <w:tcPr>
            <w:tcW w:w="3780" w:type="dxa"/>
            <w:vAlign w:val="bottom"/>
          </w:tcPr>
          <w:p>
            <w:pPr>
              <w:ind w:left="620"/>
              <w:spacing w:after="0"/>
              <w:rPr>
                <w:sz w:val="20"/>
                <w:szCs w:val="20"/>
                <w:color w:val="auto"/>
              </w:rPr>
            </w:pPr>
            <w:r>
              <w:rPr>
                <w:rFonts w:ascii="Calibri" w:cs="Calibri" w:eastAsia="Calibri" w:hAnsi="Calibri"/>
                <w:sz w:val="14"/>
                <w:szCs w:val="14"/>
                <w:b w:val="1"/>
                <w:bCs w:val="1"/>
                <w:color w:val="auto"/>
              </w:rPr>
              <w:t>Raleigh, North Carolina, United States</w:t>
            </w:r>
          </w:p>
        </w:tc>
      </w:tr>
      <w:tr>
        <w:trPr>
          <w:trHeight w:val="263"/>
        </w:trPr>
        <w:tc>
          <w:tcPr>
            <w:tcW w:w="1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3780" w:type="dxa"/>
            <w:vAlign w:val="bottom"/>
            <w:tcBorders>
              <w:bottom w:val="single" w:sz="8" w:color="auto"/>
            </w:tcBorders>
          </w:tcPr>
          <w:p>
            <w:pPr>
              <w:spacing w:after="0"/>
              <w:rPr>
                <w:sz w:val="22"/>
                <w:szCs w:val="22"/>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r>
      <w:tr>
        <w:trPr>
          <w:trHeight w:val="986"/>
        </w:trPr>
        <w:tc>
          <w:tcPr>
            <w:tcW w:w="1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type w:val="continuous"/>
        </w:sectPr>
      </w:pPr>
    </w:p>
    <w:bookmarkStart w:id="1" w:name="page2"/>
    <w:bookmarkEnd w:id="1"/>
    <w:p>
      <w:pPr>
        <w:jc w:val="center"/>
        <w:ind w:right="100"/>
        <w:spacing w:after="0"/>
        <w:rPr>
          <w:sz w:val="20"/>
          <w:szCs w:val="20"/>
          <w:color w:val="auto"/>
        </w:rPr>
      </w:pPr>
      <w:r>
        <w:rPr>
          <w:rFonts w:ascii="Calibri" w:cs="Calibri" w:eastAsia="Calibri" w:hAnsi="Calibri"/>
          <w:sz w:val="43"/>
          <w:szCs w:val="43"/>
          <w:color w:val="auto"/>
        </w:rPr>
        <w:t>TABLE OF CONTENTS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540" w:type="dxa"/>
            <w:vAlign w:val="bottom"/>
            <w:tcBorders>
              <w:bottom w:val="single" w:sz="8" w:color="007DC6"/>
            </w:tcBorders>
          </w:tcPr>
          <w:p>
            <w:pPr>
              <w:spacing w:after="0"/>
              <w:rPr>
                <w:sz w:val="20"/>
                <w:szCs w:val="20"/>
                <w:color w:val="auto"/>
              </w:rPr>
            </w:pPr>
            <w:r>
              <w:rPr>
                <w:rFonts w:ascii="Calibri" w:cs="Calibri" w:eastAsia="Calibri" w:hAnsi="Calibri"/>
                <w:sz w:val="20"/>
                <w:szCs w:val="20"/>
                <w:b w:val="1"/>
                <w:bCs w:val="1"/>
                <w:color w:val="007DC6"/>
                <w:w w:val="96"/>
              </w:rPr>
              <w:t>PART I</w:t>
            </w:r>
          </w:p>
        </w:tc>
        <w:tc>
          <w:tcPr>
            <w:tcW w:w="1600" w:type="dxa"/>
            <w:vAlign w:val="bottom"/>
            <w:gridSpan w:val="5"/>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w:t>
            </w:r>
          </w:p>
        </w:tc>
      </w:tr>
      <w:tr>
        <w:trPr>
          <w:trHeight w:val="291"/>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w:t>
            </w:r>
          </w:p>
        </w:tc>
        <w:tc>
          <w:tcPr>
            <w:tcW w:w="640" w:type="dxa"/>
            <w:vAlign w:val="bottom"/>
            <w:tcBorders>
              <w:bottom w:val="single" w:sz="8" w:color="007DC6"/>
            </w:tcBorders>
            <w:gridSpan w:val="2"/>
          </w:tcPr>
          <w:p>
            <w:pPr>
              <w:spacing w:after="0"/>
              <w:rPr>
                <w:sz w:val="20"/>
                <w:szCs w:val="20"/>
                <w:color w:val="auto"/>
              </w:rPr>
            </w:pPr>
            <w:r>
              <w:rPr>
                <w:rFonts w:ascii="Calibri" w:cs="Calibri" w:eastAsia="Calibri" w:hAnsi="Calibri"/>
                <w:sz w:val="16"/>
                <w:szCs w:val="16"/>
                <w:b w:val="1"/>
                <w:bCs w:val="1"/>
                <w:color w:val="007DC6"/>
                <w:w w:val="95"/>
              </w:rPr>
              <w:t>BUSINESS</w:t>
            </w:r>
          </w:p>
        </w:tc>
        <w:tc>
          <w:tcPr>
            <w:tcW w:w="6780" w:type="dxa"/>
            <w:vAlign w:val="bottom"/>
            <w:gridSpan w:val="23"/>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1A.</w:t>
            </w:r>
          </w:p>
        </w:tc>
        <w:tc>
          <w:tcPr>
            <w:tcW w:w="920" w:type="dxa"/>
            <w:vAlign w:val="bottom"/>
            <w:tcBorders>
              <w:bottom w:val="single" w:sz="8" w:color="007DC6"/>
            </w:tcBorders>
            <w:gridSpan w:val="5"/>
          </w:tcPr>
          <w:p>
            <w:pPr>
              <w:spacing w:after="0"/>
              <w:rPr>
                <w:sz w:val="20"/>
                <w:szCs w:val="20"/>
                <w:color w:val="auto"/>
              </w:rPr>
            </w:pPr>
            <w:r>
              <w:rPr>
                <w:rFonts w:ascii="Calibri" w:cs="Calibri" w:eastAsia="Calibri" w:hAnsi="Calibri"/>
                <w:sz w:val="16"/>
                <w:szCs w:val="16"/>
                <w:b w:val="1"/>
                <w:bCs w:val="1"/>
                <w:color w:val="007DC6"/>
                <w:w w:val="95"/>
              </w:rPr>
              <w:t>RISK FACTORS</w:t>
            </w:r>
          </w:p>
        </w:tc>
        <w:tc>
          <w:tcPr>
            <w:tcW w:w="6500" w:type="dxa"/>
            <w:vAlign w:val="bottom"/>
            <w:gridSpan w:val="20"/>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14</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1B.</w:t>
            </w:r>
          </w:p>
        </w:tc>
        <w:tc>
          <w:tcPr>
            <w:tcW w:w="7420" w:type="dxa"/>
            <w:vAlign w:val="bottom"/>
            <w:gridSpan w:val="25"/>
          </w:tcPr>
          <w:p>
            <w:pPr>
              <w:spacing w:after="0"/>
              <w:rPr>
                <w:sz w:val="20"/>
                <w:szCs w:val="20"/>
                <w:color w:val="auto"/>
              </w:rPr>
            </w:pPr>
            <w:r>
              <w:rPr>
                <w:rFonts w:ascii="Calibri" w:cs="Calibri" w:eastAsia="Calibri" w:hAnsi="Calibri"/>
                <w:sz w:val="16"/>
                <w:szCs w:val="16"/>
                <w:b w:val="1"/>
                <w:bCs w:val="1"/>
                <w:color w:val="007DC6"/>
              </w:rPr>
              <w:t>UNRESOLVED STAFF COMMENTS</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27</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1C.</w:t>
            </w:r>
          </w:p>
        </w:tc>
        <w:tc>
          <w:tcPr>
            <w:tcW w:w="1060" w:type="dxa"/>
            <w:vAlign w:val="bottom"/>
            <w:tcBorders>
              <w:top w:val="single" w:sz="8" w:color="007DC6"/>
              <w:bottom w:val="single" w:sz="8" w:color="007DC6"/>
            </w:tcBorders>
            <w:gridSpan w:val="6"/>
          </w:tcPr>
          <w:p>
            <w:pPr>
              <w:spacing w:after="0"/>
              <w:rPr>
                <w:sz w:val="20"/>
                <w:szCs w:val="20"/>
                <w:color w:val="auto"/>
              </w:rPr>
            </w:pPr>
            <w:r>
              <w:rPr>
                <w:rFonts w:ascii="Calibri" w:cs="Calibri" w:eastAsia="Calibri" w:hAnsi="Calibri"/>
                <w:sz w:val="16"/>
                <w:szCs w:val="16"/>
                <w:b w:val="1"/>
                <w:bCs w:val="1"/>
                <w:color w:val="007DC6"/>
                <w:w w:val="97"/>
              </w:rPr>
              <w:t>CYBERSECURITY</w:t>
            </w:r>
          </w:p>
        </w:tc>
        <w:tc>
          <w:tcPr>
            <w:tcW w:w="1100" w:type="dxa"/>
            <w:vAlign w:val="bottom"/>
            <w:tcBorders>
              <w:top w:val="single" w:sz="8" w:color="007DC6"/>
            </w:tcBorders>
            <w:gridSpan w:val="8"/>
          </w:tcPr>
          <w:p>
            <w:pPr>
              <w:spacing w:after="0"/>
              <w:rPr>
                <w:sz w:val="24"/>
                <w:szCs w:val="24"/>
                <w:color w:val="auto"/>
              </w:rPr>
            </w:pPr>
          </w:p>
        </w:tc>
        <w:tc>
          <w:tcPr>
            <w:tcW w:w="5260" w:type="dxa"/>
            <w:vAlign w:val="bottom"/>
            <w:gridSpan w:val="11"/>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28</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2.</w:t>
            </w:r>
          </w:p>
        </w:tc>
        <w:tc>
          <w:tcPr>
            <w:tcW w:w="800" w:type="dxa"/>
            <w:vAlign w:val="bottom"/>
            <w:tcBorders>
              <w:bottom w:val="single" w:sz="8" w:color="007DC6"/>
            </w:tcBorders>
            <w:gridSpan w:val="4"/>
          </w:tcPr>
          <w:p>
            <w:pPr>
              <w:spacing w:after="0"/>
              <w:rPr>
                <w:sz w:val="20"/>
                <w:szCs w:val="20"/>
                <w:color w:val="auto"/>
              </w:rPr>
            </w:pPr>
            <w:r>
              <w:rPr>
                <w:rFonts w:ascii="Calibri" w:cs="Calibri" w:eastAsia="Calibri" w:hAnsi="Calibri"/>
                <w:sz w:val="16"/>
                <w:szCs w:val="16"/>
                <w:b w:val="1"/>
                <w:bCs w:val="1"/>
                <w:color w:val="007DC6"/>
                <w:w w:val="95"/>
              </w:rPr>
              <w:t>PROPERTIES</w:t>
            </w:r>
          </w:p>
        </w:tc>
        <w:tc>
          <w:tcPr>
            <w:tcW w:w="6620" w:type="dxa"/>
            <w:vAlign w:val="bottom"/>
            <w:gridSpan w:val="21"/>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29</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3.</w:t>
            </w:r>
          </w:p>
        </w:tc>
        <w:tc>
          <w:tcPr>
            <w:tcW w:w="1400" w:type="dxa"/>
            <w:vAlign w:val="bottom"/>
            <w:tcBorders>
              <w:bottom w:val="single" w:sz="8" w:color="007DC6"/>
            </w:tcBorders>
            <w:gridSpan w:val="8"/>
          </w:tcPr>
          <w:p>
            <w:pPr>
              <w:spacing w:after="0"/>
              <w:rPr>
                <w:sz w:val="20"/>
                <w:szCs w:val="20"/>
                <w:color w:val="auto"/>
              </w:rPr>
            </w:pPr>
            <w:r>
              <w:rPr>
                <w:rFonts w:ascii="Calibri" w:cs="Calibri" w:eastAsia="Calibri" w:hAnsi="Calibri"/>
                <w:sz w:val="16"/>
                <w:szCs w:val="16"/>
                <w:b w:val="1"/>
                <w:bCs w:val="1"/>
                <w:color w:val="007DC6"/>
                <w:w w:val="98"/>
              </w:rPr>
              <w:t>LEGAL PROCEEDINGS</w:t>
            </w:r>
          </w:p>
        </w:tc>
        <w:tc>
          <w:tcPr>
            <w:tcW w:w="6020" w:type="dxa"/>
            <w:vAlign w:val="bottom"/>
            <w:gridSpan w:val="17"/>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33</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4.</w:t>
            </w:r>
          </w:p>
        </w:tc>
        <w:tc>
          <w:tcPr>
            <w:tcW w:w="7420" w:type="dxa"/>
            <w:vAlign w:val="bottom"/>
            <w:gridSpan w:val="25"/>
          </w:tcPr>
          <w:p>
            <w:pPr>
              <w:spacing w:after="0"/>
              <w:rPr>
                <w:sz w:val="20"/>
                <w:szCs w:val="20"/>
                <w:color w:val="auto"/>
              </w:rPr>
            </w:pPr>
            <w:r>
              <w:rPr>
                <w:rFonts w:ascii="Calibri" w:cs="Calibri" w:eastAsia="Calibri" w:hAnsi="Calibri"/>
                <w:sz w:val="16"/>
                <w:szCs w:val="16"/>
                <w:b w:val="1"/>
                <w:bCs w:val="1"/>
                <w:color w:val="007DC6"/>
              </w:rPr>
              <w:t>MINE SAFETY DISCLOSURES</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33</w:t>
            </w: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right w:val="single" w:sz="8" w:color="007DC6"/>
            </w:tcBorders>
          </w:tcPr>
          <w:p>
            <w:pPr>
              <w:spacing w:after="0" w:line="20" w:lineRule="exact"/>
              <w:rPr>
                <w:sz w:val="1"/>
                <w:szCs w:val="1"/>
                <w:color w:val="auto"/>
              </w:rPr>
            </w:pPr>
          </w:p>
        </w:tc>
        <w:tc>
          <w:tcPr>
            <w:tcW w:w="620" w:type="dxa"/>
            <w:vAlign w:val="bottom"/>
            <w:shd w:val="clear" w:color="auto" w:fill="007DC6"/>
          </w:tcPr>
          <w:p>
            <w:pPr>
              <w:spacing w:after="0" w:line="20" w:lineRule="exact"/>
              <w:rPr>
                <w:sz w:val="1"/>
                <w:szCs w:val="1"/>
                <w:color w:val="auto"/>
              </w:rPr>
            </w:pPr>
          </w:p>
        </w:tc>
        <w:tc>
          <w:tcPr>
            <w:tcW w:w="60" w:type="dxa"/>
            <w:vAlign w:val="bottom"/>
            <w:gridSpan w:val="2"/>
            <w:shd w:val="clear" w:color="auto" w:fill="007DC6"/>
          </w:tcPr>
          <w:p>
            <w:pPr>
              <w:spacing w:after="0" w:line="20" w:lineRule="exact"/>
              <w:rPr>
                <w:sz w:val="1"/>
                <w:szCs w:val="1"/>
                <w:color w:val="auto"/>
              </w:rPr>
            </w:pPr>
          </w:p>
        </w:tc>
        <w:tc>
          <w:tcPr>
            <w:tcW w:w="600" w:type="dxa"/>
            <w:vAlign w:val="bottom"/>
            <w:gridSpan w:val="4"/>
            <w:shd w:val="clear" w:color="auto" w:fill="007DC6"/>
          </w:tcPr>
          <w:p>
            <w:pPr>
              <w:spacing w:after="0" w:line="20" w:lineRule="exact"/>
              <w:rPr>
                <w:sz w:val="1"/>
                <w:szCs w:val="1"/>
                <w:color w:val="auto"/>
              </w:rPr>
            </w:pPr>
          </w:p>
        </w:tc>
        <w:tc>
          <w:tcPr>
            <w:tcW w:w="180" w:type="dxa"/>
            <w:vAlign w:val="bottom"/>
            <w:gridSpan w:val="2"/>
            <w:shd w:val="clear" w:color="auto" w:fill="007DC6"/>
          </w:tcPr>
          <w:p>
            <w:pPr>
              <w:spacing w:after="0" w:line="20" w:lineRule="exact"/>
              <w:rPr>
                <w:sz w:val="1"/>
                <w:szCs w:val="1"/>
                <w:color w:val="auto"/>
              </w:rPr>
            </w:pPr>
          </w:p>
        </w:tc>
        <w:tc>
          <w:tcPr>
            <w:tcW w:w="80" w:type="dxa"/>
            <w:vAlign w:val="bottom"/>
            <w:shd w:val="clear" w:color="auto" w:fill="007DC6"/>
          </w:tcPr>
          <w:p>
            <w:pPr>
              <w:spacing w:after="0" w:line="20" w:lineRule="exact"/>
              <w:rPr>
                <w:sz w:val="1"/>
                <w:szCs w:val="1"/>
                <w:color w:val="auto"/>
              </w:rPr>
            </w:pPr>
          </w:p>
        </w:tc>
        <w:tc>
          <w:tcPr>
            <w:tcW w:w="280" w:type="dxa"/>
            <w:vAlign w:val="bottom"/>
            <w:shd w:val="clear" w:color="auto" w:fill="007DC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560" w:type="dxa"/>
            <w:vAlign w:val="bottom"/>
            <w:gridSpan w:val="31"/>
          </w:tcPr>
          <w:p>
            <w:pPr>
              <w:spacing w:after="0"/>
              <w:rPr>
                <w:sz w:val="20"/>
                <w:szCs w:val="20"/>
                <w:color w:val="auto"/>
              </w:rPr>
            </w:pPr>
            <w:r>
              <w:rPr>
                <w:rFonts w:ascii="Calibri" w:cs="Calibri" w:eastAsia="Calibri" w:hAnsi="Calibri"/>
                <w:sz w:val="20"/>
                <w:szCs w:val="20"/>
                <w:b w:val="1"/>
                <w:bCs w:val="1"/>
                <w:color w:val="007DC6"/>
              </w:rPr>
              <w:t>INFORMATION ABOUT OUR EXECUTIVE OFFICERS</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33</w:t>
            </w:r>
          </w:p>
        </w:tc>
      </w:tr>
      <w:tr>
        <w:trPr>
          <w:trHeight w:val="480"/>
        </w:trPr>
        <w:tc>
          <w:tcPr>
            <w:tcW w:w="20" w:type="dxa"/>
            <w:vAlign w:val="bottom"/>
          </w:tcPr>
          <w:p>
            <w:pPr>
              <w:spacing w:after="0"/>
              <w:rPr>
                <w:sz w:val="24"/>
                <w:szCs w:val="24"/>
                <w:color w:val="auto"/>
              </w:rPr>
            </w:pPr>
          </w:p>
        </w:tc>
        <w:tc>
          <w:tcPr>
            <w:tcW w:w="2140" w:type="dxa"/>
            <w:vAlign w:val="bottom"/>
            <w:tcBorders>
              <w:top w:val="single" w:sz="8" w:color="007DC6"/>
            </w:tcBorders>
            <w:gridSpan w:val="6"/>
          </w:tcPr>
          <w:p>
            <w:pPr>
              <w:spacing w:after="0"/>
              <w:rPr>
                <w:sz w:val="20"/>
                <w:szCs w:val="20"/>
                <w:color w:val="auto"/>
              </w:rPr>
            </w:pPr>
            <w:r>
              <w:rPr>
                <w:rFonts w:ascii="Calibri" w:cs="Calibri" w:eastAsia="Calibri" w:hAnsi="Calibri"/>
                <w:sz w:val="20"/>
                <w:szCs w:val="20"/>
                <w:b w:val="1"/>
                <w:bCs w:val="1"/>
                <w:color w:val="007DC6"/>
              </w:rPr>
              <w:t>PART II</w:t>
            </w:r>
          </w:p>
        </w:tc>
        <w:tc>
          <w:tcPr>
            <w:tcW w:w="620" w:type="dxa"/>
            <w:vAlign w:val="bottom"/>
            <w:tcBorders>
              <w:top w:val="single" w:sz="8" w:color="007DC6"/>
            </w:tcBorders>
          </w:tcPr>
          <w:p>
            <w:pPr>
              <w:spacing w:after="0"/>
              <w:rPr>
                <w:sz w:val="24"/>
                <w:szCs w:val="24"/>
                <w:color w:val="auto"/>
              </w:rPr>
            </w:pPr>
          </w:p>
        </w:tc>
        <w:tc>
          <w:tcPr>
            <w:tcW w:w="2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40" w:type="dxa"/>
            <w:vAlign w:val="bottom"/>
            <w:tcBorders>
              <w:top w:val="single" w:sz="8" w:color="007DC6"/>
            </w:tcBorders>
          </w:tcPr>
          <w:p>
            <w:pPr>
              <w:spacing w:after="0"/>
              <w:rPr>
                <w:sz w:val="24"/>
                <w:szCs w:val="24"/>
                <w:color w:val="auto"/>
              </w:rPr>
            </w:pPr>
          </w:p>
        </w:tc>
        <w:tc>
          <w:tcPr>
            <w:tcW w:w="22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60" w:type="dxa"/>
            <w:vAlign w:val="bottom"/>
            <w:tcBorders>
              <w:top w:val="single" w:sz="8" w:color="007DC6"/>
            </w:tcBorders>
          </w:tcPr>
          <w:p>
            <w:pPr>
              <w:spacing w:after="0"/>
              <w:rPr>
                <w:sz w:val="24"/>
                <w:szCs w:val="24"/>
                <w:color w:val="auto"/>
              </w:rPr>
            </w:pPr>
          </w:p>
        </w:tc>
        <w:tc>
          <w:tcPr>
            <w:tcW w:w="80" w:type="dxa"/>
            <w:vAlign w:val="bottom"/>
            <w:tcBorders>
              <w:top w:val="single" w:sz="8" w:color="007DC6"/>
            </w:tcBorders>
          </w:tcPr>
          <w:p>
            <w:pPr>
              <w:spacing w:after="0"/>
              <w:rPr>
                <w:sz w:val="24"/>
                <w:szCs w:val="24"/>
                <w:color w:val="auto"/>
              </w:rPr>
            </w:pPr>
          </w:p>
        </w:tc>
        <w:tc>
          <w:tcPr>
            <w:tcW w:w="28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34</w:t>
            </w: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7DC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5.</w:t>
            </w:r>
          </w:p>
        </w:tc>
        <w:tc>
          <w:tcPr>
            <w:tcW w:w="7420" w:type="dxa"/>
            <w:vAlign w:val="bottom"/>
            <w:tcBorders>
              <w:bottom w:val="single" w:sz="8" w:color="007DC6"/>
            </w:tcBorders>
            <w:gridSpan w:val="25"/>
          </w:tcPr>
          <w:p>
            <w:pPr>
              <w:spacing w:after="0"/>
              <w:rPr>
                <w:sz w:val="20"/>
                <w:szCs w:val="20"/>
                <w:color w:val="auto"/>
              </w:rPr>
            </w:pPr>
            <w:r>
              <w:rPr>
                <w:rFonts w:ascii="Calibri" w:cs="Calibri" w:eastAsia="Calibri" w:hAnsi="Calibri"/>
                <w:sz w:val="16"/>
                <w:szCs w:val="16"/>
                <w:b w:val="1"/>
                <w:bCs w:val="1"/>
                <w:color w:val="007DC6"/>
              </w:rPr>
              <w:t>MARKET FOR REGISTRANT’S COMMON EQUITY, RELATED STOCKHOLDER MATTERS AND ISSUER PURCHASES OF</w:t>
            </w:r>
          </w:p>
        </w:tc>
        <w:tc>
          <w:tcPr>
            <w:tcW w:w="166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80" w:type="dxa"/>
            <w:vAlign w:val="bottom"/>
            <w:tcBorders>
              <w:bottom w:val="single" w:sz="8" w:color="007DC6"/>
            </w:tcBorders>
            <w:gridSpan w:val="7"/>
          </w:tcPr>
          <w:p>
            <w:pPr>
              <w:spacing w:after="0" w:line="183" w:lineRule="exact"/>
              <w:rPr>
                <w:sz w:val="20"/>
                <w:szCs w:val="20"/>
                <w:color w:val="auto"/>
              </w:rPr>
            </w:pPr>
            <w:r>
              <w:rPr>
                <w:rFonts w:ascii="Calibri" w:cs="Calibri" w:eastAsia="Calibri" w:hAnsi="Calibri"/>
                <w:sz w:val="16"/>
                <w:szCs w:val="16"/>
                <w:b w:val="1"/>
                <w:bCs w:val="1"/>
                <w:color w:val="007DC6"/>
                <w:w w:val="98"/>
              </w:rPr>
              <w:t>EQUITY SECURITIES</w:t>
            </w:r>
          </w:p>
        </w:tc>
        <w:tc>
          <w:tcPr>
            <w:tcW w:w="6140" w:type="dxa"/>
            <w:vAlign w:val="bottom"/>
            <w:gridSpan w:val="18"/>
          </w:tcPr>
          <w:p>
            <w:pPr>
              <w:spacing w:after="0"/>
              <w:rPr>
                <w:sz w:val="15"/>
                <w:szCs w:val="15"/>
                <w:color w:val="auto"/>
              </w:rPr>
            </w:pPr>
          </w:p>
        </w:tc>
        <w:tc>
          <w:tcPr>
            <w:tcW w:w="1660" w:type="dxa"/>
            <w:vAlign w:val="bottom"/>
          </w:tcPr>
          <w:p>
            <w:pPr>
              <w:jc w:val="right"/>
              <w:spacing w:after="0" w:line="183" w:lineRule="exact"/>
              <w:rPr>
                <w:sz w:val="20"/>
                <w:szCs w:val="20"/>
                <w:color w:val="auto"/>
              </w:rPr>
            </w:pPr>
            <w:r>
              <w:rPr>
                <w:rFonts w:ascii="Calibri" w:cs="Calibri" w:eastAsia="Calibri" w:hAnsi="Calibri"/>
                <w:sz w:val="16"/>
                <w:szCs w:val="16"/>
                <w:color w:val="auto"/>
              </w:rPr>
              <w:t>34</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6.</w:t>
            </w:r>
          </w:p>
        </w:tc>
        <w:tc>
          <w:tcPr>
            <w:tcW w:w="680" w:type="dxa"/>
            <w:vAlign w:val="bottom"/>
            <w:tcBorders>
              <w:bottom w:val="single" w:sz="8" w:color="007DC6"/>
            </w:tcBorders>
            <w:gridSpan w:val="3"/>
          </w:tcPr>
          <w:p>
            <w:pPr>
              <w:spacing w:after="0"/>
              <w:rPr>
                <w:sz w:val="20"/>
                <w:szCs w:val="20"/>
                <w:color w:val="auto"/>
              </w:rPr>
            </w:pPr>
            <w:r>
              <w:rPr>
                <w:rFonts w:ascii="Calibri" w:cs="Calibri" w:eastAsia="Calibri" w:hAnsi="Calibri"/>
                <w:sz w:val="16"/>
                <w:szCs w:val="16"/>
                <w:b w:val="1"/>
                <w:bCs w:val="1"/>
                <w:color w:val="007DC6"/>
                <w:w w:val="96"/>
              </w:rPr>
              <w:t>RESERVED</w:t>
            </w:r>
          </w:p>
        </w:tc>
        <w:tc>
          <w:tcPr>
            <w:tcW w:w="6740" w:type="dxa"/>
            <w:vAlign w:val="bottom"/>
            <w:gridSpan w:val="22"/>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35</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7.</w:t>
            </w:r>
          </w:p>
        </w:tc>
        <w:tc>
          <w:tcPr>
            <w:tcW w:w="7420" w:type="dxa"/>
            <w:vAlign w:val="bottom"/>
            <w:gridSpan w:val="25"/>
          </w:tcPr>
          <w:p>
            <w:pPr>
              <w:spacing w:after="0"/>
              <w:rPr>
                <w:sz w:val="20"/>
                <w:szCs w:val="20"/>
                <w:color w:val="auto"/>
              </w:rPr>
            </w:pPr>
            <w:r>
              <w:rPr>
                <w:rFonts w:ascii="Calibri" w:cs="Calibri" w:eastAsia="Calibri" w:hAnsi="Calibri"/>
                <w:sz w:val="16"/>
                <w:szCs w:val="16"/>
                <w:b w:val="1"/>
                <w:bCs w:val="1"/>
                <w:color w:val="007DC6"/>
              </w:rPr>
              <w:t>MANAGEMENT’S DISCUSSION AND ANALYSIS OF FINANCIAL CONDITION AND RESULTS OF OPERATIONS</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36</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7A.</w:t>
            </w:r>
          </w:p>
        </w:tc>
        <w:tc>
          <w:tcPr>
            <w:tcW w:w="6880" w:type="dxa"/>
            <w:vAlign w:val="bottom"/>
            <w:tcBorders>
              <w:top w:val="single" w:sz="8" w:color="007DC6"/>
            </w:tcBorders>
            <w:gridSpan w:val="22"/>
          </w:tcPr>
          <w:p>
            <w:pPr>
              <w:spacing w:after="0"/>
              <w:rPr>
                <w:sz w:val="20"/>
                <w:szCs w:val="20"/>
                <w:color w:val="auto"/>
              </w:rPr>
            </w:pPr>
            <w:r>
              <w:rPr>
                <w:rFonts w:ascii="Calibri" w:cs="Calibri" w:eastAsia="Calibri" w:hAnsi="Calibri"/>
                <w:sz w:val="16"/>
                <w:szCs w:val="16"/>
                <w:b w:val="1"/>
                <w:bCs w:val="1"/>
                <w:color w:val="007DC6"/>
              </w:rPr>
              <w:t>QUANTITATIVE AND QUALITATIVE DISCLOSURES ABOUT MARKET RISK</w:t>
            </w:r>
          </w:p>
        </w:tc>
        <w:tc>
          <w:tcPr>
            <w:tcW w:w="540" w:type="dxa"/>
            <w:vAlign w:val="bottom"/>
            <w:gridSpan w:val="3"/>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66</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8.</w:t>
            </w:r>
          </w:p>
        </w:tc>
        <w:tc>
          <w:tcPr>
            <w:tcW w:w="4640" w:type="dxa"/>
            <w:vAlign w:val="bottom"/>
            <w:tcBorders>
              <w:top w:val="single" w:sz="8" w:color="007DC6"/>
            </w:tcBorders>
            <w:gridSpan w:val="19"/>
          </w:tcPr>
          <w:p>
            <w:pPr>
              <w:spacing w:after="0"/>
              <w:rPr>
                <w:sz w:val="20"/>
                <w:szCs w:val="20"/>
                <w:color w:val="auto"/>
              </w:rPr>
            </w:pPr>
            <w:r>
              <w:rPr>
                <w:rFonts w:ascii="Calibri" w:cs="Calibri" w:eastAsia="Calibri" w:hAnsi="Calibri"/>
                <w:sz w:val="16"/>
                <w:szCs w:val="16"/>
                <w:b w:val="1"/>
                <w:bCs w:val="1"/>
                <w:color w:val="007DC6"/>
              </w:rPr>
              <w:t>FINANCIAL STATEMENTS AND SUPPLEMENTARY DATA</w:t>
            </w:r>
          </w:p>
        </w:tc>
        <w:tc>
          <w:tcPr>
            <w:tcW w:w="2780" w:type="dxa"/>
            <w:vAlign w:val="bottom"/>
            <w:gridSpan w:val="6"/>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68</w:t>
            </w: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right w:val="single" w:sz="8" w:color="007DC6"/>
            </w:tcBorders>
          </w:tcPr>
          <w:p>
            <w:pPr>
              <w:spacing w:after="0" w:line="20" w:lineRule="exact"/>
              <w:rPr>
                <w:sz w:val="1"/>
                <w:szCs w:val="1"/>
                <w:color w:val="auto"/>
              </w:rPr>
            </w:pPr>
          </w:p>
        </w:tc>
        <w:tc>
          <w:tcPr>
            <w:tcW w:w="620" w:type="dxa"/>
            <w:vAlign w:val="bottom"/>
            <w:shd w:val="clear" w:color="auto" w:fill="007DC6"/>
          </w:tcPr>
          <w:p>
            <w:pPr>
              <w:spacing w:after="0" w:line="20" w:lineRule="exact"/>
              <w:rPr>
                <w:sz w:val="1"/>
                <w:szCs w:val="1"/>
                <w:color w:val="auto"/>
              </w:rPr>
            </w:pPr>
          </w:p>
        </w:tc>
        <w:tc>
          <w:tcPr>
            <w:tcW w:w="840" w:type="dxa"/>
            <w:vAlign w:val="bottom"/>
            <w:gridSpan w:val="8"/>
            <w:shd w:val="clear" w:color="auto" w:fill="007DC6"/>
          </w:tcPr>
          <w:p>
            <w:pPr>
              <w:spacing w:after="0" w:line="20" w:lineRule="exact"/>
              <w:rPr>
                <w:sz w:val="1"/>
                <w:szCs w:val="1"/>
                <w:color w:val="auto"/>
              </w:rPr>
            </w:pPr>
          </w:p>
        </w:tc>
        <w:tc>
          <w:tcPr>
            <w:tcW w:w="80" w:type="dxa"/>
            <w:vAlign w:val="bottom"/>
            <w:shd w:val="clear" w:color="auto" w:fill="007DC6"/>
          </w:tcPr>
          <w:p>
            <w:pPr>
              <w:spacing w:after="0" w:line="20" w:lineRule="exact"/>
              <w:rPr>
                <w:sz w:val="1"/>
                <w:szCs w:val="1"/>
                <w:color w:val="auto"/>
              </w:rPr>
            </w:pPr>
          </w:p>
        </w:tc>
        <w:tc>
          <w:tcPr>
            <w:tcW w:w="320" w:type="dxa"/>
            <w:vAlign w:val="bottom"/>
            <w:gridSpan w:val="2"/>
            <w:shd w:val="clear" w:color="auto" w:fill="007DC6"/>
          </w:tcPr>
          <w:p>
            <w:pPr>
              <w:spacing w:after="0" w:line="20" w:lineRule="exact"/>
              <w:rPr>
                <w:sz w:val="1"/>
                <w:szCs w:val="1"/>
                <w:color w:val="auto"/>
              </w:rPr>
            </w:pPr>
          </w:p>
        </w:tc>
        <w:tc>
          <w:tcPr>
            <w:tcW w:w="120" w:type="dxa"/>
            <w:vAlign w:val="bottom"/>
            <w:shd w:val="clear" w:color="auto" w:fill="007DC6"/>
          </w:tcPr>
          <w:p>
            <w:pPr>
              <w:spacing w:after="0" w:line="20" w:lineRule="exact"/>
              <w:rPr>
                <w:sz w:val="1"/>
                <w:szCs w:val="1"/>
                <w:color w:val="auto"/>
              </w:rPr>
            </w:pPr>
          </w:p>
        </w:tc>
        <w:tc>
          <w:tcPr>
            <w:tcW w:w="1020" w:type="dxa"/>
            <w:vAlign w:val="bottom"/>
            <w:gridSpan w:val="2"/>
            <w:shd w:val="clear" w:color="auto" w:fill="007DC6"/>
          </w:tcPr>
          <w:p>
            <w:pPr>
              <w:spacing w:after="0" w:line="20" w:lineRule="exact"/>
              <w:rPr>
                <w:sz w:val="1"/>
                <w:szCs w:val="1"/>
                <w:color w:val="auto"/>
              </w:rPr>
            </w:pPr>
          </w:p>
        </w:tc>
        <w:tc>
          <w:tcPr>
            <w:tcW w:w="360" w:type="dxa"/>
            <w:vAlign w:val="bottom"/>
            <w:shd w:val="clear" w:color="auto" w:fill="007DC6"/>
          </w:tcPr>
          <w:p>
            <w:pPr>
              <w:spacing w:after="0" w:line="20" w:lineRule="exact"/>
              <w:rPr>
                <w:sz w:val="1"/>
                <w:szCs w:val="1"/>
                <w:color w:val="auto"/>
              </w:rPr>
            </w:pPr>
          </w:p>
        </w:tc>
        <w:tc>
          <w:tcPr>
            <w:tcW w:w="180" w:type="dxa"/>
            <w:vAlign w:val="bottom"/>
            <w:shd w:val="clear" w:color="auto" w:fill="007DC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9.</w:t>
            </w:r>
          </w:p>
        </w:tc>
        <w:tc>
          <w:tcPr>
            <w:tcW w:w="7420" w:type="dxa"/>
            <w:vAlign w:val="bottom"/>
            <w:gridSpan w:val="25"/>
          </w:tcPr>
          <w:p>
            <w:pPr>
              <w:spacing w:after="0"/>
              <w:rPr>
                <w:sz w:val="20"/>
                <w:szCs w:val="20"/>
                <w:color w:val="auto"/>
              </w:rPr>
            </w:pPr>
            <w:r>
              <w:rPr>
                <w:rFonts w:ascii="Calibri" w:cs="Calibri" w:eastAsia="Calibri" w:hAnsi="Calibri"/>
                <w:sz w:val="16"/>
                <w:szCs w:val="16"/>
                <w:b w:val="1"/>
                <w:bCs w:val="1"/>
                <w:color w:val="007DC6"/>
              </w:rPr>
              <w:t>CHANGES IN AND DISAGREEMENTS WITH ACCOUNTANTS ON ACCOUNTING AND FINANCIAL DISCLOSURE</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111</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9A.</w:t>
            </w:r>
          </w:p>
        </w:tc>
        <w:tc>
          <w:tcPr>
            <w:tcW w:w="7000" w:type="dxa"/>
            <w:vAlign w:val="bottom"/>
            <w:tcBorders>
              <w:top w:val="single" w:sz="8" w:color="007DC6"/>
            </w:tcBorders>
            <w:gridSpan w:val="23"/>
          </w:tcPr>
          <w:p>
            <w:pPr>
              <w:spacing w:after="0"/>
              <w:rPr>
                <w:sz w:val="20"/>
                <w:szCs w:val="20"/>
                <w:color w:val="auto"/>
              </w:rPr>
            </w:pPr>
            <w:r>
              <w:rPr>
                <w:rFonts w:ascii="Calibri" w:cs="Calibri" w:eastAsia="Calibri" w:hAnsi="Calibri"/>
                <w:sz w:val="16"/>
                <w:szCs w:val="16"/>
                <w:b w:val="1"/>
                <w:bCs w:val="1"/>
                <w:color w:val="007DC6"/>
              </w:rPr>
              <w:t>CONTROLS AND PROCEDURES</w:t>
            </w:r>
          </w:p>
        </w:tc>
        <w:tc>
          <w:tcPr>
            <w:tcW w:w="420" w:type="dxa"/>
            <w:vAlign w:val="bottom"/>
            <w:gridSpan w:val="2"/>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111</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9B.</w:t>
            </w:r>
          </w:p>
        </w:tc>
        <w:tc>
          <w:tcPr>
            <w:tcW w:w="1980" w:type="dxa"/>
            <w:vAlign w:val="bottom"/>
            <w:tcBorders>
              <w:top w:val="single" w:sz="8" w:color="007DC6"/>
            </w:tcBorders>
            <w:gridSpan w:val="13"/>
          </w:tcPr>
          <w:p>
            <w:pPr>
              <w:spacing w:after="0"/>
              <w:rPr>
                <w:sz w:val="20"/>
                <w:szCs w:val="20"/>
                <w:color w:val="auto"/>
              </w:rPr>
            </w:pPr>
            <w:r>
              <w:rPr>
                <w:rFonts w:ascii="Calibri" w:cs="Calibri" w:eastAsia="Calibri" w:hAnsi="Calibri"/>
                <w:sz w:val="16"/>
                <w:szCs w:val="16"/>
                <w:b w:val="1"/>
                <w:bCs w:val="1"/>
                <w:color w:val="007DC6"/>
              </w:rPr>
              <w:t>OTHER INFORMATION</w:t>
            </w:r>
          </w:p>
        </w:tc>
        <w:tc>
          <w:tcPr>
            <w:tcW w:w="5440" w:type="dxa"/>
            <w:vAlign w:val="bottom"/>
            <w:gridSpan w:val="12"/>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112</w:t>
            </w: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right w:val="single" w:sz="8" w:color="007DC6"/>
            </w:tcBorders>
          </w:tcPr>
          <w:p>
            <w:pPr>
              <w:spacing w:after="0" w:line="20" w:lineRule="exact"/>
              <w:rPr>
                <w:sz w:val="1"/>
                <w:szCs w:val="1"/>
                <w:color w:val="auto"/>
              </w:rPr>
            </w:pPr>
          </w:p>
        </w:tc>
        <w:tc>
          <w:tcPr>
            <w:tcW w:w="620" w:type="dxa"/>
            <w:vAlign w:val="bottom"/>
            <w:shd w:val="clear" w:color="auto" w:fill="007DC6"/>
          </w:tcPr>
          <w:p>
            <w:pPr>
              <w:spacing w:after="0" w:line="20" w:lineRule="exact"/>
              <w:rPr>
                <w:sz w:val="1"/>
                <w:szCs w:val="1"/>
                <w:color w:val="auto"/>
              </w:rPr>
            </w:pPr>
          </w:p>
        </w:tc>
        <w:tc>
          <w:tcPr>
            <w:tcW w:w="840" w:type="dxa"/>
            <w:vAlign w:val="bottom"/>
            <w:gridSpan w:val="8"/>
            <w:shd w:val="clear" w:color="auto" w:fill="007DC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9C.</w:t>
            </w:r>
          </w:p>
        </w:tc>
        <w:tc>
          <w:tcPr>
            <w:tcW w:w="7420" w:type="dxa"/>
            <w:vAlign w:val="bottom"/>
            <w:gridSpan w:val="25"/>
          </w:tcPr>
          <w:p>
            <w:pPr>
              <w:spacing w:after="0"/>
              <w:rPr>
                <w:sz w:val="20"/>
                <w:szCs w:val="20"/>
                <w:color w:val="auto"/>
              </w:rPr>
            </w:pPr>
            <w:r>
              <w:rPr>
                <w:rFonts w:ascii="Calibri" w:cs="Calibri" w:eastAsia="Calibri" w:hAnsi="Calibri"/>
                <w:sz w:val="16"/>
                <w:szCs w:val="16"/>
                <w:b w:val="1"/>
                <w:bCs w:val="1"/>
                <w:color w:val="007DC6"/>
              </w:rPr>
              <w:t>DISCLOSURE REGARDING FOREIGN JURISDICTIONS THAT PREVENT INSPECTIONS</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112</w:t>
            </w:r>
          </w:p>
        </w:tc>
      </w:tr>
      <w:tr>
        <w:trPr>
          <w:trHeight w:val="480"/>
        </w:trPr>
        <w:tc>
          <w:tcPr>
            <w:tcW w:w="20" w:type="dxa"/>
            <w:vAlign w:val="bottom"/>
          </w:tcPr>
          <w:p>
            <w:pPr>
              <w:spacing w:after="0"/>
              <w:rPr>
                <w:sz w:val="24"/>
                <w:szCs w:val="24"/>
                <w:color w:val="auto"/>
              </w:rPr>
            </w:pPr>
          </w:p>
        </w:tc>
        <w:tc>
          <w:tcPr>
            <w:tcW w:w="640" w:type="dxa"/>
            <w:vAlign w:val="bottom"/>
            <w:tcBorders>
              <w:bottom w:val="single" w:sz="8" w:color="007DC6"/>
            </w:tcBorders>
            <w:gridSpan w:val="3"/>
          </w:tcPr>
          <w:p>
            <w:pPr>
              <w:spacing w:after="0"/>
              <w:rPr>
                <w:sz w:val="20"/>
                <w:szCs w:val="20"/>
                <w:color w:val="auto"/>
              </w:rPr>
            </w:pPr>
            <w:r>
              <w:rPr>
                <w:rFonts w:ascii="Calibri" w:cs="Calibri" w:eastAsia="Calibri" w:hAnsi="Calibri"/>
                <w:sz w:val="20"/>
                <w:szCs w:val="20"/>
                <w:b w:val="1"/>
                <w:bCs w:val="1"/>
                <w:color w:val="007DC6"/>
                <w:w w:val="96"/>
              </w:rPr>
              <w:t>PART III</w:t>
            </w:r>
          </w:p>
        </w:tc>
        <w:tc>
          <w:tcPr>
            <w:tcW w:w="1500" w:type="dxa"/>
            <w:vAlign w:val="bottom"/>
            <w:gridSpan w:val="3"/>
          </w:tcPr>
          <w:p>
            <w:pPr>
              <w:spacing w:after="0"/>
              <w:rPr>
                <w:sz w:val="24"/>
                <w:szCs w:val="24"/>
                <w:color w:val="auto"/>
              </w:rPr>
            </w:pPr>
          </w:p>
        </w:tc>
        <w:tc>
          <w:tcPr>
            <w:tcW w:w="620" w:type="dxa"/>
            <w:vAlign w:val="bottom"/>
            <w:tcBorders>
              <w:top w:val="single" w:sz="8" w:color="007DC6"/>
            </w:tcBorders>
          </w:tcPr>
          <w:p>
            <w:pPr>
              <w:spacing w:after="0"/>
              <w:rPr>
                <w:sz w:val="24"/>
                <w:szCs w:val="24"/>
                <w:color w:val="auto"/>
              </w:rPr>
            </w:pPr>
          </w:p>
        </w:tc>
        <w:tc>
          <w:tcPr>
            <w:tcW w:w="2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40" w:type="dxa"/>
            <w:vAlign w:val="bottom"/>
            <w:tcBorders>
              <w:top w:val="single" w:sz="8" w:color="007DC6"/>
            </w:tcBorders>
          </w:tcPr>
          <w:p>
            <w:pPr>
              <w:spacing w:after="0"/>
              <w:rPr>
                <w:sz w:val="24"/>
                <w:szCs w:val="24"/>
                <w:color w:val="auto"/>
              </w:rPr>
            </w:pPr>
          </w:p>
        </w:tc>
        <w:tc>
          <w:tcPr>
            <w:tcW w:w="22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60" w:type="dxa"/>
            <w:vAlign w:val="bottom"/>
            <w:tcBorders>
              <w:top w:val="single" w:sz="8" w:color="007DC6"/>
            </w:tcBorders>
          </w:tcPr>
          <w:p>
            <w:pPr>
              <w:spacing w:after="0"/>
              <w:rPr>
                <w:sz w:val="24"/>
                <w:szCs w:val="24"/>
                <w:color w:val="auto"/>
              </w:rPr>
            </w:pPr>
          </w:p>
        </w:tc>
        <w:tc>
          <w:tcPr>
            <w:tcW w:w="80" w:type="dxa"/>
            <w:vAlign w:val="bottom"/>
            <w:tcBorders>
              <w:top w:val="single" w:sz="8" w:color="007DC6"/>
            </w:tcBorders>
          </w:tcPr>
          <w:p>
            <w:pPr>
              <w:spacing w:after="0"/>
              <w:rPr>
                <w:sz w:val="24"/>
                <w:szCs w:val="24"/>
                <w:color w:val="auto"/>
              </w:rPr>
            </w:pPr>
          </w:p>
        </w:tc>
        <w:tc>
          <w:tcPr>
            <w:tcW w:w="28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80" w:type="dxa"/>
            <w:vAlign w:val="bottom"/>
            <w:tcBorders>
              <w:top w:val="single" w:sz="8" w:color="007DC6"/>
            </w:tcBorders>
          </w:tcPr>
          <w:p>
            <w:pPr>
              <w:spacing w:after="0"/>
              <w:rPr>
                <w:sz w:val="24"/>
                <w:szCs w:val="24"/>
                <w:color w:val="auto"/>
              </w:rPr>
            </w:pPr>
          </w:p>
        </w:tc>
        <w:tc>
          <w:tcPr>
            <w:tcW w:w="840" w:type="dxa"/>
            <w:vAlign w:val="bottom"/>
            <w:tcBorders>
              <w:top w:val="single" w:sz="8" w:color="007DC6"/>
            </w:tcBorders>
          </w:tcPr>
          <w:p>
            <w:pPr>
              <w:spacing w:after="0"/>
              <w:rPr>
                <w:sz w:val="24"/>
                <w:szCs w:val="24"/>
                <w:color w:val="auto"/>
              </w:rPr>
            </w:pPr>
          </w:p>
        </w:tc>
        <w:tc>
          <w:tcPr>
            <w:tcW w:w="360" w:type="dxa"/>
            <w:vAlign w:val="bottom"/>
            <w:tcBorders>
              <w:top w:val="single" w:sz="8" w:color="007DC6"/>
            </w:tcBorders>
          </w:tcPr>
          <w:p>
            <w:pPr>
              <w:spacing w:after="0"/>
              <w:rPr>
                <w:sz w:val="24"/>
                <w:szCs w:val="24"/>
                <w:color w:val="auto"/>
              </w:rPr>
            </w:pPr>
          </w:p>
        </w:tc>
        <w:tc>
          <w:tcPr>
            <w:tcW w:w="180" w:type="dxa"/>
            <w:vAlign w:val="bottom"/>
            <w:tcBorders>
              <w:top w:val="single" w:sz="8" w:color="007DC6"/>
            </w:tcBorders>
          </w:tcPr>
          <w:p>
            <w:pPr>
              <w:spacing w:after="0"/>
              <w:rPr>
                <w:sz w:val="24"/>
                <w:szCs w:val="24"/>
                <w:color w:val="auto"/>
              </w:rPr>
            </w:pPr>
          </w:p>
        </w:tc>
        <w:tc>
          <w:tcPr>
            <w:tcW w:w="860" w:type="dxa"/>
            <w:vAlign w:val="bottom"/>
            <w:tcBorders>
              <w:top w:val="single" w:sz="8" w:color="007DC6"/>
            </w:tcBorders>
          </w:tcPr>
          <w:p>
            <w:pPr>
              <w:spacing w:after="0"/>
              <w:rPr>
                <w:sz w:val="24"/>
                <w:szCs w:val="24"/>
                <w:color w:val="auto"/>
              </w:rPr>
            </w:pPr>
          </w:p>
        </w:tc>
        <w:tc>
          <w:tcPr>
            <w:tcW w:w="240" w:type="dxa"/>
            <w:vAlign w:val="bottom"/>
            <w:tcBorders>
              <w:top w:val="single" w:sz="8" w:color="007DC6"/>
            </w:tcBorders>
          </w:tcPr>
          <w:p>
            <w:pPr>
              <w:spacing w:after="0"/>
              <w:rPr>
                <w:sz w:val="24"/>
                <w:szCs w:val="24"/>
                <w:color w:val="auto"/>
              </w:rPr>
            </w:pPr>
          </w:p>
        </w:tc>
        <w:tc>
          <w:tcPr>
            <w:tcW w:w="700" w:type="dxa"/>
            <w:vAlign w:val="bottom"/>
            <w:tcBorders>
              <w:top w:val="single" w:sz="8" w:color="007DC6"/>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113</w:t>
            </w:r>
          </w:p>
        </w:tc>
      </w:tr>
      <w:tr>
        <w:trPr>
          <w:trHeight w:val="290"/>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10.</w:t>
            </w:r>
          </w:p>
        </w:tc>
        <w:tc>
          <w:tcPr>
            <w:tcW w:w="7420" w:type="dxa"/>
            <w:vAlign w:val="bottom"/>
            <w:gridSpan w:val="25"/>
          </w:tcPr>
          <w:p>
            <w:pPr>
              <w:spacing w:after="0"/>
              <w:rPr>
                <w:sz w:val="20"/>
                <w:szCs w:val="20"/>
                <w:color w:val="auto"/>
              </w:rPr>
            </w:pPr>
            <w:r>
              <w:rPr>
                <w:rFonts w:ascii="Calibri" w:cs="Calibri" w:eastAsia="Calibri" w:hAnsi="Calibri"/>
                <w:sz w:val="16"/>
                <w:szCs w:val="16"/>
                <w:b w:val="1"/>
                <w:bCs w:val="1"/>
                <w:color w:val="007DC6"/>
              </w:rPr>
              <w:t>DIRECTORS, EXECUTIVE OFFICERS AND CORPORATE GOVERNANCE</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113</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11.</w:t>
            </w:r>
          </w:p>
        </w:tc>
        <w:tc>
          <w:tcPr>
            <w:tcW w:w="1860" w:type="dxa"/>
            <w:vAlign w:val="bottom"/>
            <w:tcBorders>
              <w:top w:val="single" w:sz="8" w:color="007DC6"/>
              <w:bottom w:val="single" w:sz="8" w:color="007DC6"/>
            </w:tcBorders>
            <w:gridSpan w:val="12"/>
          </w:tcPr>
          <w:p>
            <w:pPr>
              <w:spacing w:after="0"/>
              <w:rPr>
                <w:sz w:val="20"/>
                <w:szCs w:val="20"/>
                <w:color w:val="auto"/>
              </w:rPr>
            </w:pPr>
            <w:r>
              <w:rPr>
                <w:rFonts w:ascii="Calibri" w:cs="Calibri" w:eastAsia="Calibri" w:hAnsi="Calibri"/>
                <w:sz w:val="16"/>
                <w:szCs w:val="16"/>
                <w:b w:val="1"/>
                <w:bCs w:val="1"/>
                <w:color w:val="007DC6"/>
                <w:w w:val="98"/>
              </w:rPr>
              <w:t>EXECUTIVE COMPENSATION</w:t>
            </w:r>
          </w:p>
        </w:tc>
        <w:tc>
          <w:tcPr>
            <w:tcW w:w="2540" w:type="dxa"/>
            <w:vAlign w:val="bottom"/>
            <w:tcBorders>
              <w:top w:val="single" w:sz="8" w:color="007DC6"/>
            </w:tcBorders>
            <w:gridSpan w:val="6"/>
          </w:tcPr>
          <w:p>
            <w:pPr>
              <w:spacing w:after="0"/>
              <w:rPr>
                <w:sz w:val="24"/>
                <w:szCs w:val="24"/>
                <w:color w:val="auto"/>
              </w:rPr>
            </w:pPr>
          </w:p>
        </w:tc>
        <w:tc>
          <w:tcPr>
            <w:tcW w:w="3020" w:type="dxa"/>
            <w:vAlign w:val="bottom"/>
            <w:gridSpan w:val="7"/>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113</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12.</w:t>
            </w:r>
          </w:p>
        </w:tc>
        <w:tc>
          <w:tcPr>
            <w:tcW w:w="7220" w:type="dxa"/>
            <w:vAlign w:val="bottom"/>
            <w:tcBorders>
              <w:bottom w:val="single" w:sz="8" w:color="007DC6"/>
            </w:tcBorders>
            <w:gridSpan w:val="24"/>
          </w:tcPr>
          <w:p>
            <w:pPr>
              <w:spacing w:after="0"/>
              <w:rPr>
                <w:sz w:val="20"/>
                <w:szCs w:val="20"/>
                <w:color w:val="auto"/>
              </w:rPr>
            </w:pPr>
            <w:r>
              <w:rPr>
                <w:rFonts w:ascii="Calibri" w:cs="Calibri" w:eastAsia="Calibri" w:hAnsi="Calibri"/>
                <w:sz w:val="16"/>
                <w:szCs w:val="16"/>
                <w:b w:val="1"/>
                <w:bCs w:val="1"/>
                <w:color w:val="007DC6"/>
              </w:rPr>
              <w:t>SECURITY OWNERSHIP OF CERTAIN BENEFICIAL OWNERS AND MANAGEMENT AND RELATED STOCKHOLDER</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Borders>
              <w:bottom w:val="single" w:sz="8" w:color="007DC6"/>
            </w:tcBorders>
          </w:tcPr>
          <w:p>
            <w:pPr>
              <w:spacing w:after="0" w:line="183" w:lineRule="exact"/>
              <w:rPr>
                <w:sz w:val="20"/>
                <w:szCs w:val="20"/>
                <w:color w:val="auto"/>
              </w:rPr>
            </w:pPr>
            <w:r>
              <w:rPr>
                <w:rFonts w:ascii="Calibri" w:cs="Calibri" w:eastAsia="Calibri" w:hAnsi="Calibri"/>
                <w:sz w:val="16"/>
                <w:szCs w:val="16"/>
                <w:b w:val="1"/>
                <w:bCs w:val="1"/>
                <w:color w:val="007DC6"/>
                <w:w w:val="93"/>
              </w:rPr>
              <w:t>MATTERS</w:t>
            </w:r>
          </w:p>
        </w:tc>
        <w:tc>
          <w:tcPr>
            <w:tcW w:w="6800" w:type="dxa"/>
            <w:vAlign w:val="bottom"/>
            <w:gridSpan w:val="24"/>
          </w:tcPr>
          <w:p>
            <w:pPr>
              <w:spacing w:after="0"/>
              <w:rPr>
                <w:sz w:val="15"/>
                <w:szCs w:val="15"/>
                <w:color w:val="auto"/>
              </w:rPr>
            </w:pPr>
          </w:p>
        </w:tc>
        <w:tc>
          <w:tcPr>
            <w:tcW w:w="1660" w:type="dxa"/>
            <w:vAlign w:val="bottom"/>
          </w:tcPr>
          <w:p>
            <w:pPr>
              <w:jc w:val="right"/>
              <w:spacing w:after="0" w:line="183" w:lineRule="exact"/>
              <w:rPr>
                <w:sz w:val="20"/>
                <w:szCs w:val="20"/>
                <w:color w:val="auto"/>
              </w:rPr>
            </w:pPr>
            <w:r>
              <w:rPr>
                <w:rFonts w:ascii="Calibri" w:cs="Calibri" w:eastAsia="Calibri" w:hAnsi="Calibri"/>
                <w:sz w:val="16"/>
                <w:szCs w:val="16"/>
                <w:color w:val="auto"/>
              </w:rPr>
              <w:t>113</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13.</w:t>
            </w:r>
          </w:p>
        </w:tc>
        <w:tc>
          <w:tcPr>
            <w:tcW w:w="5880" w:type="dxa"/>
            <w:vAlign w:val="bottom"/>
            <w:tcBorders>
              <w:bottom w:val="single" w:sz="8" w:color="007DC6"/>
            </w:tcBorders>
            <w:gridSpan w:val="21"/>
          </w:tcPr>
          <w:p>
            <w:pPr>
              <w:spacing w:after="0"/>
              <w:rPr>
                <w:sz w:val="20"/>
                <w:szCs w:val="20"/>
                <w:color w:val="auto"/>
              </w:rPr>
            </w:pPr>
            <w:r>
              <w:rPr>
                <w:rFonts w:ascii="Calibri" w:cs="Calibri" w:eastAsia="Calibri" w:hAnsi="Calibri"/>
                <w:sz w:val="16"/>
                <w:szCs w:val="16"/>
                <w:b w:val="1"/>
                <w:bCs w:val="1"/>
                <w:color w:val="007DC6"/>
                <w:w w:val="99"/>
              </w:rPr>
              <w:t>CERTAIN RELATIONSHIPS AND RELATED TRANSACTIONS, AND DIRECTOR INDEPENDENCE</w:t>
            </w:r>
          </w:p>
        </w:tc>
        <w:tc>
          <w:tcPr>
            <w:tcW w:w="1540" w:type="dxa"/>
            <w:vAlign w:val="bottom"/>
            <w:gridSpan w:val="4"/>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113</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14.</w:t>
            </w:r>
          </w:p>
        </w:tc>
        <w:tc>
          <w:tcPr>
            <w:tcW w:w="7420" w:type="dxa"/>
            <w:vAlign w:val="bottom"/>
            <w:gridSpan w:val="25"/>
          </w:tcPr>
          <w:p>
            <w:pPr>
              <w:spacing w:after="0"/>
              <w:rPr>
                <w:sz w:val="20"/>
                <w:szCs w:val="20"/>
                <w:color w:val="auto"/>
              </w:rPr>
            </w:pPr>
            <w:r>
              <w:rPr>
                <w:rFonts w:ascii="Calibri" w:cs="Calibri" w:eastAsia="Calibri" w:hAnsi="Calibri"/>
                <w:sz w:val="16"/>
                <w:szCs w:val="16"/>
                <w:b w:val="1"/>
                <w:bCs w:val="1"/>
                <w:color w:val="007DC6"/>
              </w:rPr>
              <w:t>PRINCIPAL ACCOUNTANT FEES AND SERVICES</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113</w:t>
            </w:r>
          </w:p>
        </w:tc>
      </w:tr>
      <w:tr>
        <w:trPr>
          <w:trHeight w:val="453"/>
        </w:trPr>
        <w:tc>
          <w:tcPr>
            <w:tcW w:w="20" w:type="dxa"/>
            <w:vAlign w:val="bottom"/>
          </w:tcPr>
          <w:p>
            <w:pPr>
              <w:spacing w:after="0"/>
              <w:rPr>
                <w:sz w:val="24"/>
                <w:szCs w:val="24"/>
                <w:color w:val="auto"/>
              </w:rPr>
            </w:pPr>
          </w:p>
        </w:tc>
        <w:tc>
          <w:tcPr>
            <w:tcW w:w="660" w:type="dxa"/>
            <w:vAlign w:val="bottom"/>
            <w:tcBorders>
              <w:bottom w:val="single" w:sz="8" w:color="007DC6"/>
            </w:tcBorders>
            <w:gridSpan w:val="4"/>
          </w:tcPr>
          <w:p>
            <w:pPr>
              <w:spacing w:after="0"/>
              <w:rPr>
                <w:sz w:val="20"/>
                <w:szCs w:val="20"/>
                <w:color w:val="auto"/>
              </w:rPr>
            </w:pPr>
            <w:r>
              <w:rPr>
                <w:rFonts w:ascii="Calibri" w:cs="Calibri" w:eastAsia="Calibri" w:hAnsi="Calibri"/>
                <w:sz w:val="20"/>
                <w:szCs w:val="20"/>
                <w:b w:val="1"/>
                <w:bCs w:val="1"/>
                <w:color w:val="007DC6"/>
                <w:w w:val="97"/>
              </w:rPr>
              <w:t>PART IV</w:t>
            </w:r>
          </w:p>
        </w:tc>
        <w:tc>
          <w:tcPr>
            <w:tcW w:w="1480" w:type="dxa"/>
            <w:vAlign w:val="bottom"/>
            <w:gridSpan w:val="2"/>
          </w:tcPr>
          <w:p>
            <w:pPr>
              <w:spacing w:after="0"/>
              <w:rPr>
                <w:sz w:val="24"/>
                <w:szCs w:val="24"/>
                <w:color w:val="auto"/>
              </w:rPr>
            </w:pPr>
          </w:p>
        </w:tc>
        <w:tc>
          <w:tcPr>
            <w:tcW w:w="620" w:type="dxa"/>
            <w:vAlign w:val="bottom"/>
            <w:tcBorders>
              <w:top w:val="single" w:sz="8" w:color="007DC6"/>
            </w:tcBorders>
          </w:tcPr>
          <w:p>
            <w:pPr>
              <w:spacing w:after="0"/>
              <w:rPr>
                <w:sz w:val="24"/>
                <w:szCs w:val="24"/>
                <w:color w:val="auto"/>
              </w:rPr>
            </w:pPr>
          </w:p>
        </w:tc>
        <w:tc>
          <w:tcPr>
            <w:tcW w:w="2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40" w:type="dxa"/>
            <w:vAlign w:val="bottom"/>
            <w:tcBorders>
              <w:top w:val="single" w:sz="8" w:color="007DC6"/>
            </w:tcBorders>
          </w:tcPr>
          <w:p>
            <w:pPr>
              <w:spacing w:after="0"/>
              <w:rPr>
                <w:sz w:val="24"/>
                <w:szCs w:val="24"/>
                <w:color w:val="auto"/>
              </w:rPr>
            </w:pPr>
          </w:p>
        </w:tc>
        <w:tc>
          <w:tcPr>
            <w:tcW w:w="22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60" w:type="dxa"/>
            <w:vAlign w:val="bottom"/>
            <w:tcBorders>
              <w:top w:val="single" w:sz="8" w:color="007DC6"/>
            </w:tcBorders>
          </w:tcPr>
          <w:p>
            <w:pPr>
              <w:spacing w:after="0"/>
              <w:rPr>
                <w:sz w:val="24"/>
                <w:szCs w:val="24"/>
                <w:color w:val="auto"/>
              </w:rPr>
            </w:pPr>
          </w:p>
        </w:tc>
        <w:tc>
          <w:tcPr>
            <w:tcW w:w="80" w:type="dxa"/>
            <w:vAlign w:val="bottom"/>
            <w:tcBorders>
              <w:top w:val="single" w:sz="8" w:color="007DC6"/>
            </w:tcBorders>
          </w:tcPr>
          <w:p>
            <w:pPr>
              <w:spacing w:after="0"/>
              <w:rPr>
                <w:sz w:val="24"/>
                <w:szCs w:val="24"/>
                <w:color w:val="auto"/>
              </w:rPr>
            </w:pPr>
          </w:p>
        </w:tc>
        <w:tc>
          <w:tcPr>
            <w:tcW w:w="28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80" w:type="dxa"/>
            <w:vAlign w:val="bottom"/>
            <w:tcBorders>
              <w:top w:val="single" w:sz="8" w:color="007DC6"/>
            </w:tcBorders>
          </w:tcPr>
          <w:p>
            <w:pPr>
              <w:spacing w:after="0"/>
              <w:rPr>
                <w:sz w:val="24"/>
                <w:szCs w:val="24"/>
                <w:color w:val="auto"/>
              </w:rPr>
            </w:pPr>
          </w:p>
        </w:tc>
        <w:tc>
          <w:tcPr>
            <w:tcW w:w="840" w:type="dxa"/>
            <w:vAlign w:val="bottom"/>
            <w:tcBorders>
              <w:top w:val="single" w:sz="8" w:color="007DC6"/>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114</w:t>
            </w:r>
          </w:p>
        </w:tc>
      </w:tr>
      <w:tr>
        <w:trPr>
          <w:trHeight w:val="290"/>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15.</w:t>
            </w:r>
          </w:p>
        </w:tc>
        <w:tc>
          <w:tcPr>
            <w:tcW w:w="3360" w:type="dxa"/>
            <w:vAlign w:val="bottom"/>
            <w:tcBorders>
              <w:bottom w:val="single" w:sz="8" w:color="007DC6"/>
            </w:tcBorders>
            <w:gridSpan w:val="16"/>
          </w:tcPr>
          <w:p>
            <w:pPr>
              <w:spacing w:after="0"/>
              <w:rPr>
                <w:sz w:val="20"/>
                <w:szCs w:val="20"/>
                <w:color w:val="auto"/>
              </w:rPr>
            </w:pPr>
            <w:r>
              <w:rPr>
                <w:rFonts w:ascii="Calibri" w:cs="Calibri" w:eastAsia="Calibri" w:hAnsi="Calibri"/>
                <w:sz w:val="16"/>
                <w:szCs w:val="16"/>
                <w:b w:val="1"/>
                <w:bCs w:val="1"/>
                <w:color w:val="007DC6"/>
              </w:rPr>
              <w:t>EXHIBITS AND FINANCIAL STATEMENT SCHEDULES</w:t>
            </w:r>
          </w:p>
        </w:tc>
        <w:tc>
          <w:tcPr>
            <w:tcW w:w="4060" w:type="dxa"/>
            <w:vAlign w:val="bottom"/>
            <w:gridSpan w:val="9"/>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114</w:t>
            </w:r>
          </w:p>
        </w:tc>
      </w:tr>
      <w:tr>
        <w:trPr>
          <w:trHeight w:val="277"/>
        </w:trPr>
        <w:tc>
          <w:tcPr>
            <w:tcW w:w="20" w:type="dxa"/>
            <w:vAlign w:val="bottom"/>
          </w:tcPr>
          <w:p>
            <w:pPr>
              <w:spacing w:after="0"/>
              <w:rPr>
                <w:sz w:val="24"/>
                <w:szCs w:val="24"/>
                <w:color w:val="auto"/>
              </w:rPr>
            </w:pPr>
          </w:p>
        </w:tc>
        <w:tc>
          <w:tcPr>
            <w:tcW w:w="2140" w:type="dxa"/>
            <w:vAlign w:val="bottom"/>
            <w:gridSpan w:val="6"/>
          </w:tcPr>
          <w:p>
            <w:pPr>
              <w:ind w:left="140"/>
              <w:spacing w:after="0"/>
              <w:rPr>
                <w:sz w:val="20"/>
                <w:szCs w:val="20"/>
                <w:color w:val="auto"/>
              </w:rPr>
            </w:pPr>
            <w:r>
              <w:rPr>
                <w:rFonts w:ascii="Calibri" w:cs="Calibri" w:eastAsia="Calibri" w:hAnsi="Calibri"/>
                <w:sz w:val="16"/>
                <w:szCs w:val="16"/>
                <w:b w:val="1"/>
                <w:bCs w:val="1"/>
                <w:color w:val="auto"/>
              </w:rPr>
              <w:t>ITEM 16.</w:t>
            </w:r>
          </w:p>
        </w:tc>
        <w:tc>
          <w:tcPr>
            <w:tcW w:w="7420" w:type="dxa"/>
            <w:vAlign w:val="bottom"/>
            <w:gridSpan w:val="25"/>
          </w:tcPr>
          <w:p>
            <w:pPr>
              <w:spacing w:after="0"/>
              <w:rPr>
                <w:sz w:val="20"/>
                <w:szCs w:val="20"/>
                <w:color w:val="auto"/>
              </w:rPr>
            </w:pPr>
            <w:r>
              <w:rPr>
                <w:rFonts w:ascii="Calibri" w:cs="Calibri" w:eastAsia="Calibri" w:hAnsi="Calibri"/>
                <w:sz w:val="16"/>
                <w:szCs w:val="16"/>
                <w:b w:val="1"/>
                <w:bCs w:val="1"/>
                <w:color w:val="007DC6"/>
              </w:rPr>
              <w:t>FORM 10-K SUMMARY</w:t>
            </w:r>
          </w:p>
        </w:tc>
        <w:tc>
          <w:tcPr>
            <w:tcW w:w="1660" w:type="dxa"/>
            <w:vAlign w:val="bottom"/>
          </w:tcPr>
          <w:p>
            <w:pPr>
              <w:jc w:val="right"/>
              <w:spacing w:after="0"/>
              <w:rPr>
                <w:sz w:val="20"/>
                <w:szCs w:val="20"/>
                <w:color w:val="auto"/>
              </w:rPr>
            </w:pPr>
            <w:r>
              <w:rPr>
                <w:rFonts w:ascii="Calibri" w:cs="Calibri" w:eastAsia="Calibri" w:hAnsi="Calibri"/>
                <w:sz w:val="16"/>
                <w:szCs w:val="16"/>
                <w:color w:val="auto"/>
              </w:rPr>
              <w:t>120</w:t>
            </w:r>
          </w:p>
        </w:tc>
      </w:tr>
      <w:tr>
        <w:trPr>
          <w:trHeight w:val="466"/>
        </w:trPr>
        <w:tc>
          <w:tcPr>
            <w:tcW w:w="20" w:type="dxa"/>
            <w:vAlign w:val="bottom"/>
          </w:tcPr>
          <w:p>
            <w:pPr>
              <w:spacing w:after="0"/>
              <w:rPr>
                <w:sz w:val="24"/>
                <w:szCs w:val="24"/>
                <w:color w:val="auto"/>
              </w:rPr>
            </w:pPr>
          </w:p>
        </w:tc>
        <w:tc>
          <w:tcPr>
            <w:tcW w:w="2140" w:type="dxa"/>
            <w:vAlign w:val="bottom"/>
            <w:gridSpan w:val="6"/>
          </w:tcPr>
          <w:p>
            <w:pPr>
              <w:spacing w:after="0"/>
              <w:rPr>
                <w:sz w:val="20"/>
                <w:szCs w:val="20"/>
                <w:color w:val="auto"/>
              </w:rPr>
            </w:pPr>
            <w:r>
              <w:rPr>
                <w:rFonts w:ascii="Calibri" w:cs="Calibri" w:eastAsia="Calibri" w:hAnsi="Calibri"/>
                <w:sz w:val="20"/>
                <w:szCs w:val="20"/>
                <w:b w:val="1"/>
                <w:bCs w:val="1"/>
                <w:color w:val="007DC6"/>
              </w:rPr>
              <w:t>SIGNATURES</w:t>
            </w:r>
          </w:p>
        </w:tc>
        <w:tc>
          <w:tcPr>
            <w:tcW w:w="620" w:type="dxa"/>
            <w:vAlign w:val="bottom"/>
            <w:tcBorders>
              <w:top w:val="single" w:sz="8" w:color="007DC6"/>
            </w:tcBorders>
          </w:tcPr>
          <w:p>
            <w:pPr>
              <w:spacing w:after="0"/>
              <w:rPr>
                <w:sz w:val="24"/>
                <w:szCs w:val="24"/>
                <w:color w:val="auto"/>
              </w:rPr>
            </w:pPr>
          </w:p>
        </w:tc>
        <w:tc>
          <w:tcPr>
            <w:tcW w:w="20" w:type="dxa"/>
            <w:vAlign w:val="bottom"/>
            <w:tcBorders>
              <w:top w:val="single" w:sz="8" w:color="007DC6"/>
            </w:tcBorders>
          </w:tcPr>
          <w:p>
            <w:pPr>
              <w:spacing w:after="0"/>
              <w:rPr>
                <w:sz w:val="24"/>
                <w:szCs w:val="24"/>
                <w:color w:val="auto"/>
              </w:rPr>
            </w:pPr>
          </w:p>
        </w:tc>
        <w:tc>
          <w:tcPr>
            <w:tcW w:w="4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140" w:type="dxa"/>
            <w:vAlign w:val="bottom"/>
            <w:tcBorders>
              <w:top w:val="single" w:sz="8" w:color="007DC6"/>
            </w:tcBorders>
          </w:tcPr>
          <w:p>
            <w:pPr>
              <w:spacing w:after="0"/>
              <w:rPr>
                <w:sz w:val="24"/>
                <w:szCs w:val="24"/>
                <w:color w:val="auto"/>
              </w:rPr>
            </w:pPr>
          </w:p>
        </w:tc>
        <w:tc>
          <w:tcPr>
            <w:tcW w:w="220" w:type="dxa"/>
            <w:vAlign w:val="bottom"/>
            <w:tcBorders>
              <w:top w:val="single" w:sz="8" w:color="007DC6"/>
            </w:tcBorders>
          </w:tcPr>
          <w:p>
            <w:pPr>
              <w:spacing w:after="0"/>
              <w:rPr>
                <w:sz w:val="24"/>
                <w:szCs w:val="24"/>
                <w:color w:val="auto"/>
              </w:rPr>
            </w:pPr>
          </w:p>
        </w:tc>
        <w:tc>
          <w:tcPr>
            <w:tcW w:w="120" w:type="dxa"/>
            <w:vAlign w:val="bottom"/>
            <w:tcBorders>
              <w:top w:val="single" w:sz="8" w:color="007DC6"/>
            </w:tcBorders>
          </w:tcPr>
          <w:p>
            <w:pPr>
              <w:spacing w:after="0"/>
              <w:rPr>
                <w:sz w:val="24"/>
                <w:szCs w:val="24"/>
                <w:color w:val="auto"/>
              </w:rPr>
            </w:pPr>
          </w:p>
        </w:tc>
        <w:tc>
          <w:tcPr>
            <w:tcW w:w="60" w:type="dxa"/>
            <w:vAlign w:val="bottom"/>
            <w:tcBorders>
              <w:top w:val="single" w:sz="8" w:color="007DC6"/>
            </w:tcBorders>
          </w:tcPr>
          <w:p>
            <w:pPr>
              <w:spacing w:after="0"/>
              <w:rPr>
                <w:sz w:val="24"/>
                <w:szCs w:val="24"/>
                <w:color w:val="auto"/>
              </w:rPr>
            </w:pPr>
          </w:p>
        </w:tc>
        <w:tc>
          <w:tcPr>
            <w:tcW w:w="80" w:type="dxa"/>
            <w:vAlign w:val="bottom"/>
            <w:tcBorders>
              <w:top w:val="single" w:sz="8" w:color="007DC6"/>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Calibri" w:cs="Calibri" w:eastAsia="Calibri" w:hAnsi="Calibri"/>
                <w:sz w:val="16"/>
                <w:szCs w:val="16"/>
                <w:color w:val="auto"/>
              </w:rPr>
              <w:t>121</w:t>
            </w:r>
          </w:p>
        </w:tc>
      </w:tr>
      <w:tr>
        <w:trPr>
          <w:trHeight w:val="1580"/>
        </w:trPr>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7DC6"/>
              <w:bottom w:val="single" w:sz="8" w:color="9A9A9A"/>
            </w:tcBorders>
          </w:tcPr>
          <w:p>
            <w:pPr>
              <w:spacing w:after="0"/>
              <w:rPr>
                <w:sz w:val="24"/>
                <w:szCs w:val="24"/>
                <w:color w:val="auto"/>
              </w:rPr>
            </w:pPr>
          </w:p>
        </w:tc>
        <w:tc>
          <w:tcPr>
            <w:tcW w:w="40" w:type="dxa"/>
            <w:vAlign w:val="bottom"/>
            <w:tcBorders>
              <w:top w:val="single" w:sz="8" w:color="007DC6"/>
              <w:bottom w:val="single" w:sz="8" w:color="9A9A9A"/>
            </w:tcBorders>
          </w:tcPr>
          <w:p>
            <w:pPr>
              <w:spacing w:after="0"/>
              <w:rPr>
                <w:sz w:val="24"/>
                <w:szCs w:val="24"/>
                <w:color w:val="auto"/>
              </w:rPr>
            </w:pPr>
          </w:p>
        </w:tc>
        <w:tc>
          <w:tcPr>
            <w:tcW w:w="60" w:type="dxa"/>
            <w:vAlign w:val="bottom"/>
            <w:tcBorders>
              <w:top w:val="single" w:sz="8" w:color="007DC6"/>
              <w:bottom w:val="single" w:sz="8" w:color="9A9A9A"/>
            </w:tcBorders>
          </w:tcPr>
          <w:p>
            <w:pPr>
              <w:spacing w:after="0"/>
              <w:rPr>
                <w:sz w:val="24"/>
                <w:szCs w:val="24"/>
                <w:color w:val="auto"/>
              </w:rPr>
            </w:pPr>
          </w:p>
        </w:tc>
        <w:tc>
          <w:tcPr>
            <w:tcW w:w="20" w:type="dxa"/>
            <w:vAlign w:val="bottom"/>
            <w:tcBorders>
              <w:top w:val="single" w:sz="8" w:color="007DC6"/>
              <w:bottom w:val="single" w:sz="8" w:color="9A9A9A"/>
            </w:tcBorders>
          </w:tcPr>
          <w:p>
            <w:pPr>
              <w:spacing w:after="0"/>
              <w:rPr>
                <w:sz w:val="24"/>
                <w:szCs w:val="24"/>
                <w:color w:val="auto"/>
              </w:rPr>
            </w:pPr>
          </w:p>
        </w:tc>
        <w:tc>
          <w:tcPr>
            <w:tcW w:w="400" w:type="dxa"/>
            <w:vAlign w:val="bottom"/>
            <w:tcBorders>
              <w:top w:val="single" w:sz="8" w:color="007DC6"/>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 w:name="page3"/>
    <w:bookmarkEnd w:id="2"/>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55" w:lineRule="exact"/>
        <w:rPr>
          <w:sz w:val="20"/>
          <w:szCs w:val="20"/>
          <w:color w:val="auto"/>
        </w:rPr>
      </w:pPr>
    </w:p>
    <w:p>
      <w:pPr>
        <w:jc w:val="center"/>
        <w:spacing w:after="0"/>
        <w:rPr>
          <w:sz w:val="20"/>
          <w:szCs w:val="20"/>
          <w:color w:val="auto"/>
        </w:rPr>
      </w:pPr>
      <w:r>
        <w:rPr>
          <w:rFonts w:ascii="Calibri" w:cs="Calibri" w:eastAsia="Calibri" w:hAnsi="Calibri"/>
          <w:sz w:val="36"/>
          <w:szCs w:val="36"/>
          <w:color w:val="auto"/>
        </w:rPr>
        <w:t>PART I</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 – BUSINESS</w:t>
      </w:r>
    </w:p>
    <w:p>
      <w:pPr>
        <w:spacing w:after="0" w:line="11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General</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Martn Marieta Materials, Inc. (the Company or Martn Marieta) is a natural resource-based building materials company. The Company supplies aggregates (crushed stone, sand and gravel) through its network of approximately 360 quarries, mines and distributon yards in 28 states, Canada and The Bahamas. In 2023, aggregates gross proft accounted for 68% of the Company’s consolidated total gross proft. Martn Marieta also provides cement and downstream products, namely, ready mixed concrete, asphalt and paving services, in targeted markets where the Company has a leading aggregates positon. The Company’s heavy-side building materials are used in infrastructure, nonresidental and residental constructon projects. Aggregates are also used in agricultural, utlity and environmental applicatons and as railroad ballast. The aggregates, cement, ready mixed concrete and asphalt and paving operatons are reported collectvely as the “Building Materials business”. The Company also operates a Magnesia Specialtes business with producton facilites in Michigan and Ohio. The Magnesia Specialtes business produces magnesia-based chemical products that are used in industrial, agricultural and environmental applicatons. It also produces dolomitc lime sold primarily to customers for steel producton and soil stabilizaton. Magnesia Specialtes’ products are shipped to customers domestcally and worldwide.</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May 3, 2023, the Company divested its Stockton cement import terminal in California. On October 31, 2023, the Company divested the Tehachapi, California cement plant for $315.0 million in cash. In connecton with the Tehachapi cement plant transacton, the Company recorded a $26.3 million pretax loss on divestture in discontnued operatons. Since October 1, 2021 and through their respectve divestture dates, the aforementoned California operatons were classifed as assets held for sale and reported as discontnued operatons. As of December 31, 2023, the Company has largely concluded the planned asset sales from the 2021 Lehigh Hanson, Inc. West Region business (Lehigh West Region) acquisiton.</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January 16, 2024, the Company completed the acquisiton of Albert Frei &amp; Sons, Inc., a leading aggregates producer in Colorado, securing more than 60 years (at 2023 producton levels) of high-quality, hard rock reserves. This transacton enhances the Company's aggregates platorm in the high-growth Denver metropolitan area.</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9, 2024, the Company closed the sale of its South Texas cement business and certain of its related ready mixed concrete operatons to CRH Americas Materials, Inc., a subsidiary of CRH plc, for $2.1 billion in cash. Specifcally, the divested facilites included the Hunter cement plant in New Braunfels, Texas, related cement distributon terminals and 20 ready mixed concrete plants serving the Austn and San Antonio region. This divestture optmizes the Company's portolio and product mix and provides additonal balance sheet fexibility to redeploy net proceeds into pure-play aggregates acquisitons. These operatons are reported in the West Group and classifed as assets held for sale as of December 31, 2023.</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11, 2024, the Company entered into a defnitve agreement to acquire 20 actve aggregates operatons in Alabama, South Carolina, South Florida, Tennessee, and Virginia from afliates of Blue Water Industries LLC (BWI Southeast) for $2.05 billion in cash. The BWI Southeast acquisiton complements Martn Marieta’s existng geographic footprint in the dynamic southeast region by allowing the Company to expand into new growth platorms in target markets including Nashville and Miami. The transacton is expected to close during 2024, subject to regulatory approvals and other customary closing conditons.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Business Segment Informaton</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conducts its Building Materials business through two reportable segments, organized by geography: East Group and West Group. The East Group provides aggregates and asphalt products. The West Group provides aggregates, cement, downstream products and paving services. The Company’s Magnesia Specialtes business is reported as a separate segment and includes its magnesia-based chemicals and dolomitc lime businesses. For more informaton on the organizaton and geographic area of the Company’s business segments, see “</w:t>
      </w:r>
      <w:r>
        <w:rPr>
          <w:rFonts w:ascii="Calibri" w:cs="Calibri" w:eastAsia="Calibri" w:hAnsi="Calibri"/>
          <w:sz w:val="18"/>
          <w:szCs w:val="18"/>
          <w:u w:val="single" w:color="auto"/>
          <w:color w:val="007DC6"/>
        </w:rPr>
        <w:t>Note A: Accountng Policies</w:t>
      </w:r>
      <w:r>
        <w:rPr>
          <w:rFonts w:ascii="Calibri" w:cs="Calibri" w:eastAsia="Calibri" w:hAnsi="Calibri"/>
          <w:sz w:val="18"/>
          <w:szCs w:val="18"/>
          <w:color w:val="auto"/>
        </w:rPr>
        <w:t>” and “</w:t>
      </w:r>
      <w:r>
        <w:rPr>
          <w:rFonts w:ascii="Calibri" w:cs="Calibri" w:eastAsia="Calibri" w:hAnsi="Calibri"/>
          <w:sz w:val="18"/>
          <w:szCs w:val="18"/>
          <w:u w:val="single" w:color="auto"/>
          <w:color w:val="007DC6"/>
        </w:rPr>
        <w:t>Note O: Segments</w:t>
      </w:r>
      <w:r>
        <w:rPr>
          <w:rFonts w:ascii="Calibri" w:cs="Calibri" w:eastAsia="Calibri" w:hAnsi="Calibri"/>
          <w:sz w:val="18"/>
          <w:szCs w:val="18"/>
          <w:color w:val="auto"/>
        </w:rPr>
        <w:t>” of the “Notes to Financial Statements” of the Company’s consolidated fnancial statements, which appear in Item 8, “</w:t>
      </w:r>
      <w:r>
        <w:rPr>
          <w:rFonts w:ascii="Calibri" w:cs="Calibri" w:eastAsia="Calibri" w:hAnsi="Calibri"/>
          <w:sz w:val="18"/>
          <w:szCs w:val="18"/>
          <w:u w:val="single" w:color="auto"/>
          <w:color w:val="007DC6"/>
        </w:rPr>
        <w:t>Financial Statements and Supplementary</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Data</w:t>
      </w:r>
      <w:r>
        <w:rPr>
          <w:rFonts w:ascii="Calibri" w:cs="Calibri" w:eastAsia="Calibri" w:hAnsi="Calibri"/>
          <w:sz w:val="18"/>
          <w:szCs w:val="18"/>
          <w:color w:val="000000"/>
        </w:rPr>
        <w:t>,” of this Annual Report on Form 10-K (this Form 10-K), which informaton is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-290195</wp:posOffset>
            </wp:positionV>
            <wp:extent cx="2392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5239385</wp:posOffset>
            </wp:positionH>
            <wp:positionV relativeFrom="paragraph">
              <wp:posOffset>-153035</wp:posOffset>
            </wp:positionV>
            <wp:extent cx="1890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03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210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185" cy="825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231775</wp:posOffset>
            </wp:positionV>
            <wp:extent cx="325755" cy="196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6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 w:name="page4"/>
    <w:bookmarkEnd w:id="3"/>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Building Materials Business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proftability of the Building Materials business, which serves customers in the constructon marketplace, is sensitve to natonal, regional and local economic conditons and constructon cyclicality, which are in turn afected by fuctuatons in levels of public-sector infrastructure funding; interest rates; access to capital markets; and demographic, geographic, employment and populaton dynamics. The heavy-side constructon business is conducted outdoors, as are much of the Building Materials business’ operatons. Therefore, erratc weather paterns, seasonal changes, and other weather-related conditons, including precipitaton, fooding, hurricanes, snowstorms, extreme temperatures, wildfres, earthquakes and droughts, can signifcantly afect producton schedules, shipments, costs, efciencies and proftability. Generally, the fnancial results for the frst and fourth quarters are subject to the impacts of winter weather, while the second and third quarters are subject to the impacts of heavy precipitaton.</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Building Materials business markets its products primarily to the constructon industry, with 36% of its 2023 aggregates shipments sold to contractors in connecton with highway and other public infrastructure projects and the balance of its shipments sold primarily to contractors for nonresidental and residental constructon projects. The Company believes the business’ mix of public sector-related shipments lessens the impacts of fuctuatons in nonresidental and residental, or private-sector, constructon spending.</w:t>
      </w:r>
    </w:p>
    <w:p>
      <w:pPr>
        <w:spacing w:after="0" w:line="111"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Funding of public infrastructure, historically the Company’s largest end-use market, is discussed in greater detail under “</w:t>
      </w:r>
      <w:r>
        <w:rPr>
          <w:rFonts w:ascii="Calibri" w:cs="Calibri" w:eastAsia="Calibri" w:hAnsi="Calibri"/>
          <w:sz w:val="17"/>
          <w:szCs w:val="17"/>
          <w:u w:val="single" w:color="auto"/>
          <w:color w:val="007DC6"/>
        </w:rPr>
        <w:t>Building Materials Business’ Key</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007DC6"/>
        </w:rPr>
        <w:t>Consideratons—Public Infrastructure</w:t>
      </w:r>
      <w:r>
        <w:rPr>
          <w:rFonts w:ascii="Calibri" w:cs="Calibri" w:eastAsia="Calibri" w:hAnsi="Calibri"/>
          <w:sz w:val="17"/>
          <w:szCs w:val="17"/>
          <w:color w:val="000000"/>
        </w:rPr>
        <w:t>” in</w:t>
      </w:r>
      <w:r>
        <w:rPr>
          <w:rFonts w:ascii="Calibri" w:cs="Calibri" w:eastAsia="Calibri" w:hAnsi="Calibri"/>
          <w:sz w:val="17"/>
          <w:szCs w:val="17"/>
          <w:color w:val="007DC6"/>
        </w:rPr>
        <w:t xml:space="preserve"> </w:t>
      </w:r>
      <w:r>
        <w:rPr>
          <w:rFonts w:ascii="Calibri" w:cs="Calibri" w:eastAsia="Calibri" w:hAnsi="Calibri"/>
          <w:sz w:val="17"/>
          <w:szCs w:val="17"/>
          <w:u w:val="single" w:color="auto"/>
          <w:color w:val="007DC6"/>
        </w:rPr>
        <w:t>Item 7, “Management’s Discussion and Analysis of Financial Conditon and Results of Operatons</w:t>
      </w:r>
      <w:r>
        <w:rPr>
          <w:rFonts w:ascii="Calibri" w:cs="Calibri" w:eastAsia="Calibri" w:hAnsi="Calibri"/>
          <w:sz w:val="17"/>
          <w:szCs w:val="17"/>
          <w:color w:val="000000"/>
        </w:rPr>
        <w: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5643245</wp:posOffset>
            </wp:positionH>
            <wp:positionV relativeFrom="paragraph">
              <wp:posOffset>-165735</wp:posOffset>
            </wp:positionV>
            <wp:extent cx="1488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884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62166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16650" cy="8255"/>
                    </a:xfrm>
                    <a:prstGeom prst="rect">
                      <a:avLst/>
                    </a:prstGeom>
                    <a:noFill/>
                  </pic:spPr>
                </pic:pic>
              </a:graphicData>
            </a:graphic>
          </wp:anchor>
        </w:drawing>
      </w:r>
    </w:p>
    <w:p>
      <w:pPr>
        <w:spacing w:after="0" w:line="7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Building Materials business covers a wide geographic area. The ten largest revenue-generatng states (Texas, North Carolina, Colorado, California, Georgia, Minnesota, Arizona, Iowa, Florida and Indiana) accounted for 82% of the Building Materials business’ total revenues in 2023. The Building Materials business is accordingly afected by the economies in these regions and has been adversely afected in part by recessions and weaknesses in these economies from tme to tme and may be afected by a decline in economic conditons, such as recession, economic downturn or infatonary conditons in the future. In 2023, aggregates shipments decreased 4.3%, largely refectve of the Company's value-over-volume strategy and moderatng demand resultng from the afordability-driven residental slowdown and a sofening in warehouse and data center constructon demand.</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Aggregates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Aggregates, consistng of crushed stone, sand and gravel, are an engineered, granular material that is manufactured to specifc sizes, grades and chemistry for use primarily in constructon applicatons. The Company’s operatons consist primarily of open pit quarries; however, the Company is the largest operator of underground aggregates mines in the United States, with 14 actve underground mines located in the East Group.</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Natural aggregates sources can be found in relatvely homogeneous deposits in certain areas of the United States. Proximity of quarry facilites to customers’ constructon sites or to long-haul transportaton corridors is an important factor in competton for aggregates businesses. As a general rule, the distance truck shipments travel from an individual quarry is limited because the cost of transportng processed aggregates to customers is high in relaton to the price of the product itself. The Company’s distributon system mainly uses trucks, but also has access to rail and waterborne networks where the per-mile unit costs of transportng aggregates are lower.</w:t>
      </w:r>
    </w:p>
    <w:p>
      <w:pPr>
        <w:spacing w:after="0" w:line="112"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The Company’s distributon network moves aggregates materials from certain domestc and ofshore sources via its long-haul rail and waterborne distributon network, to markets where aggregates supply is limited. The Company’s rail network primarily serves its Texas, Florida, Colorado and Gulf Coast markets, while the Company’s locatons in The Bahamas and Nova Scota transport materials via oceangoing ships. The Company’s strategic focus includes expanding inland and ofshore capacity and acquiring distributon facilites and port locatons to ofoad transported material. At December 31, 2023, the Company’s aggregates distributon facilites consisted of 76 yards. The Company’s rail-based distributon network, coupled with the extensive use of rail service, increases the Company’s dependence on and exposure to railroad performance, including track congeston, crew availability, railcar availability, locomotve availability and the ability to negotate favorable railroad shipping contracts. The waterborne distributon network also increases the Company’s exposure to certain risks, including, among other items, meetng minimum tonnage requirements of shipping contracts, demurrage costs, fuel costs, ship availability and weather disruptons. The Company has long-term agreements with shipping companies to provide ships to transport its aggregates to various coastal 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90170</wp:posOffset>
            </wp:positionV>
            <wp:extent cx="325755"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 w:name="page5"/>
    <w:bookmarkEnd w:id="4"/>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generally acquires contguous property around existng quarry locatons. Such parcels can serve as bufer property or additonal mineral reserves, assuming the underlying geology supports economical aggregates mining. In either instance, the acquisiton of additonal property around an existng quarry typically allows the expansion of the quarry footprint and extension of quarry life. Some locatons having limited reserves may be unable to expand.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Due to the nature of the indigenous aggregates supply in the midwestern United States, a long-term capital focus for the Company is underground limestone aggregates mines. Producton costs are generally higher at underground mines than surface quarries since the depth of the aggregates deposits and the access to the reserves result in higher costs related to development, explosives and depreciaton costs. However, these locatons ofen possess marketplace transportaton advantages that can lead to higher average selling prices than more distant surface quarries.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constructon aggregates industry has been consolidatng, and the Company has actvely partcipated in the industry’s consolidaton. The Company’s Board of Directors and management contnue to review and monitor the Company’s long-term strategic plans, commonly referred to as SOAR (</w:t>
      </w:r>
      <w:r>
        <w:rPr>
          <w:rFonts w:ascii="Calibri" w:cs="Calibri" w:eastAsia="Calibri" w:hAnsi="Calibri"/>
          <w:sz w:val="18"/>
          <w:szCs w:val="18"/>
          <w:u w:val="single" w:color="auto"/>
          <w:color w:val="auto"/>
        </w:rPr>
        <w:t>S</w:t>
      </w:r>
      <w:r>
        <w:rPr>
          <w:rFonts w:ascii="Calibri" w:cs="Calibri" w:eastAsia="Calibri" w:hAnsi="Calibri"/>
          <w:sz w:val="18"/>
          <w:szCs w:val="18"/>
          <w:color w:val="auto"/>
        </w:rPr>
        <w:t xml:space="preserve">trategic </w:t>
      </w:r>
      <w:r>
        <w:rPr>
          <w:rFonts w:ascii="Calibri" w:cs="Calibri" w:eastAsia="Calibri" w:hAnsi="Calibri"/>
          <w:sz w:val="18"/>
          <w:szCs w:val="18"/>
          <w:u w:val="single" w:color="auto"/>
          <w:color w:val="auto"/>
        </w:rPr>
        <w:t>O</w:t>
      </w:r>
      <w:r>
        <w:rPr>
          <w:rFonts w:ascii="Calibri" w:cs="Calibri" w:eastAsia="Calibri" w:hAnsi="Calibri"/>
          <w:sz w:val="18"/>
          <w:szCs w:val="18"/>
          <w:color w:val="auto"/>
        </w:rPr>
        <w:t xml:space="preserve">peratng </w:t>
      </w:r>
      <w:r>
        <w:rPr>
          <w:rFonts w:ascii="Calibri" w:cs="Calibri" w:eastAsia="Calibri" w:hAnsi="Calibri"/>
          <w:sz w:val="18"/>
          <w:szCs w:val="18"/>
          <w:u w:val="single" w:color="auto"/>
          <w:color w:val="auto"/>
        </w:rPr>
        <w:t>A</w:t>
      </w:r>
      <w:r>
        <w:rPr>
          <w:rFonts w:ascii="Calibri" w:cs="Calibri" w:eastAsia="Calibri" w:hAnsi="Calibri"/>
          <w:sz w:val="18"/>
          <w:szCs w:val="18"/>
          <w:color w:val="auto"/>
        </w:rPr>
        <w:t xml:space="preserve">nalysis and </w:t>
      </w:r>
      <w:r>
        <w:rPr>
          <w:rFonts w:ascii="Calibri" w:cs="Calibri" w:eastAsia="Calibri" w:hAnsi="Calibri"/>
          <w:sz w:val="18"/>
          <w:szCs w:val="18"/>
          <w:u w:val="single" w:color="auto"/>
          <w:color w:val="auto"/>
        </w:rPr>
        <w:t>R</w:t>
      </w:r>
      <w:r>
        <w:rPr>
          <w:rFonts w:ascii="Calibri" w:cs="Calibri" w:eastAsia="Calibri" w:hAnsi="Calibri"/>
          <w:sz w:val="18"/>
          <w:szCs w:val="18"/>
          <w:color w:val="auto"/>
        </w:rPr>
        <w:t>eview), which include assessing portolio optmizaton strategies that include business combinatons and arrangements with other companies engaged in similar businesses, investng in internal expansion projects in high-growth markets, divestng businesses or nonoperatng assets that are not core or do not further management’s strategy and pursuing new opportunites in the Company’s existng markets or new markets. Acquisiton opportunites include public companies, public company carve-outs and private sponsor-owned and family-owned businesses, as well as asset swaps and divesttures from companies executng their strategic plans, ratonalizing non-core assets and repairing fnancially-constrained balance sheets. When acquired, new locatons sometmes do not satsfy the Company’s internal safety, maintenance, pit development or other standards, and may require additonal investments before benefts of the acquisitons are fully realized.</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believes its aggregates reserves are sufcient to permit producton at present operatonal levels for the foreseeable future. The Company does not antcipate any signifcant difculty in accessing reserves used for producton. The Company’s aggregates reserves average approximately 75 years, based on the 2023 annual producton level. However, certain locatons may be subject to limited reserves and may not be able to expand. Moreover, environmental, zoning and land use regulatons will likely make it harder for the Company to expand its existng quarries or develop new quarry operatons. Although it cannot be predicted what policies will be adopted in the future by federal, state and local governmental bodies regarding these maters, the Company antcipates that future restrictons will likely make zoning and permitng more difcult, thereby potentally enhancing the value of the Company’s existng mineral reserves.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generally sells its aggregates upon receipt of customer orders or requests. The Company generally maintains inventories of aggregates products in sufcient quanttes to meet the requirements of customers.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Cement and Downstream Operatons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is the basic agent used to bind aggregates, sand and water in the producton of ready mixed concrete. Similar to aggregates, cement is used in infrastructure projects, nonresidental and residental constructon, and the railroad, agricultural, utlity and environmental industries. Consequently, the cement industry is cyclical and dependent on the strength of the constructon sector. At December 31, 2023, the Company had producton facilites in Midlothian, Texas, south of Dallas/Fort Worth, and New Braunfels, Texas, north of San Antonio. These plants, which produce Portland and specialty cements, operated at 71% utlizaton in 2023. Clinker is the inital product in cement producton, and the two Texas producton facilites had a combined annual clinker capacity of 4.5 million tons in 2023. The Midlothian plant permit allows the Company to expand producton by up to 0.8 million additonal tons. The Company is currently undertaking a fnishing capacity expansion project at the Midlothian plant, which is expected to be completed in mid-2024 and will provide 0.5 million tons of annual incremental cement capacity. Further, the Company has converted its plants to manufacture a less carbon-intensive Portland limestone cement, known as Type 1L, which has been approved by the Texas Department of Transportaton. On February 9, 2024, the Company closed the sale of it South Texas cement business and related cement distributon terminals. This divestture optmizes the Company's portolio and product mix and provides additonal balance sheet fexibility to redeploy net proceeds into pure-play aggregates acquisitons.</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Calcium carbonate in the form of limestone is the principal raw material used in the producton of cement. The Company in 2023 owned more than 600 million tons of limestone reserves adjacent to its Texas cement producton plants on Company-owned property. The cement grade limestone reserves at the Hunter producton facility in New Braunfels, Texas, were included with the February 2024 divestture to CRH Americas Materials, Inc. Management believes that its reserves of limestone are sufcient to permit producton at its cement plants at the current operatonal levels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 w:name="page6"/>
    <w:bookmarkEnd w:id="5"/>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consumpton is dependent on the tme of year and prevalent weather conditons. According to the Portland Cement Associaton, nearly two-thirds of U.S. cement consumpton occurs in the six months between May and October. Approximately 70% to 75% of all cement shipments are sent to ready mixed concrete operators. The remainder is shipped to manufacturers of concrete-related products, contractors, materials dealers and oil well/mining/drilling companies. The Company's cement operatons generally deliver their products upon receipt of customer orders or requests. Inventory for products is generally maintained in sufcient quanttes to meet rapid delivery requirements of customers</w:t>
      </w:r>
      <w:r>
        <w:rPr>
          <w:rFonts w:ascii="Calibri" w:cs="Calibri" w:eastAsia="Calibri" w:hAnsi="Calibri"/>
          <w:sz w:val="18"/>
          <w:szCs w:val="18"/>
          <w:b w:val="1"/>
          <w:bCs w:val="1"/>
          <w:color w:val="auto"/>
        </w:rPr>
        <w:t>.</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Energy accounted for 18% of the cement total cost of revenues, excluding inventory change, in 2023. Therefore, cement proftability is afected by changes in energy prices and the available supply of these products. The Company currently has fxed-price supply contracts for portons of its natural gas, electricity and coal needs, but also consumes alternatve fuel and petroleum coke. Further, proftability of the cement operatons is also impacted by kiln maintenance, which typically is planned but requires a plant to be shut down for a period of tme.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Ready mixed concrete is measured in cubic yards and specifcally batched or produced for customers’ constructon projects and then typically transported by mixer trucks and poured at the project site. The aggregates used for ready mixed concrete is a washed material with limited amounts of fnes (such as dirt and clay). As of December 31, 2023, the Company operated 82 ready mixed concrete plants in Arizona and Texas, of which 20 plants located in the Austn and San Antonio region are classifed as assets held for sale. These 20 plants were subsequently divested on February 9, 2024. Asphalt is most commonly used in surfacing roads and parking lots and consists of liquid asphalt, or bitumen, the binding medium, and aggregates. Similar to ready mixed concrete, each asphalt batch is produced to customer specifcatons. As of December 31, 2023, the Company operated 38 asphalt plants in Arizona, California, Colorado and Minnesota. The Company also ofers paving services in California and Colorado. Market dynamics for these downstream product lines include a highly compettve environment and lower barriers to entry compared with aggregates and cement.</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cement and downstream operatons results are afected by volatle factors, including energy-related costs, operatng efciencies and weather, to a greater extent than the Company’s aggregates operatons. Liquid asphalt and cement serve as key raw materials in the producton of hot mix asphalt and ready mixed concrete, respectvely. Therefore, fuctuatons in prices for these raw materials directly afect the Company’s operatng results.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Magnesia Specialtes Business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Magnesia Specialtes business produces and sells dolomitc lime from its Woodville, Ohio facility and manufactures magnesia-based chemical products for industrial, agricultural and environmental applicatons at its Manistee, Michigan facility. These magnesia-based chemical products have varying uses, including fame retardants, wastewater treatment, pulp and paper producton and other environmental applicatons. In 2023, 66% of Magnesia Specialtes’ total revenues were atributable to chemical products, 33% to lime, and 1% to stone sold as constructon materials.</w:t>
      </w:r>
    </w:p>
    <w:p>
      <w:pPr>
        <w:spacing w:after="0" w:line="111" w:lineRule="exact"/>
        <w:rPr>
          <w:sz w:val="20"/>
          <w:szCs w:val="20"/>
          <w:color w:val="auto"/>
        </w:rPr>
      </w:pPr>
    </w:p>
    <w:p>
      <w:pPr>
        <w:jc w:val="both"/>
        <w:spacing w:after="0" w:line="239" w:lineRule="auto"/>
        <w:rPr>
          <w:sz w:val="20"/>
          <w:szCs w:val="20"/>
          <w:color w:val="auto"/>
        </w:rPr>
      </w:pPr>
      <w:r>
        <w:rPr>
          <w:rFonts w:ascii="Calibri" w:cs="Calibri" w:eastAsia="Calibri" w:hAnsi="Calibri"/>
          <w:sz w:val="18"/>
          <w:szCs w:val="18"/>
          <w:color w:val="auto"/>
        </w:rPr>
        <w:t>Magnesia Specialtes generally delivers its products upon receipt of customer orders or requests. Inventory for products is generally maintained in sufcient quanttes to meet rapid delivery requirements of customers. A signifcant porton of the 275,000-ton dolomitc lime capacity from a lime kiln at Woodville, Ohio is commited under a long-term supply contract. In 2023, 78% of the lime shipments in the Magnesia Specialtes business was sold to third-party customers, while the remaining 22% was used internally as a raw material in making the business’ chemical products. Dolomitc lime products sold to external customers are used primarily by the steel industry. In 2023, 38% of the Magnesia Specialtes’ total revenues were atributable to products used in the steel industry, primarily dolomitc lime. Accordingly, a porton of the revenues and proftability of the Magnesia Specialtes business is afected by producton and inventory trends in the steel industry. These trends are guided by the rate of consumer consumpton, the fow of ofshore imports and other economic factors. The dolomitc lime business runs most proftably at 70% or greater domestc steel capacity utlizaton. According to the Federal Reserve, domestc steel capacity utlizaton averaged 74% of capacity in 2023 versus 75% of capacity in 2022.</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Magnesia Specialtes business, a signifcant porton of costs is of a fxed or semi-fxed nature. The producton process requires the use of natural gas, coal and petroleum coke. Therefore, fuctuatons in their pricing directly afect operatng results. To help mitgate this risk, the Magnesia Specialtes business has fxed-price agreements for approximately 81% of its 2024 coal, petroleum coke and natural gas needs. For 2023, the Company’s average cost per MMBtu (1,000,000 Britsh thermal units) of natural gas decreased 19% versus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230505</wp:posOffset>
            </wp:positionV>
            <wp:extent cx="325755" cy="196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66"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 w:name="page7"/>
    <w:bookmarkEnd w:id="6"/>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Given high fxed costs, low capacity utlizaton can negatvely afect the segment’s results from operatons. Management has shifed the strategic focus of the magnesia-based business to grow and diversify the specialty chemicals product portolio to reliably produce at volume levels that support efcient operatons. Accordingly, these products are less dependent on the steel industry than the dolomitc lime product line. Management expects future organic proft growth to result from increased pricing, commercializaton of new products, entry into new or adjacent markets and optmizaton of overall product mix.</w:t>
      </w:r>
    </w:p>
    <w:p>
      <w:pPr>
        <w:spacing w:after="0" w:line="11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principal raw materials used in the Magnesia Specialtes business are dolomitc limestone and magnesium-rich brine. Management believes that its reserves of dolomitc limestone and brine are sufcient to permit producton at the current operatonal levels for the foreseeable future.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Magnesia Specialtes business is highly dependent on rail transportaton, partcularly for movement of dolomitc lime from Woodville to Manistee and direct customer shipments of dolomitc lime and magnesia chemicals products from both Woodville and Manistee. The segment can be afected by the specifc transportaton and other risks and uncertaintes outlined under Item 1A, “</w:t>
      </w:r>
      <w:r>
        <w:rPr>
          <w:rFonts w:ascii="Calibri" w:cs="Calibri" w:eastAsia="Calibri" w:hAnsi="Calibri"/>
          <w:sz w:val="18"/>
          <w:szCs w:val="18"/>
          <w:u w:val="single" w:color="auto"/>
          <w:color w:val="007DC6"/>
        </w:rPr>
        <w:t>Risk Factors</w:t>
      </w:r>
      <w:r>
        <w:rPr>
          <w:rFonts w:ascii="Calibri" w:cs="Calibri" w:eastAsia="Calibri" w:hAnsi="Calibri"/>
          <w:sz w:val="18"/>
          <w:szCs w:val="18"/>
          <w:color w:val="auto"/>
        </w:rPr>
        <w: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-17780</wp:posOffset>
            </wp:positionV>
            <wp:extent cx="529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959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Patents and Trademarks</w:t>
      </w:r>
    </w:p>
    <w:p>
      <w:pPr>
        <w:spacing w:after="0" w:line="5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As of January 31, 2024, the Company owns, has the right to use, or has pending applicatons for patents pending or granted by the United States and various countries and trademarks related to its business. The Company believes that its rights under its existng patents, patent applicatons and trademarks are of value to its operatons, but no one patent or trademark or group of patents or trademarks is material to the conduct of the Company’s business as a whole.</w:t>
      </w:r>
    </w:p>
    <w:p>
      <w:pPr>
        <w:spacing w:after="0" w:line="20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Customers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products are sold principally to commercial customers in private industry. Although large amounts of constructon materials are used in public works projects, relatvely insignifcant sales are made directly to federal, state, county or municipal governments, or agencies thereof. No material part of the business as a whole, or of any segment of the Company, is dependent upon a single customer or upon a few customers. The loss of any single customer would not have a material adverse efect on the Company.</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Competton</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nature of the Company’s competton varies among its products due to the widely difering amounts of capital necessary to build and maintain producton facilites. Crushed stone producton from quarries or mines and sand and gravel producton by dredging or otherwise are moderately capital intensive. Constructon of cement producton facilites is highly capital intensive and requires long lead tmes to complete engineering design, obtain regulatory permits, acquire equipment and construct a plant. Most domestc cement producers are owned by large foreign companies operatng in multple internatonal markets. Many of these producers maintain the capability to import cement from foreign producton facilites. Ready mixed concrete producton requires relatvely small amounts of capital to build a concrete batching plant and acquire delivery trucks. Accordingly, economics can lead to lower barriers to entry in some concrete markets. As a result, depending on the local market, the Company may face competton from small producers as well as large, vertcally-integrated companies with facilites in many markets.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operates in a largely fragmented industry, including large, public companies and a large number of small, privately-held companies. Other publicly traded companies among the ten-largest U.S. aggregates producers include the following:</w:t>
      </w:r>
    </w:p>
    <w:p>
      <w:pPr>
        <w:spacing w:after="0" w:line="64" w:lineRule="exact"/>
        <w:rPr>
          <w:sz w:val="20"/>
          <w:szCs w:val="20"/>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Arcosa, Inc.</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CEMEX S.A.B. de C.V.</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CRH plc</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Heidelberg Materials AG</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Holcim Ltd.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Knife River Corporaton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Summit Materials, Inc.</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Vulcan Materials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229235</wp:posOffset>
            </wp:positionV>
            <wp:extent cx="325755"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6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 w:name="page8"/>
    <w:bookmarkEnd w:id="7"/>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Due to the localized nature of the industry resultng from the high cost of transportaton relatve to the price of the product, the Building Materials business primarily operates in smaller distnct areas that can vary from one another. The Company believes that its ability to transport materials by rail and waterborne vessels has enhanced its ability to compete in the building materials industry.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Capacity for cement plants is ofen stated in terms of clinker capacity. According to the Portland Cement Associaton, United States cement producton is widely dispersed, with the top fve companies collectvely producing approximately 57% of U.S. clinker capacity. An estmated 85% of U.S. clinker capacity is owned by companies headquartered outside of the United States. The Company’s cement operatons also compete with imported cement because of the higher value of the product and the existence of major ports or terminals in Texas.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ready mixed concrete and asphalt and paving operatons are also in markets with numerous operators, large and small.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Magnesia Specialtes business competes with various companies in diferent geographic and product areas principally on the basis of quality, price, technological advances and technical support for its products. While the revenues of the Magnesia Specialtes business in 2023 were predominantly domestc, a porton was derived from customers located outside the United States.</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Environmental and Governmental Regulatons</w:t>
      </w:r>
    </w:p>
    <w:p>
      <w:pPr>
        <w:spacing w:after="0" w:line="1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Overview</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operatons are subject to and afected by federal, state and local laws, rules and regulatons relatng to zoning, land use, mining, air emissions (including carbon dioxide and other greenhouse gases), water use, allocaton and discharges, waste management, noise and dust exposure control, reclamaton and other environmental, health and safety, and regulatory maters. Certain of the Company’s operatons may from tme to tme involve the use of substances that are classifed as toxic or hazardous within the meaning of these laws and regulatons. Environmental operatng permits are, or may be, required for certain of the Company’s operatons, and such permits are subject to modifcaton, renewal and revocaton.</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Environmental Compliance and Costs</w:t>
      </w:r>
    </w:p>
    <w:p>
      <w:pPr>
        <w:spacing w:after="0" w:line="59"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The Company regularly monitors and reviews its operatons, procedures and policies for compliance with existng laws, rules and regulatons, changes in interpretatons of existng laws and enforcement policies, new laws that are adopted and new laws that the Company antcipates will be adopted that could afect its operatons, including with respect to climate change. The Company has a full-tme team of environmental engineers and managers that perform these responsibilites. The direct costs of ongoing environmental compliance were approximately $45.4 million in 2023 and $35.6 million in 2022 and are related to the Company’s environmental staf, ongoing monitoring costs for various maters (including those maters disclosed in this Form 10-K) and asset retrement costs. Capitalized costs related to environmental control facilites were $24.4 million in 2023 and are expected to be approximately $25.0 million in 2024 and $30.0 million in 2025. The Company’s capital expenditures for environmental maters were not material to its results of operatons or fnancial conditon in 2023 and 2022. However, the Company’s expenditures for environmental maters generally have increased over tme and are likely to increase in the future. Despite the Company’s compliance eforts, the risk of environmental liability is inherent in the Company’s businesses, and environmental liabilites could have a material adverse efect on the Company in the future. Complying with governmental and environmental regulatons did not have and is not expected to have a material efect on the Company’s capital expenditures, earnings and compettve positon, other than as discussed in this secton.</w:t>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Many of the applicable requirements of environmental laws are satsfed by procedures that the Company adopts as best practces in the ordinary course of its business. For example, plant equipment that is used to crush aggregates products may, in the ordinary course of operatons, have an atached water spray bar that is used to clean the stone. The water spray bar also serves as a dust control mechanism that complies with applicable environmental laws. Moreover, the Company does not separate the porton of the cost, depreciaton and other fnancial informaton relatng to the water spray bar that is atributable only to environmental purposes, as such an allocaton would be arbitrary. The incremental porton of such operatng costs that is atributable to environmental compliance rather than best operatng practces is impractcal to quantfy. Accordingly, the Company records costs in that category when incurred as operatng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232410</wp:posOffset>
            </wp:positionV>
            <wp:extent cx="325755"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6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 w:name="page9"/>
    <w:bookmarkEnd w:id="8"/>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Consistent with others in the cement industry, the Company’s cement operatons produce varying quanttes of cement kiln dust (CKD). This producton by-product consists of fne-grained, solid, highly alkaline material removed from cement kiln exhaust gas by air polluton control devices. Since much of the CKD is unreacted raw materials, it is generally permissible to recycle the CKD back into the producton process, and large amounts ofen are treated in such manner. CKD that is not returned to the producton process or sold as a separate product is disposed in landflls. CKD is currently exempted from federal hazardous waste regulatons under Subttle C of the Resource Conservaton and Recovery Act.</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environmental accruals recorded by the Company are based on internal studies of the required remediaton costs and estmates of potental costs that arise from tme to tme under federal, state and/or local environmental protecton laws. Many of these laws and their atendant regulatons are complex and are subject to challenges and new interpretatons by regulators and the courts. In additon, new laws are also enacted from tme to tme. It is ofen difcult to accurately and fully quantfy the costs to comply with new rules untl it is determined to which type of operatons they will apply and the manner in which they will be implemented is more accurately defned. This process typically takes years to fnalize, and the rules ofen change signifcantly from the tme they are proposed to the tme they are fnal. The Company typically has several appropriate alternatves available to satsfy compliance requirements, which could range from nominal costs to some alternatves that may be satsfed in conjuncton with equipment replacement or expansion that also beneft operatng efciencies or capacites and carry signifcantly higher costs.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believes that its current accrual for environmental costs is reasonable, although those amounts may increase or decrease depending on the impact of applicable rules as they are fnalized or amended from tme to tme and changes in facts and circumstances. The Company believes that its operatons and facilites, both owned or leased, are in substantal compliance with applicable laws and regulatons and any potental noncompliance is not likely to have a material adverse efect on the Company’s operatons or fnancial conditon. See “</w:t>
      </w:r>
      <w:r>
        <w:rPr>
          <w:rFonts w:ascii="Calibri" w:cs="Calibri" w:eastAsia="Calibri" w:hAnsi="Calibri"/>
          <w:sz w:val="18"/>
          <w:szCs w:val="18"/>
          <w:u w:val="single" w:color="auto"/>
          <w:color w:val="007DC6"/>
        </w:rPr>
        <w:t>Legal Proceedings</w:t>
      </w:r>
      <w:r>
        <w:rPr>
          <w:rFonts w:ascii="Calibri" w:cs="Calibri" w:eastAsia="Calibri" w:hAnsi="Calibri"/>
          <w:sz w:val="18"/>
          <w:szCs w:val="18"/>
          <w:color w:val="auto"/>
        </w:rPr>
        <w:t xml:space="preserve">" under Item 3 of this Form 10-K, </w:t>
      </w:r>
      <w:r>
        <w:rPr>
          <w:rFonts w:ascii="Calibri" w:cs="Calibri" w:eastAsia="Calibri" w:hAnsi="Calibri"/>
          <w:sz w:val="18"/>
          <w:szCs w:val="18"/>
          <w:u w:val="single" w:color="auto"/>
          <w:color w:val="0563C1"/>
        </w:rPr>
        <w:t>“Note N:</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563C1"/>
        </w:rPr>
        <w:t>Commitments and Contngencies”</w:t>
      </w:r>
      <w:r>
        <w:rPr>
          <w:rFonts w:ascii="Calibri" w:cs="Calibri" w:eastAsia="Calibri" w:hAnsi="Calibri"/>
          <w:sz w:val="18"/>
          <w:szCs w:val="18"/>
          <w:color w:val="0563C1"/>
        </w:rPr>
        <w:t xml:space="preserve"> </w:t>
      </w:r>
      <w:r>
        <w:rPr>
          <w:rFonts w:ascii="Calibri" w:cs="Calibri" w:eastAsia="Calibri" w:hAnsi="Calibri"/>
          <w:sz w:val="18"/>
          <w:szCs w:val="18"/>
          <w:color w:val="000000"/>
        </w:rPr>
        <w:t>of the “</w:t>
      </w:r>
      <w:r>
        <w:rPr>
          <w:rFonts w:ascii="Calibri" w:cs="Calibri" w:eastAsia="Calibri" w:hAnsi="Calibri"/>
          <w:sz w:val="18"/>
          <w:szCs w:val="18"/>
          <w:u w:val="single" w:color="auto"/>
          <w:color w:val="007DC6"/>
        </w:rPr>
        <w:t>Notes to Financial Statements</w:t>
      </w:r>
      <w:r>
        <w:rPr>
          <w:rFonts w:ascii="Calibri" w:cs="Calibri" w:eastAsia="Calibri" w:hAnsi="Calibri"/>
          <w:sz w:val="18"/>
          <w:szCs w:val="18"/>
          <w:color w:val="000000"/>
        </w:rPr>
        <w:t>” of the Company’s consolidated fnancial statements included under</w:t>
      </w:r>
      <w:r>
        <w:rPr>
          <w:rFonts w:ascii="Calibri" w:cs="Calibri" w:eastAsia="Calibri" w:hAnsi="Calibri"/>
          <w:sz w:val="18"/>
          <w:szCs w:val="18"/>
          <w:color w:val="0563C1"/>
        </w:rPr>
        <w:t xml:space="preserve"> </w:t>
      </w:r>
      <w:r>
        <w:rPr>
          <w:rFonts w:ascii="Calibri" w:cs="Calibri" w:eastAsia="Calibri" w:hAnsi="Calibri"/>
          <w:sz w:val="18"/>
          <w:szCs w:val="18"/>
          <w:u w:val="single" w:color="auto"/>
          <w:color w:val="007DC6"/>
        </w:rPr>
        <w:t>Item 8,</w:t>
      </w:r>
      <w:r>
        <w:rPr>
          <w:rFonts w:ascii="Calibri" w:cs="Calibri" w:eastAsia="Calibri" w:hAnsi="Calibri"/>
          <w:sz w:val="18"/>
          <w:szCs w:val="18"/>
          <w:color w:val="0563C1"/>
        </w:rPr>
        <w:t xml:space="preserve"> </w:t>
      </w:r>
      <w:r>
        <w:rPr>
          <w:rFonts w:ascii="Calibri" w:cs="Calibri" w:eastAsia="Calibri" w:hAnsi="Calibri"/>
          <w:sz w:val="18"/>
          <w:szCs w:val="18"/>
          <w:u w:val="single" w:color="auto"/>
          <w:color w:val="007DC6"/>
        </w:rPr>
        <w:t>“Financial Statements and Supplemental Data,”</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 and the “</w:t>
      </w:r>
      <w:r>
        <w:rPr>
          <w:rFonts w:ascii="Calibri" w:cs="Calibri" w:eastAsia="Calibri" w:hAnsi="Calibri"/>
          <w:sz w:val="18"/>
          <w:szCs w:val="18"/>
          <w:u w:val="single" w:color="auto"/>
          <w:color w:val="007DC6"/>
        </w:rPr>
        <w:t>Environmental Regulaton and Litgaton</w:t>
      </w:r>
      <w:r>
        <w:rPr>
          <w:rFonts w:ascii="Calibri" w:cs="Calibri" w:eastAsia="Calibri" w:hAnsi="Calibri"/>
          <w:sz w:val="18"/>
          <w:szCs w:val="18"/>
          <w:color w:val="000000"/>
        </w:rPr>
        <w:t>" secton included under</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Item 7,</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“Management’s Discussion and Analysis of Financial Conditon and Results of Operatons,”</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 However, future events, such as changes in or</w:t>
      </w:r>
      <w:r>
        <w:rPr>
          <w:rFonts w:ascii="Calibri" w:cs="Calibri" w:eastAsia="Calibri" w:hAnsi="Calibri"/>
          <w:sz w:val="18"/>
          <w:szCs w:val="18"/>
          <w:color w:val="007DC6"/>
        </w:rPr>
        <w:t xml:space="preserve"> </w:t>
      </w:r>
      <w:r>
        <w:rPr>
          <w:rFonts w:ascii="Calibri" w:cs="Calibri" w:eastAsia="Calibri" w:hAnsi="Calibri"/>
          <w:sz w:val="18"/>
          <w:szCs w:val="18"/>
          <w:color w:val="000000"/>
        </w:rPr>
        <w:t>modifed interpretatons of existng laws and regulatons or enforcement policies, or further investgaton or evaluaton of the potental health hazards of certain products or business actvites, may give rise to additonal compliance and other costs that could have a material adverse efect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-700405</wp:posOffset>
            </wp:positionV>
            <wp:extent cx="897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9789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-700405</wp:posOffset>
            </wp:positionV>
            <wp:extent cx="3956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5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34848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84880" cy="8890"/>
                    </a:xfrm>
                    <a:prstGeom prst="rect">
                      <a:avLst/>
                    </a:prstGeom>
                    <a:noFill/>
                  </pic:spPr>
                </pic:pic>
              </a:graphicData>
            </a:graphic>
          </wp:anchor>
        </w:drawing>
        <w:drawing>
          <wp:anchor simplePos="0" relativeHeight="251657728" behindDoc="1" locked="0" layoutInCell="0" allowOverlap="1">
            <wp:simplePos x="0" y="0"/>
            <wp:positionH relativeFrom="column">
              <wp:posOffset>6791325</wp:posOffset>
            </wp:positionH>
            <wp:positionV relativeFrom="paragraph">
              <wp:posOffset>-563245</wp:posOffset>
            </wp:positionV>
            <wp:extent cx="3435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3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1253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5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41344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3448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Mine Safety and Land Reclamaton</w:t>
      </w:r>
    </w:p>
    <w:p>
      <w:pPr>
        <w:spacing w:after="0" w:line="5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In general, mining, producton and distributon facilites for aggregates, cement, ready mixed concrete and asphalt must comply with air quality, water quality and other environmental regulatons, zoning and special use permitng requirements, applicable mining regulatons, and federal health and safety requirements. As the Company locates and acquires new producton and distributon facilites, the Company works closely with local authorites during the zoning and permitng processes to design new quarries, mines, producton and distributon facilites in such a way as to minimize disturbances. The Company frequently acquires large tracts of land so that quarry, mine, producton and distributon facilites can be situated at a substantal distance from surrounding property owners. Also, in certain markets, the Company’s ability to transport material by rail or water allows it to locate its facilites further away from residental areas. The Company has established policies designed to minimize disturbances to surrounding property owners from its operatons.</w:t>
      </w:r>
    </w:p>
    <w:p>
      <w:pPr>
        <w:spacing w:after="0" w:line="10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is the case with other similarly situated companies, some of the Company’s products contain varying amounts of crystalline silica, a common mineral also known as quartz. Excessive, prolonged inhalaton of very small-sized partcles of crystalline silica has been associated with lung diseases, including silicosis, and several scientfc organizatons and some states, such as California, have reported that crystalline silica can cause lung cancer. The Mine Safety and Health Administraton (MSHA) and the Occupatonal Safety and Health Administraton (OSHA) have established occupatonal thresholds for crystalline silica exposure as respirable dust. The Company monitors occupatonal exposures at its facilites and implements dust control procedures and/or makes available appropriate respiratory protectve equipment to maintain the occupatonal exposures at or below the required levels. The Company, through safety informaton sheets and other means, also communicates appropriate warnings and cautons its employees and customers about the risks associated with excessive, prolonged inhalaton of mineral dust in general and crystalline silica in partcular.</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is generally required by state or local laws or pursuant to the terms of an applicable lease to reclaim quarry sites afer use. Future reclamaton costs are estmated using statutory reclamaton requirements and management’s experience and knowledge in the industry, and are discounted to their present value using a credit-adjusted, risk-free interest rate. The future reclamaton costs are not ofset by potental recoveries. For additonal informaton regarding compliance with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 w:name="page10"/>
    <w:bookmarkEnd w:id="9"/>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requirements, see “</w:t>
      </w:r>
      <w:r>
        <w:rPr>
          <w:rFonts w:ascii="Calibri" w:cs="Calibri" w:eastAsia="Calibri" w:hAnsi="Calibri"/>
          <w:sz w:val="18"/>
          <w:szCs w:val="18"/>
          <w:u w:val="single" w:color="auto"/>
          <w:color w:val="007DC6"/>
        </w:rPr>
        <w:t>Note N: Commitments and Contngencies</w:t>
      </w:r>
      <w:r>
        <w:rPr>
          <w:rFonts w:ascii="Calibri" w:cs="Calibri" w:eastAsia="Calibri" w:hAnsi="Calibri"/>
          <w:sz w:val="18"/>
          <w:szCs w:val="18"/>
          <w:color w:val="auto"/>
        </w:rPr>
        <w:t>” of the “</w:t>
      </w:r>
      <w:r>
        <w:rPr>
          <w:rFonts w:ascii="Calibri" w:cs="Calibri" w:eastAsia="Calibri" w:hAnsi="Calibri"/>
          <w:sz w:val="18"/>
          <w:szCs w:val="18"/>
          <w:u w:val="single" w:color="auto"/>
          <w:color w:val="007DC6"/>
        </w:rPr>
        <w:t>Notes to Financial Statements</w:t>
      </w:r>
      <w:r>
        <w:rPr>
          <w:rFonts w:ascii="Calibri" w:cs="Calibri" w:eastAsia="Calibri" w:hAnsi="Calibri"/>
          <w:sz w:val="18"/>
          <w:szCs w:val="18"/>
          <w:color w:val="auto"/>
        </w:rPr>
        <w:t xml:space="preserve">” of the Company’s consolidated fnancial statements included in </w:t>
      </w:r>
      <w:r>
        <w:rPr>
          <w:rFonts w:ascii="Calibri" w:cs="Calibri" w:eastAsia="Calibri" w:hAnsi="Calibri"/>
          <w:sz w:val="18"/>
          <w:szCs w:val="18"/>
          <w:u w:val="single" w:color="auto"/>
          <w:color w:val="007DC6"/>
        </w:rPr>
        <w:t>Item 8, “Financial Statements and Supplemental Data,”</w:t>
      </w:r>
      <w:r>
        <w:rPr>
          <w:rFonts w:ascii="Calibri" w:cs="Calibri" w:eastAsia="Calibri" w:hAnsi="Calibri"/>
          <w:sz w:val="18"/>
          <w:szCs w:val="18"/>
          <w:color w:val="auto"/>
        </w:rPr>
        <w:t xml:space="preserve"> of this Form 10-K. The Company performs actvites on an ongoing basis, as an integral part of the normal quarrying process, that may reduce the ultmate reclamaton obligatons. For example, the perimeter and interior walls of an open pit quarry are sloped and benched as they are developed to prevent erosion and provide stabilizaton. This sloping and benching meets both safety regulatons required by MSHA for ongoing operatons as well as fnal reclamaton requirements. Therefore, these types of actvites are included in normal operatng costs and are not a part of the asset retrement obligaton. Reclaimed quarry sites owned by the Company are from tme to tme available for sale, typically for commercial development or use as water reservoirs, or have been converted for recreatonal use by the local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-838835</wp:posOffset>
            </wp:positionV>
            <wp:extent cx="3744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4459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-701675</wp:posOffset>
            </wp:positionV>
            <wp:extent cx="2475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75865"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Climate Change Risks and Opportunites</w:t>
      </w:r>
    </w:p>
    <w:p>
      <w:pPr>
        <w:spacing w:after="0" w:line="111"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b w:val="1"/>
          <w:bCs w:val="1"/>
          <w:color w:val="auto"/>
        </w:rPr>
        <w:t>The Board and management have identfed certain risks related to the transiton to a lower-carbon economy, risks related to the physical impacts of climate change and other climate-related opportunites.</w:t>
      </w:r>
    </w:p>
    <w:p>
      <w:pPr>
        <w:spacing w:after="0" w:line="118" w:lineRule="exact"/>
        <w:rPr>
          <w:sz w:val="20"/>
          <w:szCs w:val="20"/>
          <w:color w:val="auto"/>
        </w:rPr>
      </w:pPr>
    </w:p>
    <w:p>
      <w:pPr>
        <w:jc w:val="both"/>
        <w:spacing w:after="0" w:line="249" w:lineRule="auto"/>
        <w:rPr>
          <w:sz w:val="20"/>
          <w:szCs w:val="20"/>
          <w:color w:val="auto"/>
        </w:rPr>
      </w:pPr>
      <w:r>
        <w:rPr>
          <w:rFonts w:ascii="Calibri" w:cs="Calibri" w:eastAsia="Calibri" w:hAnsi="Calibri"/>
          <w:sz w:val="20"/>
          <w:szCs w:val="20"/>
          <w:i w:val="1"/>
          <w:iCs w:val="1"/>
          <w:color w:val="00B0F0"/>
        </w:rPr>
        <w:t xml:space="preserve">Board Oversight and the Role of Management </w:t>
      </w:r>
      <w:r>
        <w:rPr>
          <w:rFonts w:ascii="Calibri" w:cs="Calibri" w:eastAsia="Calibri" w:hAnsi="Calibri"/>
          <w:sz w:val="17"/>
          <w:szCs w:val="17"/>
          <w:color w:val="000000"/>
        </w:rPr>
        <w:t>The Board of Directors has an essental role in determining the Company's strategic priorites, and</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climate change and other sustainability maters are an integral part of its governance and oversight of the business. In 1994, the Company established an Ethics, Environment, Safety and Health (EESH) Commitee, which currently meets at least four tmes annually. The EESH Commitee receives reports directly from management relatng to environmental, safety, ethics and other sustainability maters, including greenhouse gas (GHG) and climate change-related maters, reviews input and engagement with investors on these maters, and monitors the Company's compliance with environmental, health and safety laws and regulatons, as well as its public reportng and disclosure with respect to climate change-related risks and opportunites and other environmental issues. The EESH Commitee reports to the full Board, and a number of other Board commitees have overlapping responsibility for sustainability maters, including the Audit Commitee, which reviews the Company's signifcant environmental maters and assesses the potental risks and liabilites they may pose to its business, and the Management Development and Compensaton Commitee, which reviews management's performance with regard to its sustainability goals and considers those achievements in determining incentve pay. While the Board oversees Martn Marieta's risk management, the executve ofcers are responsible for the day-to-day risk management processes, and management receives at least quarterly updates from operatng personnel directly responsible for compliance relatng to EESH maters. Management believes this division of responsibilites is the most efectve approach for addressing the risks facing the Company. The Company also has a Head of Sustainability, who reports directly to the Executve Vice President and General Counsel on climate and other sustainability maters. The Company believes the above approach has been efectve in integratng sustainability as a core element of its corporate governance.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Transiton Risks</w:t>
      </w:r>
    </w:p>
    <w:p>
      <w:pPr>
        <w:spacing w:after="0" w:line="111"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b w:val="1"/>
          <w:bCs w:val="1"/>
          <w:color w:val="auto"/>
        </w:rPr>
        <w:t>The Company's sustainability risk management framework is designed to identfy various transiton risks, including policy and legal risks, technology risks, market risks and reputaton risks, associated with climate change and transitons to a lower-carbon economy.</w:t>
      </w:r>
    </w:p>
    <w:p>
      <w:pPr>
        <w:spacing w:after="0" w:line="118" w:lineRule="exact"/>
        <w:rPr>
          <w:sz w:val="20"/>
          <w:szCs w:val="20"/>
          <w:color w:val="auto"/>
        </w:rPr>
      </w:pPr>
    </w:p>
    <w:p>
      <w:pPr>
        <w:jc w:val="both"/>
        <w:spacing w:after="0" w:line="243" w:lineRule="auto"/>
        <w:rPr>
          <w:sz w:val="20"/>
          <w:szCs w:val="20"/>
          <w:color w:val="auto"/>
        </w:rPr>
      </w:pPr>
      <w:r>
        <w:rPr>
          <w:rFonts w:ascii="Calibri" w:cs="Calibri" w:eastAsia="Calibri" w:hAnsi="Calibri"/>
          <w:sz w:val="20"/>
          <w:szCs w:val="20"/>
          <w:i w:val="1"/>
          <w:iCs w:val="1"/>
          <w:color w:val="00B0F0"/>
        </w:rPr>
        <w:t xml:space="preserve">Policy and Legal Risks </w:t>
      </w:r>
      <w:r>
        <w:rPr>
          <w:rFonts w:ascii="Calibri" w:cs="Calibri" w:eastAsia="Calibri" w:hAnsi="Calibri"/>
          <w:sz w:val="17"/>
          <w:szCs w:val="17"/>
          <w:color w:val="000000"/>
        </w:rPr>
        <w:t>A number of governmental bodies, including the U.S. Congress and various U.S. states, have proposed, enacted or are contemplatng</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legislatve and regulatory changes to mitgate or address the potental impacts of climate change, including provisions for GHG emissions reportng or reductons, the use of alternatve fuels, carbon credits (such as a cap-and-trade system) and a carbon tax. For example, in the United States, the United States Environmental Protecton Agency (USEPA) promulgated a rule mandatng that companies considered to be large emiters of GHGs report those emissions. The manufacturing operatons of the Company’s Magnesia Specialtes business release carbon dioxide, methane and nitrous oxides during the producton of lime, magnesium oxide and hydroxide products. The Company’s two magnesia-based chemicals facilites, as well as its cement operatons in Texas, fle annual reports of their GHG emissions in accordance with the USEPA reportng rule. The primary business and operatons of the Company, however, including its aggregates, ready mixed concrete and asphalt and paving product lines, are not considered “major” sources of GHG emissions subject to the USEPA reportng rule. Most of the GHG emissions from aggregates plant operatons are tailpipe emissions from mobile sources, such as heavy constructon and earth-moving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370840</wp:posOffset>
            </wp:positionV>
            <wp:extent cx="325755"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 w:name="page11"/>
    <w:bookmarkEnd w:id="10"/>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The Company’s cement plants, as well as its Magnesia Specialtes plants, are strictly regulated with respect to GHG emissions and hold Title V Permits, and each (other than the Manistee, Michigan facility) is also subject to the U.S. Clean Air Act's Preventon of Signifcant Deterioraton (PSD) requirements which require a permit program for certain new or modifed sources of emissions. Although several large-scale projects for carbon capture are in the development phase, no technologies or methods of operaton for reducing or capturing GHGs have yet been proven successful in large-scale applicatons, other than improvements in fuel efciency. If future modifcatons to the Company's facilites require PSD review for other pollutants, GHG permitng requirements may also be triggered and may require signifcant additonal costs, which the Company expects would be passed on to customers. It is not currently possible to estmate the cost of any such future requirements. In additon, the USEPA and the U.S. Supreme Court have taken diferent positons with respect to the USEPA's authority to make rules in these and other areas which could create uncertainty regarding regulatory compliance on these maters in the future.</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2021, a pair of executve orders and a presidental memorandum were issued making climate change central to U.S. policy and setng out several administratve priorites and undertakings to reduce GHG emissions. The United States reentered the Paris Agreement in January 2021 and later announced the U.S. reducton commitments under the Paris Agreement, including a 50% to 52% economy-wide reducton in net GHG emissions from 2005 levels by 2030. The United States also entered a pact with 103 countries and jurisdictons, known as the Global Methane Pledge, to reduce global methane emissions by 30% from 2020 levels by the end of the decade.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November 2021, President Biden signed into law the Infrastructure Investment and Jobs Act (IIJ Act), which provides billions of dollars in new funding for public transit and clean energy projects intended, in part, to address climate change, including road, bridge and other major infrastructure projects. These projects, as well as new public transit and clean energy projects, require aggregates and cement for constructon and may result in increased demand for the Company's products. See </w:t>
      </w:r>
      <w:r>
        <w:rPr>
          <w:rFonts w:ascii="Calibri" w:cs="Calibri" w:eastAsia="Calibri" w:hAnsi="Calibri"/>
          <w:sz w:val="18"/>
          <w:szCs w:val="18"/>
          <w:i w:val="1"/>
          <w:iCs w:val="1"/>
          <w:color w:val="auto"/>
        </w:rPr>
        <w:t>Climate-Related Opportunites</w:t>
      </w:r>
      <w:r>
        <w:rPr>
          <w:rFonts w:ascii="Calibri" w:cs="Calibri" w:eastAsia="Calibri" w:hAnsi="Calibri"/>
          <w:sz w:val="18"/>
          <w:szCs w:val="18"/>
          <w:color w:val="auto"/>
        </w:rPr>
        <w:t xml:space="preserve"> secton for additonal informaton.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Although it is impossible to determine the actons the federal government will ultmately take to implement climate change-related orders, commitments and laws, or the full scope, tming or ramifcatons of such measures, the United States, like other signatories to the Paris Agreement, is currently pursuing a goal of a Net Zero GHG by 2050. It is also possible that the USEPA and other agencies will use their rule-making authority and procurement decisions to further address climate change. Various states where the Company has operatons have enacted or are considering climate change initatves as well, and the Company may have been and may contnue to be subject to state regulatons in additon to any federal laws and rules that are passed. In October 2023, California adopted its California Climate Accountability Package which includes annual reportng of Scope 1, Scope 2 and Scope 3 emissions on a phased-in implementaton schedule, climate-related risk reportng for certain companies and heightened disclosure standards around net zero emissions claims, carbon-neutral claims or signifcant GHG emissions reducton claims and the purchase or use of voluntary carbon ofsets used to achieve those claims. These rules have been challenged and may be challenged in the future by various groups and the future resoluton of such challenges are unknown at this tme. In additon, certain other states are enactng laws and regulatons that seek to eliminate the consideraton of climate-related maters in state pension fund investment decisions and other company programs. These and other state climate-related or ant-climate, social and governance regulatons may result in signifcantly higher compliance costs and risks.</w:t>
      </w:r>
    </w:p>
    <w:p>
      <w:pPr>
        <w:spacing w:after="0" w:line="118" w:lineRule="exact"/>
        <w:rPr>
          <w:sz w:val="20"/>
          <w:szCs w:val="20"/>
          <w:color w:val="auto"/>
        </w:rPr>
      </w:pPr>
    </w:p>
    <w:p>
      <w:pPr>
        <w:jc w:val="both"/>
        <w:spacing w:after="0" w:line="231" w:lineRule="auto"/>
        <w:rPr>
          <w:sz w:val="20"/>
          <w:szCs w:val="20"/>
          <w:color w:val="auto"/>
        </w:rPr>
      </w:pPr>
      <w:r>
        <w:rPr>
          <w:rFonts w:ascii="Calibri" w:cs="Calibri" w:eastAsia="Calibri" w:hAnsi="Calibri"/>
          <w:sz w:val="18"/>
          <w:szCs w:val="18"/>
          <w:color w:val="auto"/>
        </w:rPr>
        <w:t>If and when the USEPA issues new regulatons and/or Congress passes additonal legislaton restrictng GHGs emissions, the Woodville, Ohio and Manistee, Michigan Magnesia Specialtes operatons, as well as the Company’s cement plants in Texas, which release CO</w:t>
      </w:r>
      <w:r>
        <w:rPr>
          <w:rFonts w:ascii="Calibri" w:cs="Calibri" w:eastAsia="Calibri" w:hAnsi="Calibri"/>
          <w:sz w:val="24"/>
          <w:szCs w:val="24"/>
          <w:color w:val="auto"/>
          <w:vertAlign w:val="subscript"/>
        </w:rPr>
        <w:t>2</w:t>
      </w:r>
      <w:r>
        <w:rPr>
          <w:rFonts w:ascii="Calibri" w:cs="Calibri" w:eastAsia="Calibri" w:hAnsi="Calibri"/>
          <w:sz w:val="18"/>
          <w:szCs w:val="18"/>
          <w:color w:val="auto"/>
        </w:rPr>
        <w:t xml:space="preserve"> in certain of their processes and use carbon-based fuels for power equipment, kilns and the Company’s mobile feet, will likely be subject to these new regulatons. The Company's cement operatons, like those of other cement producers, require combuston of signifcant amounts of fuel to generate high kiln temperatures and create carbon dioxide as a product of the calcinaton process, which is presently an unavoidable step in making clinker, the essental component for the producton of cement. Accordingly, the Company contnues to closely monitor GHG regulatons and legislaton and its potental impact on the Company's cement business, fnancial conditon and product demand. The Company antcipates that any increased operatng costs or taxes relatng to GHG emission limitatons at the Woodville or cement facilites would be passed on to customers. The magnesium oxide products produced at the Manistee operaton, however, compete against other products that, due to the form and/or structure of the source material, require less energy in the calcinaton process, resultng in the generaton of fewer GHGs per ton of producton. Due to GHG emissions requirements, the Manistee facility may be required to absorb additonal costs, including for taxes or capital investments, in order to maintain compettve pricing in that market. In additon, the cement produced by the Company’s cement operatons, like other U.S. producers, is subject to strict limits set by the U.S. Department of Transportaton (USDOT) and other agencies, including those relatng to “clinker substtuton”, or the replacement of ground clinker in cement with alternate materials such as pozzolan, slag and fy ash, which has implicatons for the Company’s fuel use and eforts to reduce GHG emissions from its cement operatons. For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95250</wp:posOffset>
            </wp:positionV>
            <wp:extent cx="325755" cy="19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 w:name="page12"/>
    <w:bookmarkEnd w:id="11"/>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various industry associatons are engaged in an efort requestng the USDOT and other agencies to further revise their standards allowing for greater rates of clinker substtuton, similar to the rates currently permited for European cement producers. If higher rates of substtuton and blending are, in fact, permited in the future, the result is likely to be both reduced clinker and power consumpton in cement producton, which would, in turn, reduce GHGs emited in connecton with each ton of cement produced in the United States. With the acceptance of Portland Limestone Cement (PLC) by the Texas Department of Transportaton, in 2022, the Company embarked on a rollout of PLC cement, and by the end of 2022, the Company had converted 90% of its Type I/II customers in Texas to the PLC product. PLC cement may reduce the GHG footprint of the Company's cement product line up to 10%.</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light of the various regulatory uncertaintes, the Company cannot presently reasonably predict the costs of any future compliance requirements. Nonetheless, the Company does not believe it will have a material adverse efect on the fnancial conditon or results of the operatons of either the Magnesia Specialtes business or Building Materials business.</w:t>
      </w:r>
    </w:p>
    <w:p>
      <w:pPr>
        <w:spacing w:after="0" w:line="109" w:lineRule="exact"/>
        <w:rPr>
          <w:sz w:val="20"/>
          <w:szCs w:val="20"/>
          <w:color w:val="auto"/>
        </w:rPr>
      </w:pPr>
    </w:p>
    <w:p>
      <w:pPr>
        <w:jc w:val="both"/>
        <w:spacing w:after="0" w:line="249" w:lineRule="auto"/>
        <w:rPr>
          <w:sz w:val="20"/>
          <w:szCs w:val="20"/>
          <w:color w:val="auto"/>
        </w:rPr>
      </w:pPr>
      <w:r>
        <w:rPr>
          <w:rFonts w:ascii="Calibri" w:cs="Calibri" w:eastAsia="Calibri" w:hAnsi="Calibri"/>
          <w:sz w:val="20"/>
          <w:szCs w:val="20"/>
          <w:i w:val="1"/>
          <w:iCs w:val="1"/>
          <w:color w:val="00B0F0"/>
        </w:rPr>
        <w:t xml:space="preserve">Technology Risks </w:t>
      </w:r>
      <w:r>
        <w:rPr>
          <w:rFonts w:ascii="Calibri" w:cs="Calibri" w:eastAsia="Calibri" w:hAnsi="Calibri"/>
          <w:sz w:val="17"/>
          <w:szCs w:val="17"/>
          <w:color w:val="000000"/>
        </w:rPr>
        <w:t>Consideraton of the impact of technology is integrated into the Company’s risk management process. In an efort to mitgate the risks to</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the Company associated with climate change while ensuring and improving fnancial sustainability, the Company has adopted a corporate-wide management strategy, which has resulted in multple initatves to identfy and implement or evaluate GHG reducton processes and technologies that also improve operatonal efciencies, including: using alternatve fuels such as biodiesel; reducing overall fuel use by convertng from quarry trucks to conveyor systems; right-sizing quarry trucks to match the appropriately sized truck with the size of producton to reduce the number of required trips; replacing older railcars with more efcient, high-capacity models that reduce the number of required trips; adding rail capacity in lieu of truck movements; and installing state-of-the-art emissions control equipment at one of the Company’s magnesia plants and tre processing systems for fuel, as well as a larger natural gas line, at one of the Company’s cement plants. The Company’s Midlothian cement plant has been recognized by the USEPA as a high-performing, energy-efcient facility following investments in innovatve air polluton control technologies and usage of alternatve fuels. The road to Net Zero for the Company and others in its industry requires operatonal changes, investments in sustainable energy, and in some cases, technology that is not yet available. The Company contnues to monitor various pilot projects being conducted relatng to the development of carbon capture technology; however, no technologies or methods of operaton for reducing or capturing GHGs from cement manufacture have yet been proven successful in a full producton environment, other than improvements in fuel efciency. While awaitng further development of carbon capture technology, the Company has invested heavily and contnues to look for opportunites to invest in its sustainability practces.</w:t>
      </w:r>
    </w:p>
    <w:p>
      <w:pPr>
        <w:spacing w:after="0" w:line="322" w:lineRule="exact"/>
        <w:rPr>
          <w:sz w:val="20"/>
          <w:szCs w:val="20"/>
          <w:color w:val="auto"/>
        </w:rPr>
      </w:pPr>
    </w:p>
    <w:p>
      <w:pPr>
        <w:jc w:val="both"/>
        <w:spacing w:after="0" w:line="245" w:lineRule="auto"/>
        <w:rPr>
          <w:sz w:val="20"/>
          <w:szCs w:val="20"/>
          <w:color w:val="auto"/>
        </w:rPr>
      </w:pPr>
      <w:r>
        <w:rPr>
          <w:rFonts w:ascii="Calibri" w:cs="Calibri" w:eastAsia="Calibri" w:hAnsi="Calibri"/>
          <w:sz w:val="20"/>
          <w:szCs w:val="20"/>
          <w:i w:val="1"/>
          <w:iCs w:val="1"/>
          <w:color w:val="00B0F0"/>
        </w:rPr>
        <w:t xml:space="preserve">Market Risks </w:t>
      </w:r>
      <w:r>
        <w:rPr>
          <w:rFonts w:ascii="Calibri" w:cs="Calibri" w:eastAsia="Calibri" w:hAnsi="Calibri"/>
          <w:sz w:val="17"/>
          <w:szCs w:val="17"/>
          <w:color w:val="000000"/>
        </w:rPr>
        <w:t>The nature of the Company’s competton varies among its products due to the difering amounts of capital necessary to build and maintain</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producton facilites and can be infuenced by climate-related risks and opportunites partcularly with respect to the Company’s small-but-strategic heritage cement business. Most domestc cement producers are owned by large non-U.S. companies operatng in multple internatonal markets that report their results (including sustainability and climate-related metrics) on a world-wide consolidated basis. The Company is subject to U.S. environmental regulatons and there are critcal regulatory diferences between the U.S. and the European Union and difering calculaton methodologies for carbon intensity calculatons, blending and fuel choice that result in meaningful diferences in the makeup of corresponding end-products and reported emissions metrics. Those diferences, in turn, make like-for-like comparisons of the emissions performance with the performance of the Company's heritage cement business challenging. To the extent that investors or consumers decide to use world-wide comparisons of these metrics in making investment and purchase decisions, the Company could be at a compettve disadvantage. Geography is critcally important when assessing market atractveness and growth opportunites for the Company. Atractve geographies generally exhibit (a) populaton growth and/or high populaton density, both of which are drivers of heavy-side building materials consumpton; (b) business and employment diversity, drivers of greater economic stability, and (c) a superior state fnancial positon, a driver of public infrastructure investment. All of these factors can be and are infuenced by climate change and physical risk and opportunites.</w:t>
      </w:r>
    </w:p>
    <w:p>
      <w:pPr>
        <w:spacing w:after="0" w:line="110" w:lineRule="exact"/>
        <w:rPr>
          <w:sz w:val="20"/>
          <w:szCs w:val="20"/>
          <w:color w:val="auto"/>
        </w:rPr>
      </w:pPr>
    </w:p>
    <w:p>
      <w:pPr>
        <w:jc w:val="both"/>
        <w:spacing w:after="0" w:line="248" w:lineRule="auto"/>
        <w:rPr>
          <w:sz w:val="20"/>
          <w:szCs w:val="20"/>
          <w:color w:val="auto"/>
        </w:rPr>
      </w:pPr>
      <w:r>
        <w:rPr>
          <w:rFonts w:ascii="Calibri" w:cs="Calibri" w:eastAsia="Calibri" w:hAnsi="Calibri"/>
          <w:sz w:val="20"/>
          <w:szCs w:val="20"/>
          <w:i w:val="1"/>
          <w:iCs w:val="1"/>
          <w:color w:val="00B0F0"/>
        </w:rPr>
        <w:t xml:space="preserve">Reputaton </w:t>
      </w:r>
      <w:r>
        <w:rPr>
          <w:rFonts w:ascii="Calibri" w:cs="Calibri" w:eastAsia="Calibri" w:hAnsi="Calibri"/>
          <w:sz w:val="17"/>
          <w:szCs w:val="17"/>
          <w:color w:val="000000"/>
        </w:rPr>
        <w:t>Disruptons to the Company’s operatons and to its customers' transportaton actvites by climate-related risks could impact the Company’s</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reputaton and result in additonal costs to the Company. Any failure or perceived failure to achieve or accurately report on the Company's current or future climate-related commitments, including its GHG reducton and net zero targets, and any diferences between its commitments and those of any companies to which the Company is compared, could harm the Company's reputaton, adversely afect its ability to efectvely compete (including as a result of disclosure of proprietary informaton regarding its plants or changes in its ability to raise capital), adversely afect its recruitment and retenton eforts or expose the Company to potental legal liability. In additon, while the Company is commited to pursuing its sustainability objectves, there is no assurance that it will achieve any of its sustainability goals or commitments, that low- or non-carbon-based energy sources and technologies required to meet long-term emissions reductons in some of the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229870</wp:posOffset>
            </wp:positionV>
            <wp:extent cx="325755" cy="196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6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2" w:name="page13"/>
    <w:bookmarkEnd w:id="12"/>
    <w:p>
      <w:pPr>
        <w:ind w:left="936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173"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in which it operates will be available at scale in the United States on an economically feasible basis or that its suppliers can meet sustainability, diversity and other standards that are required by current or future laws or established by its investors and other stakeholders. Failure to meet these commitments could result in reputatonal harm to the Company and changes regarding climate risk management and practces may result in higher regulatory and compliance risks and costs. Any violatons of law (including environmental law) or improper conduct could damage the Company's reputaton.</w:t>
      </w:r>
    </w:p>
    <w:p>
      <w:pPr>
        <w:spacing w:after="0" w:line="98" w:lineRule="exact"/>
        <w:rPr>
          <w:sz w:val="20"/>
          <w:szCs w:val="20"/>
          <w:color w:val="auto"/>
        </w:rPr>
      </w:pPr>
    </w:p>
    <w:p>
      <w:pPr>
        <w:jc w:val="both"/>
        <w:spacing w:after="0" w:line="246" w:lineRule="auto"/>
        <w:rPr>
          <w:sz w:val="20"/>
          <w:szCs w:val="20"/>
          <w:color w:val="auto"/>
        </w:rPr>
      </w:pPr>
      <w:r>
        <w:rPr>
          <w:rFonts w:ascii="Calibri" w:cs="Calibri" w:eastAsia="Calibri" w:hAnsi="Calibri"/>
          <w:sz w:val="20"/>
          <w:szCs w:val="20"/>
          <w:i w:val="1"/>
          <w:iCs w:val="1"/>
          <w:color w:val="00B0F0"/>
        </w:rPr>
        <w:t xml:space="preserve">Physical Impacts </w:t>
      </w:r>
      <w:r>
        <w:rPr>
          <w:rFonts w:ascii="Calibri" w:cs="Calibri" w:eastAsia="Calibri" w:hAnsi="Calibri"/>
          <w:sz w:val="17"/>
          <w:szCs w:val="17"/>
          <w:color w:val="000000"/>
        </w:rPr>
        <w:t>In additon to impacts from increased regulaton, climate change may result in physical impacts that could have adverse efects on the</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Company’s operatons or fnancial conditon. Physical impacts may include disruptons in producton and/or regional supply or product distributon networks due to major storm events, shifs in regional rainfall and temperature paterns and intensites, as well as fooding from sea level changes. In additon, producton and shipment levels for the Building Materials business correlate with general constructon actvity, which occurs outdoors and, as a result, is afected by erratc weather paterns, seasonal changes and other unusual or unexpected weather-related conditons, which can signifcantly afect that business. In the Company's cement and downstream operatons businesses, the physical impacts of climate change may result in disruptons to its operatons or its customers’ transportaton actvites, including impacts on producton capabilites and capacites, supply chain interruptons and project delays that can impact the Company's reputaton and result in additonal costs to the Company. Excessive rainfall and other severe weather jeopardize producton, shipments and proftability in all markets served by the Company in its Building Materials business. In additon, climate and inclement weather can reduce the useful life of an asset. In partcular, the Company’s operatons in the Atlantc and Gulf Coast regions of the United States and The Bahamas are at risk for hurricane actvity, most notably in August, September and October. The Company is also at risk for Pacifc Ocean storm actvity. The last few years brought an unprecedented amount of precipitaton to the United States and partcularly to Texas and the southeastern United States, notably the Carolinas, Florida and Georgia, where it impacted the Company’s facilites. In California and Arizona, drought conditons have led to water use restrictons in numerous water districts, and insufcient supply of water for the Company's operatons in those areas could impact producton. In California, early 2023 storms and fooding caused operatonal delays and challenges. While reconstructon actvites may ofset some or most of the fnancial impacts on sales and demand, any of these events could have a material adverse efect on the Company’s business and operatons.</w:t>
      </w:r>
    </w:p>
    <w:p>
      <w:pPr>
        <w:spacing w:after="0" w:line="32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the Company's footprint of quarries and aggregates facilites has grown natonwide, management believes it has bolstered resilience in its operatons by maintaining a geographically diverse business and distributon network that is increasingly able to adjust to local disruptons and source materials from diferent facilites. In additon, because the Company transports aggregates products by various methods, including rail and water, it may be able to mitgate supply or transportaton issues in any locaton caused by severe weather or disruptons in any transport modality.</w:t>
      </w:r>
    </w:p>
    <w:p>
      <w:pPr>
        <w:spacing w:after="0" w:line="109" w:lineRule="exact"/>
        <w:rPr>
          <w:sz w:val="20"/>
          <w:szCs w:val="20"/>
          <w:color w:val="auto"/>
        </w:rPr>
      </w:pPr>
    </w:p>
    <w:p>
      <w:pPr>
        <w:jc w:val="both"/>
        <w:spacing w:after="0" w:line="246" w:lineRule="auto"/>
        <w:rPr>
          <w:sz w:val="20"/>
          <w:szCs w:val="20"/>
          <w:color w:val="auto"/>
        </w:rPr>
      </w:pPr>
      <w:r>
        <w:rPr>
          <w:rFonts w:ascii="Calibri" w:cs="Calibri" w:eastAsia="Calibri" w:hAnsi="Calibri"/>
          <w:sz w:val="20"/>
          <w:szCs w:val="20"/>
          <w:i w:val="1"/>
          <w:iCs w:val="1"/>
          <w:color w:val="00B0F0"/>
        </w:rPr>
        <w:t xml:space="preserve">Climate-Related Opportunites </w:t>
      </w:r>
      <w:r>
        <w:rPr>
          <w:rFonts w:ascii="Calibri" w:cs="Calibri" w:eastAsia="Calibri" w:hAnsi="Calibri"/>
          <w:sz w:val="17"/>
          <w:szCs w:val="17"/>
          <w:color w:val="000000"/>
        </w:rPr>
        <w:t>Notwithstanding the foregoing risks and uncertaintes relatng to climate change, there may also be opportunites for the</w:t>
      </w:r>
      <w:r>
        <w:rPr>
          <w:rFonts w:ascii="Calibri" w:cs="Calibri" w:eastAsia="Calibri" w:hAnsi="Calibri"/>
          <w:sz w:val="20"/>
          <w:szCs w:val="20"/>
          <w:i w:val="1"/>
          <w:iCs w:val="1"/>
          <w:color w:val="00B0F0"/>
        </w:rPr>
        <w:t xml:space="preserve"> </w:t>
      </w:r>
      <w:r>
        <w:rPr>
          <w:rFonts w:ascii="Calibri" w:cs="Calibri" w:eastAsia="Calibri" w:hAnsi="Calibri"/>
          <w:sz w:val="17"/>
          <w:szCs w:val="17"/>
          <w:color w:val="000000"/>
        </w:rPr>
        <w:t>Company to increase its business or revenues, both in terms of the physical impacts of climate change and market opportunites associated with the transiton to a low-carbon and climate-resilient economy. For example, warm and/or moderate temperatures in March and November allow the constructon season to start earlier and end later, respectvely, which could have meaningfully positve impacts on the Company’s frst- and fourth-quarter results, respectvely. From a regulatory standpoint, as noted above, the IIJ Act provides billions of dollars in new funding for roads, bridges and other major infrastructure projects which require aggregates and cement for constructon. New public transit and clean energy projects that address climate change may also result in increased demand for the Company's products. Other opportunites are likely to result from the passing of the $1.2 trillion IIJ Act, the Cornyn-Padilla Amendment that allows $104 billion of unused COVID-19 dollars to be directed to infrastructure projects, and $7.0 billion of voter-approved state and local transportaton-related 2023 ballot initatves, all of which will fund infrastructure growth, repair and development. In additon, the Company’s magnesium hydroxide products are used to increase fuel efciency in various industries, including both coal- and gas-fred electricity generaton, which has a direct impact on reducing energy use and GHG emissions by more GHG-intense companies. Finally, the desire for sustainable building solutons has led to greater recogniton of the benefts of concrete constructon in the efort to move to a circular economy through innovatve products, longevity and recyclability, and increased demand for green constructon projects would have a direct impact on the Company’s cement and concrete business.</w:t>
      </w:r>
    </w:p>
    <w:p>
      <w:pPr>
        <w:spacing w:after="0" w:line="208"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Land Management</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owns approximately 160,000 acres of land, the vast majority of which is used in connecton with actve facilites. The Company regularly reviews its land holdings to determine their highest and best use based on its management expertse. Land holdings that do not have economically recoverable reserves for current or future mining or are otherwise not in locatons that complement the Company’s operatng facilites are considered candidates for sale or development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3" w:name="page14"/>
    <w:bookmarkEnd w:id="13"/>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 – Business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Human Capital Resources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January 31, 2024, the Company has approximately 9,400 employees, of which approximately 7,000 are hourly employees and approximately 2,400 are salaried employees. Approximately 1,200 hourly employees (12% of the Company’s employees) are represented by labor unions, representng 14% of the Building Materials business’ hourly employees and 100% of the Magnesia Specialtes segment’s hourly employees. The Company’s principal union contracts for the Magnesia Specialtes business cover employees at the Manistee, Michigan, magnesia-based chemicals plant and the Woodville, Ohio, lime plant. The Woodville and Manistee collectve bargaining agreements expire in June 2026 and August 2027, respectvely. The Company believes it has good relatons with its employees, including its unionized workforce.</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believes the Company’s success depends on its ability to atract, develop and retain key personnel. Martn Marieta ofers a comprehensive benefts package that includes:</w:t>
      </w:r>
    </w:p>
    <w:p>
      <w:pPr>
        <w:spacing w:after="0" w:line="64" w:lineRule="exact"/>
        <w:rPr>
          <w:sz w:val="20"/>
          <w:szCs w:val="20"/>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Compettve compensaton;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401(k) with company match;</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Company-funded pension plan;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Medical (PPO and HDHP/HSA plan optons);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Dental and vision coverage;</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Flexible spending accounts;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Paid holidays and generous paid tme of;</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Educatonal/tuiton assistance plan (described in more detail below);</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Employee discount program;</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Adopton assistance program;</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Life, AD&amp;D and disability insurance;</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Employee assistance program; and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Wellness programs.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signifcantly enhanced company-provided benefts for its hourly employees in 2022 and 2023. The Company increased the beneft value for hourly employees in its currently fully funded pension plan by 76% in 2022. In conjuncton with this increase, the Company embarked on a comprehensive educaton campaign to help employees beter understand their retrement benefts and how that impacts their individual decisions to save for retrement. Additonally, in 2023, the Company added company-paid, long-term disability insurance for its hourly employees and implemented a more robust paid tme of (PTO) policy, which increased PTO benefts for the vast majority of employees.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management oversees various employee initatves to develop its employees and the Management Development and Compensaton Commitee regularly reviews the compensaton and development programs to achieve those objectves. The Company ofers many training and development opportunites, including the following:</w:t>
      </w:r>
    </w:p>
    <w:p>
      <w:pPr>
        <w:spacing w:after="0" w:line="70" w:lineRule="exact"/>
        <w:rPr>
          <w:sz w:val="20"/>
          <w:szCs w:val="20"/>
          <w:color w:val="auto"/>
        </w:rPr>
      </w:pPr>
    </w:p>
    <w:p>
      <w:pPr>
        <w:ind w:left="800" w:hanging="397"/>
        <w:spacing w:after="0" w:line="235" w:lineRule="auto"/>
        <w:tabs>
          <w:tab w:leader="none" w:pos="8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On-the-job training in the feld and through the Company's Martn Marieta University, an interactve learning management system that serves as the gateway to a variety of valuable learning resources that support employee development;</w:t>
      </w:r>
    </w:p>
    <w:p>
      <w:pPr>
        <w:spacing w:after="0" w:line="69" w:lineRule="exact"/>
        <w:rPr>
          <w:rFonts w:ascii="Times New Roman" w:cs="Times New Roman" w:eastAsia="Times New Roman" w:hAnsi="Times New Roman"/>
          <w:sz w:val="18"/>
          <w:szCs w:val="18"/>
          <w:color w:val="auto"/>
        </w:rPr>
      </w:pPr>
    </w:p>
    <w:p>
      <w:pPr>
        <w:jc w:val="both"/>
        <w:ind w:left="800" w:hanging="397"/>
        <w:spacing w:after="0" w:line="254" w:lineRule="auto"/>
        <w:tabs>
          <w:tab w:leader="none" w:pos="800" w:val="left"/>
        </w:tabs>
        <w:numPr>
          <w:ilvl w:val="0"/>
          <w:numId w:val="5"/>
        </w:numPr>
        <w:rPr>
          <w:rFonts w:ascii="Times New Roman" w:cs="Times New Roman" w:eastAsia="Times New Roman" w:hAnsi="Times New Roman"/>
          <w:sz w:val="17"/>
          <w:szCs w:val="17"/>
          <w:color w:val="auto"/>
        </w:rPr>
      </w:pPr>
      <w:r>
        <w:rPr>
          <w:rFonts w:ascii="Calibri" w:cs="Calibri" w:eastAsia="Calibri" w:hAnsi="Calibri"/>
          <w:sz w:val="17"/>
          <w:szCs w:val="17"/>
          <w:color w:val="auto"/>
        </w:rPr>
        <w:t>A management associate program which provides entry-level opportunites for engineering, geology or STEM graduates in the aggregates industry. This is a 12-to-18-month on-the-job training that allows recent college graduates to jump-start their career by gaining cross-functonal experience and developing transferable skills at an accelerated pace. The program includes job rotatons, training and executve mentorship.</w:t>
      </w:r>
    </w:p>
    <w:p>
      <w:pPr>
        <w:spacing w:after="0" w:line="56" w:lineRule="exact"/>
        <w:rPr>
          <w:rFonts w:ascii="Times New Roman" w:cs="Times New Roman" w:eastAsia="Times New Roman" w:hAnsi="Times New Roman"/>
          <w:sz w:val="17"/>
          <w:szCs w:val="17"/>
          <w:color w:val="auto"/>
        </w:rPr>
      </w:pPr>
    </w:p>
    <w:p>
      <w:pPr>
        <w:ind w:left="800" w:hanging="397"/>
        <w:spacing w:after="0" w:line="235" w:lineRule="auto"/>
        <w:tabs>
          <w:tab w:leader="none" w:pos="8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Educatonal Assistance Program available for undergraduate and graduate degrees as well as individual vocatonal, undergraduate or graduate courses specifcally related to an employee’s feld;</w:t>
      </w:r>
    </w:p>
    <w:p>
      <w:pPr>
        <w:spacing w:after="0" w:line="64"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partnership with the University of North Carolina to provide a Leadership Program for senior managers and executves;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partnership with North Carolina State University to provide a leadership program for managers;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internal job board, as well as communicatons, reminding employees about this resource; and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5"/>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robust performance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4" w:name="page15"/>
    <w:bookmarkEnd w:id="14"/>
    <w:p>
      <w:pPr>
        <w:ind w:left="9360"/>
        <w:spacing w:after="0"/>
        <w:rPr>
          <w:sz w:val="20"/>
          <w:szCs w:val="20"/>
          <w:color w:val="auto"/>
        </w:rPr>
      </w:pPr>
      <w:r>
        <w:rPr>
          <w:rFonts w:ascii="MS PGothic" w:cs="MS PGothic" w:eastAsia="MS PGothic" w:hAnsi="MS PGothic"/>
          <w:sz w:val="16"/>
          <w:szCs w:val="16"/>
          <w:color w:val="auto"/>
        </w:rPr>
        <w:t xml:space="preserve">Part I </w:t>
      </w:r>
      <w:r>
        <w:rPr>
          <w:rFonts w:ascii="Arial" w:cs="Arial" w:eastAsia="Arial" w:hAnsi="Arial"/>
          <w:sz w:val="20"/>
          <w:szCs w:val="20"/>
          <w:color w:val="0070C0"/>
        </w:rPr>
        <w:t>♦</w:t>
      </w:r>
      <w:r>
        <w:rPr>
          <w:rFonts w:ascii="MS PGothic" w:cs="MS PGothic" w:eastAsia="MS PGothic" w:hAnsi="MS PGothic"/>
          <w:sz w:val="16"/>
          <w:szCs w:val="16"/>
          <w:color w:val="auto"/>
        </w:rPr>
        <w:t xml:space="preserve"> Item 1 – Business</w:t>
      </w:r>
    </w:p>
    <w:p>
      <w:pPr>
        <w:spacing w:after="0" w:line="224" w:lineRule="exact"/>
        <w:rPr>
          <w:sz w:val="20"/>
          <w:szCs w:val="20"/>
          <w:color w:val="auto"/>
        </w:rPr>
      </w:pPr>
    </w:p>
    <w:p>
      <w:pPr>
        <w:jc w:val="both"/>
        <w:spacing w:after="0" w:line="293" w:lineRule="auto"/>
        <w:rPr>
          <w:sz w:val="20"/>
          <w:szCs w:val="20"/>
          <w:color w:val="auto"/>
        </w:rPr>
      </w:pPr>
      <w:r>
        <w:rPr>
          <w:rFonts w:ascii="MS PGothic" w:cs="MS PGothic" w:eastAsia="MS PGothic" w:hAnsi="MS PGothic"/>
          <w:sz w:val="18"/>
          <w:szCs w:val="18"/>
          <w:color w:val="auto"/>
        </w:rPr>
        <w:t xml:space="preserve">In 2020, the Company launched an Inclusion and Engagement Task Force, comprised of employees with diverse race, gender, background and experience, focused on hiring, developing and retaining diverse employees to strengthen its talent pipeline and increase employee engagement and retenton. The Company also developed and launched an inclusion and engagement awareness communicatons campaign to help managers and employees beter understand the importance of inclusion and engagement maters and how inclusion and engagement are already ingrained in Martn Marieta’s culture and values. The campaign supports the Company's employer brand — </w:t>
      </w:r>
      <w:r>
        <w:rPr>
          <w:rFonts w:ascii="MS PGothic" w:cs="MS PGothic" w:eastAsia="MS PGothic" w:hAnsi="MS PGothic"/>
          <w:sz w:val="18"/>
          <w:szCs w:val="18"/>
          <w:color w:val="007DC6"/>
        </w:rPr>
        <w:t>ONE</w:t>
      </w:r>
      <w:r>
        <w:rPr>
          <w:rFonts w:ascii="MS PGothic" w:cs="MS PGothic" w:eastAsia="MS PGothic" w:hAnsi="MS PGothic"/>
          <w:sz w:val="18"/>
          <w:szCs w:val="18"/>
          <w:color w:val="auto"/>
        </w:rPr>
        <w:t>, which brings together its employees’ unique perspectves, experiences and talents to evolve a shared vision and future. In 2022, the Company began launching employee resource groups startng with a Military and Veterans Community resource group. In 2023, the Company introduced the Multcultural Employee Resource Group (MERGE) and the Women Who Build resource group. The Company has joined the CEO Acton for Diversity &amp; Inclusion coaliton and has expanded its academic outreach by partnering with Shaw University, a historically Black university in Raleigh, North Carolina.</w:t>
      </w:r>
    </w:p>
    <w:p>
      <w:pPr>
        <w:spacing w:after="0" w:line="74" w:lineRule="exact"/>
        <w:rPr>
          <w:sz w:val="20"/>
          <w:szCs w:val="20"/>
          <w:color w:val="auto"/>
        </w:rPr>
      </w:pPr>
    </w:p>
    <w:p>
      <w:pPr>
        <w:jc w:val="both"/>
        <w:spacing w:after="0" w:line="326" w:lineRule="auto"/>
        <w:rPr>
          <w:sz w:val="20"/>
          <w:szCs w:val="20"/>
          <w:color w:val="auto"/>
        </w:rPr>
      </w:pPr>
      <w:r>
        <w:rPr>
          <w:rFonts w:ascii="MS PGothic" w:cs="MS PGothic" w:eastAsia="MS PGothic" w:hAnsi="MS PGothic"/>
          <w:sz w:val="17"/>
          <w:szCs w:val="17"/>
          <w:color w:val="auto"/>
        </w:rPr>
        <w:t>Health and safety in the workplace is one of the Company’s core values. The Guardian Angel safety program provides that every employee has the right, and the obligaton, to stop any unsafe conditon and that zero safety incidents is achievable. It includes the noton that every employee acts as a wingman for other employees, to observe and act on any situaton that potentally creates unsafe circumstances. The companywide safety performance achieved the seventh consecutve year of world class or beter lost-tme incident rate and the third consecutve year for total injury incidence rate.</w:t>
      </w:r>
    </w:p>
    <w:p>
      <w:pPr>
        <w:spacing w:after="0" w:line="48"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auto"/>
        </w:rPr>
        <w:t>The Company also established a World Class Task Force, whose mission is to promote contnuous improvement. The Company has taken these steps to beter allow it to grow responsibly and encourage employee engagement.</w:t>
      </w:r>
    </w:p>
    <w:p>
      <w:pPr>
        <w:spacing w:after="0" w:line="14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Available Informaton</w:t>
      </w:r>
    </w:p>
    <w:p>
      <w:pPr>
        <w:spacing w:after="0" w:line="61" w:lineRule="exact"/>
        <w:rPr>
          <w:sz w:val="20"/>
          <w:szCs w:val="20"/>
          <w:color w:val="auto"/>
        </w:rPr>
      </w:pPr>
    </w:p>
    <w:p>
      <w:pPr>
        <w:jc w:val="both"/>
        <w:spacing w:after="0" w:line="312" w:lineRule="auto"/>
        <w:rPr>
          <w:sz w:val="20"/>
          <w:szCs w:val="20"/>
          <w:color w:val="auto"/>
        </w:rPr>
      </w:pPr>
      <w:r>
        <w:rPr>
          <w:rFonts w:ascii="MS PGothic" w:cs="MS PGothic" w:eastAsia="MS PGothic" w:hAnsi="MS PGothic"/>
          <w:sz w:val="17"/>
          <w:szCs w:val="17"/>
          <w:color w:val="auto"/>
        </w:rPr>
        <w:t>The Company maintains an internet address at www.martnmarieta.com. The Company makes available free of charge through its internet website its Annual Report on Form 10‑K, Quarterly Reports on Form 10‑Q, Current Reports on Form 8‑K, and amendments to those reports, if any, fled or furnished pursuant to Secton 13(a) or 15(d) of the Securites Exchange Act of 1934, as amended (Exchange Act), which are available as soon as reasonably possible afer they are submited to the Securites and Exchange Commission (SEC). You can access the Company’s flings with the SEC through the SEC website at www.sec.gov or through the Company's website, and the Company strongly encourages you to do so. Martn Marieta routnely posts informaton that may be important to investors on its website at www.ir.martnmarieta.com, and it uses this website address as a means of disclosing material informaton to the public in a broad, non-exclusionary manner for purposes of the SEC’s Regulaton Fair Disclosure (Reg FD). The contents of the Company's website are not incorporated by reference in this Form 10-K and shall not be deemed “fled” under the Securites Exchange Act of 1934, as amended. The Company undertakes no obligaton to update any statements herein for revisions or changes afer the fling date of this Form 10-K other than as required by law.</w:t>
      </w:r>
    </w:p>
    <w:p>
      <w:pPr>
        <w:spacing w:after="0" w:line="63" w:lineRule="exact"/>
        <w:rPr>
          <w:sz w:val="20"/>
          <w:szCs w:val="20"/>
          <w:color w:val="auto"/>
        </w:rPr>
      </w:pPr>
    </w:p>
    <w:p>
      <w:pPr>
        <w:jc w:val="both"/>
        <w:spacing w:after="0" w:line="280" w:lineRule="auto"/>
        <w:rPr>
          <w:sz w:val="20"/>
          <w:szCs w:val="20"/>
          <w:color w:val="auto"/>
        </w:rPr>
      </w:pPr>
      <w:r>
        <w:rPr>
          <w:rFonts w:ascii="MS PGothic" w:cs="MS PGothic" w:eastAsia="MS PGothic" w:hAnsi="MS PGothic"/>
          <w:sz w:val="18"/>
          <w:szCs w:val="18"/>
          <w:color w:val="auto"/>
        </w:rPr>
        <w:t xml:space="preserve">The Company has adopted a </w:t>
      </w:r>
      <w:r>
        <w:rPr>
          <w:rFonts w:ascii="Calibri" w:cs="Calibri" w:eastAsia="Calibri" w:hAnsi="Calibri"/>
          <w:sz w:val="18"/>
          <w:szCs w:val="18"/>
          <w:i w:val="1"/>
          <w:iCs w:val="1"/>
          <w:color w:val="auto"/>
        </w:rPr>
        <w:t>Code of Ethical Business Conduct</w:t>
      </w:r>
      <w:r>
        <w:rPr>
          <w:rFonts w:ascii="MS PGothic" w:cs="MS PGothic" w:eastAsia="MS PGothic" w:hAnsi="MS PGothic"/>
          <w:sz w:val="18"/>
          <w:szCs w:val="18"/>
          <w:color w:val="auto"/>
        </w:rPr>
        <w:t xml:space="preserve"> that applies to all of its Board of Directors, ofcers and employees. The Company’s code of ethics is available on the Company’s website www.martnmarieta.com. The Company will disclose on its internet website any waivers of or amendments to its code of ethics as it applies to its directors and executve ofcers.</w:t>
      </w:r>
    </w:p>
    <w:p>
      <w:pPr>
        <w:spacing w:after="0" w:line="80" w:lineRule="exact"/>
        <w:rPr>
          <w:sz w:val="20"/>
          <w:szCs w:val="20"/>
          <w:color w:val="auto"/>
        </w:rPr>
      </w:pPr>
    </w:p>
    <w:p>
      <w:pPr>
        <w:jc w:val="both"/>
        <w:spacing w:after="0" w:line="263" w:lineRule="auto"/>
        <w:rPr>
          <w:sz w:val="20"/>
          <w:szCs w:val="20"/>
          <w:color w:val="auto"/>
        </w:rPr>
      </w:pPr>
      <w:r>
        <w:rPr>
          <w:rFonts w:ascii="MS PGothic" w:cs="MS PGothic" w:eastAsia="MS PGothic" w:hAnsi="MS PGothic"/>
          <w:sz w:val="18"/>
          <w:szCs w:val="18"/>
          <w:color w:val="auto"/>
        </w:rPr>
        <w:t xml:space="preserve">The Company has adopted a set of </w:t>
      </w:r>
      <w:r>
        <w:rPr>
          <w:rFonts w:ascii="Calibri" w:cs="Calibri" w:eastAsia="Calibri" w:hAnsi="Calibri"/>
          <w:sz w:val="18"/>
          <w:szCs w:val="18"/>
          <w:i w:val="1"/>
          <w:iCs w:val="1"/>
          <w:color w:val="auto"/>
        </w:rPr>
        <w:t>Corporate Governance Guidelines</w:t>
      </w:r>
      <w:r>
        <w:rPr>
          <w:rFonts w:ascii="MS PGothic" w:cs="MS PGothic" w:eastAsia="MS PGothic" w:hAnsi="MS PGothic"/>
          <w:sz w:val="18"/>
          <w:szCs w:val="18"/>
          <w:color w:val="auto"/>
        </w:rPr>
        <w:t xml:space="preserve"> to address maters of fundamental importance relatng to the corporate governance of the Company, including director qualifcatons and responsibilites, responsibilites of key board commitees, director compensaton and similar maters. Each of the Audit Commitee, the Management Development and Compensaton Commitee, and the Nominatng and Corporate Governance Commitee of the Board of Directors has adopted a writen charter addressing various maters of importance relatng to each commitee, including the commitee’s purposes and responsibilites, an annual performance evaluaton of each commitee and similar maters. These </w:t>
      </w:r>
      <w:r>
        <w:rPr>
          <w:rFonts w:ascii="Calibri" w:cs="Calibri" w:eastAsia="Calibri" w:hAnsi="Calibri"/>
          <w:sz w:val="18"/>
          <w:szCs w:val="18"/>
          <w:i w:val="1"/>
          <w:iCs w:val="1"/>
          <w:color w:val="auto"/>
        </w:rPr>
        <w:t>Corporate Governance Guidelines</w:t>
      </w:r>
      <w:r>
        <w:rPr>
          <w:rFonts w:ascii="MS PGothic" w:cs="MS PGothic" w:eastAsia="MS PGothic" w:hAnsi="MS PGothic"/>
          <w:sz w:val="18"/>
          <w:szCs w:val="18"/>
          <w:color w:val="auto"/>
        </w:rPr>
        <w:t>, and the charters of each of these commitees, are available on the Company’s website at www.martnmarieta.com.</w:t>
      </w:r>
    </w:p>
    <w:p>
      <w:pPr>
        <w:spacing w:after="0" w:line="90"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auto"/>
        </w:rPr>
        <w:t>The Company’s Chief Executve Ofcer and Chief Financial Ofcer are required to fle with the SEC each quarter and each year certfcatons regarding the quality of the Company’s public disclosure of its fnancial conditon. The annual certfcatons are included as exhibits to this Form 10‑K. The Company’s Chief Executve Ofcer is also required to certfy to the New York Stock Exchange each year that he is not aware of any violaton by the Company of the New York Stock Exchange corporate governance listng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62865</wp:posOffset>
            </wp:positionV>
            <wp:extent cx="325755" cy="1968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MS PGothic" w:cs="MS PGothic" w:eastAsia="MS PGothic" w:hAnsi="MS PGothic"/>
          <w:sz w:val="18"/>
          <w:szCs w:val="18"/>
          <w:color w:val="auto"/>
        </w:rPr>
        <w:t xml:space="preserve">Form 10-K </w:t>
      </w:r>
      <w:r>
        <w:rPr>
          <w:rFonts w:ascii="Arial" w:cs="Arial" w:eastAsia="Arial" w:hAnsi="Arial"/>
          <w:sz w:val="23"/>
          <w:szCs w:val="23"/>
          <w:color w:val="0070C0"/>
        </w:rPr>
        <w:t>♦</w:t>
      </w:r>
      <w:r>
        <w:rPr>
          <w:rFonts w:ascii="MS PGothic" w:cs="MS PGothic" w:eastAsia="MS PGothic" w:hAnsi="MS PGothic"/>
          <w:sz w:val="18"/>
          <w:szCs w:val="18"/>
          <w:color w:val="auto"/>
        </w:rPr>
        <w:t xml:space="preserve">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5" w:name="page16"/>
    <w:bookmarkEnd w:id="15"/>
    <w:p>
      <w:pPr>
        <w:ind w:left="9020"/>
        <w:spacing w:after="0"/>
        <w:rPr>
          <w:sz w:val="20"/>
          <w:szCs w:val="20"/>
          <w:color w:val="auto"/>
        </w:rPr>
      </w:pPr>
      <w:r>
        <w:rPr>
          <w:rFonts w:ascii="MS PGothic" w:cs="MS PGothic" w:eastAsia="MS PGothic" w:hAnsi="MS PGothic"/>
          <w:sz w:val="16"/>
          <w:szCs w:val="16"/>
          <w:color w:val="auto"/>
        </w:rPr>
        <w:t xml:space="preserve">Part I </w:t>
      </w:r>
      <w:r>
        <w:rPr>
          <w:rFonts w:ascii="Arial" w:cs="Arial" w:eastAsia="Arial" w:hAnsi="Arial"/>
          <w:sz w:val="20"/>
          <w:szCs w:val="20"/>
          <w:color w:val="0070C0"/>
        </w:rPr>
        <w:t>♦</w:t>
      </w:r>
      <w:r>
        <w:rPr>
          <w:rFonts w:ascii="MS PGothic" w:cs="MS PGothic" w:eastAsia="MS PGothic" w:hAnsi="MS PGothic"/>
          <w:sz w:val="16"/>
          <w:szCs w:val="16"/>
          <w:color w:val="auto"/>
        </w:rPr>
        <w:t xml:space="preserve"> Item 1A – Risk Factors</w:t>
      </w:r>
    </w:p>
    <w:p>
      <w:pPr>
        <w:spacing w:after="0" w:line="26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1A – RISK FACTORS</w:t>
      </w:r>
    </w:p>
    <w:p>
      <w:pPr>
        <w:spacing w:after="0" w:line="64"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auto"/>
        </w:rPr>
        <w:t>An investment in Martn Marieta common stock or debt securites involves risks and uncertaintes. You should consider the following factors carefully, in additon to the other informaton contained in this Form 10-K, before deciding to purchase or otherwise trade the Company’s securites.</w:t>
      </w:r>
    </w:p>
    <w:p>
      <w:pPr>
        <w:spacing w:after="0" w:line="39" w:lineRule="exact"/>
        <w:rPr>
          <w:sz w:val="20"/>
          <w:szCs w:val="20"/>
          <w:color w:val="auto"/>
        </w:rPr>
      </w:pPr>
    </w:p>
    <w:p>
      <w:pPr>
        <w:jc w:val="both"/>
        <w:spacing w:after="0" w:line="315" w:lineRule="auto"/>
        <w:rPr>
          <w:sz w:val="20"/>
          <w:szCs w:val="20"/>
          <w:color w:val="auto"/>
        </w:rPr>
      </w:pPr>
      <w:r>
        <w:rPr>
          <w:rFonts w:ascii="MS PGothic" w:cs="MS PGothic" w:eastAsia="MS PGothic" w:hAnsi="MS PGothic"/>
          <w:sz w:val="17"/>
          <w:szCs w:val="17"/>
          <w:color w:val="auto"/>
        </w:rPr>
        <w:t>This Form 10-K and other writen reports and oral statements made from tme to tme by the Company contain statements that, to the extent they are not recitatons of historical fact, consttute forward-looking statements within the meaning of federal securites law. Investors are cautoned that all forward-looking statements involve risks and uncertaintes, and are based on assumptons that the Company believes in good faith are reasonable, but which may be materially diferent from actual results. Investors can identfy these statements by the fact that they do not relate only to historic or current facts. The words “may,” “will,” “could,” “should,” “antcipate,” “believe,” “estmate,” “expect,” “forecast,” “intend,” “outlook,” “plan,” “project,” “scheduled,” and similar expressions in connecton with future events or future operatng or fnancial performance are intended to identfy forward-looking statements. Any or all of the Company’s forward-looking statements in this Form 10‑K and in other publicatons may turn out to be wrong.</w:t>
      </w:r>
    </w:p>
    <w:p>
      <w:pPr>
        <w:spacing w:after="0" w:line="58"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auto"/>
        </w:rPr>
        <w:t>Statements and assumptons on future revenues, income and cash fows, performance, economic trends, the outcome of litgaton, regulatory compliance, and environmental remediaton cost estmates are examples of forward-looking statements. Numerous factors, including potentally the risk factors described in this secton, could afect the Company's forward-looking statements and actual performance.</w:t>
      </w:r>
    </w:p>
    <w:p>
      <w:pPr>
        <w:spacing w:after="0" w:line="56" w:lineRule="exact"/>
        <w:rPr>
          <w:sz w:val="20"/>
          <w:szCs w:val="20"/>
          <w:color w:val="auto"/>
        </w:rPr>
      </w:pPr>
    </w:p>
    <w:p>
      <w:pPr>
        <w:jc w:val="both"/>
        <w:spacing w:after="0" w:line="317" w:lineRule="auto"/>
        <w:rPr>
          <w:sz w:val="20"/>
          <w:szCs w:val="20"/>
          <w:color w:val="auto"/>
        </w:rPr>
      </w:pPr>
      <w:r>
        <w:rPr>
          <w:rFonts w:ascii="MS PGothic" w:cs="MS PGothic" w:eastAsia="MS PGothic" w:hAnsi="MS PGothic"/>
          <w:sz w:val="17"/>
          <w:szCs w:val="17"/>
          <w:color w:val="auto"/>
        </w:rPr>
        <w:t>Investors are also cautoned that it is not possible to predict or identfy all such factors. Consequently, the reader should not consider any such list to be a complete statement of all potental risks or uncertaintes. Other factors besides those listed may also adversely afect the Company and may be material to the Company. The Company has listed the known material risks it considers relevant in evaluatng the Company and its operatons. The forward-looking statements in this document are intended to be subject to the safe harbor protecton provided by Secton 27A of the Securites Act of 1933 and Secton 21E of the Exchange Act. These forward-looking statements are made as of the date hereof based on management’s current expectatons, and the Company does not undertake an obligaton to update such statements, whether as a result of new informaton, future events, or otherwise, other than as required by law.</w:t>
      </w:r>
    </w:p>
    <w:p>
      <w:pPr>
        <w:spacing w:after="0" w:line="57" w:lineRule="exact"/>
        <w:rPr>
          <w:sz w:val="20"/>
          <w:szCs w:val="20"/>
          <w:color w:val="auto"/>
        </w:rPr>
      </w:pPr>
    </w:p>
    <w:p>
      <w:pPr>
        <w:jc w:val="both"/>
        <w:spacing w:after="0" w:line="299" w:lineRule="auto"/>
        <w:rPr>
          <w:sz w:val="20"/>
          <w:szCs w:val="20"/>
          <w:color w:val="auto"/>
        </w:rPr>
      </w:pPr>
      <w:r>
        <w:rPr>
          <w:rFonts w:ascii="MS PGothic" w:cs="MS PGothic" w:eastAsia="MS PGothic" w:hAnsi="MS PGothic"/>
          <w:sz w:val="18"/>
          <w:szCs w:val="18"/>
          <w:color w:val="auto"/>
        </w:rPr>
        <w:t>For a discussion identfying some important factors that could cause actual results to vary materially from those antcipated in the forward-looking statements, see the factors listed below, along with the discussion of “</w:t>
      </w:r>
      <w:r>
        <w:rPr>
          <w:rFonts w:ascii="MS PGothic" w:cs="MS PGothic" w:eastAsia="MS PGothic" w:hAnsi="MS PGothic"/>
          <w:sz w:val="18"/>
          <w:szCs w:val="18"/>
          <w:u w:val="single" w:color="auto"/>
          <w:color w:val="007DC6"/>
        </w:rPr>
        <w:t>Competton</w:t>
      </w:r>
      <w:r>
        <w:rPr>
          <w:rFonts w:ascii="MS PGothic" w:cs="MS PGothic" w:eastAsia="MS PGothic" w:hAnsi="MS PGothic"/>
          <w:sz w:val="18"/>
          <w:szCs w:val="18"/>
          <w:color w:val="auto"/>
        </w:rPr>
        <w:t>” under Item 1 of this Form 10-K, “</w:t>
      </w:r>
      <w:r>
        <w:rPr>
          <w:rFonts w:ascii="MS PGothic" w:cs="MS PGothic" w:eastAsia="MS PGothic" w:hAnsi="MS PGothic"/>
          <w:sz w:val="18"/>
          <w:szCs w:val="18"/>
          <w:u w:val="single" w:color="auto"/>
          <w:color w:val="007DC6"/>
        </w:rPr>
        <w:t>Management’s Discussion and Analysis</w:t>
      </w:r>
      <w:r>
        <w:rPr>
          <w:rFonts w:ascii="MS PGothic" w:cs="MS PGothic" w:eastAsia="MS PGothic" w:hAnsi="MS PGothic"/>
          <w:sz w:val="18"/>
          <w:szCs w:val="18"/>
          <w:color w:val="auto"/>
        </w:rPr>
        <w:t xml:space="preserve"> </w:t>
      </w:r>
      <w:r>
        <w:rPr>
          <w:rFonts w:ascii="MS PGothic" w:cs="MS PGothic" w:eastAsia="MS PGothic" w:hAnsi="MS PGothic"/>
          <w:sz w:val="18"/>
          <w:szCs w:val="18"/>
          <w:u w:val="single" w:color="auto"/>
          <w:color w:val="007DC6"/>
        </w:rPr>
        <w:t>of Financial Conditon and Results of Operatons</w:t>
      </w:r>
      <w:r>
        <w:rPr>
          <w:rFonts w:ascii="MS PGothic" w:cs="MS PGothic" w:eastAsia="MS PGothic" w:hAnsi="MS PGothic"/>
          <w:sz w:val="18"/>
          <w:szCs w:val="18"/>
          <w:color w:val="000000"/>
        </w:rPr>
        <w:t>” under Item 7 of this Form 10-K, and “</w:t>
      </w:r>
      <w:r>
        <w:rPr>
          <w:rFonts w:ascii="MS PGothic" w:cs="MS PGothic" w:eastAsia="MS PGothic" w:hAnsi="MS PGothic"/>
          <w:sz w:val="18"/>
          <w:szCs w:val="18"/>
          <w:u w:val="single" w:color="auto"/>
          <w:color w:val="007DC6"/>
        </w:rPr>
        <w:t>Note A: Accountng Policies</w:t>
      </w:r>
      <w:r>
        <w:rPr>
          <w:rFonts w:ascii="MS PGothic" w:cs="MS PGothic" w:eastAsia="MS PGothic" w:hAnsi="MS PGothic"/>
          <w:sz w:val="18"/>
          <w:szCs w:val="18"/>
          <w:color w:val="000000"/>
        </w:rPr>
        <w:t>” and “</w:t>
      </w:r>
      <w:r>
        <w:rPr>
          <w:rFonts w:ascii="MS PGothic" w:cs="MS PGothic" w:eastAsia="MS PGothic" w:hAnsi="MS PGothic"/>
          <w:sz w:val="18"/>
          <w:szCs w:val="18"/>
          <w:u w:val="single" w:color="auto"/>
          <w:color w:val="007DC6"/>
        </w:rPr>
        <w:t>Note N: Commitments and</w:t>
      </w:r>
      <w:r>
        <w:rPr>
          <w:rFonts w:ascii="MS PGothic" w:cs="MS PGothic" w:eastAsia="MS PGothic" w:hAnsi="MS PGothic"/>
          <w:sz w:val="18"/>
          <w:szCs w:val="18"/>
          <w:color w:val="007DC6"/>
        </w:rPr>
        <w:t xml:space="preserve"> </w:t>
      </w:r>
      <w:r>
        <w:rPr>
          <w:rFonts w:ascii="MS PGothic" w:cs="MS PGothic" w:eastAsia="MS PGothic" w:hAnsi="MS PGothic"/>
          <w:sz w:val="18"/>
          <w:szCs w:val="18"/>
          <w:u w:val="single" w:color="auto"/>
          <w:color w:val="007DC6"/>
        </w:rPr>
        <w:t>Contngencies</w:t>
      </w:r>
      <w:r>
        <w:rPr>
          <w:rFonts w:ascii="MS PGothic" w:cs="MS PGothic" w:eastAsia="MS PGothic" w:hAnsi="MS PGothic"/>
          <w:sz w:val="18"/>
          <w:szCs w:val="18"/>
          <w:color w:val="000000"/>
        </w:rPr>
        <w:t>” of the “Notes to Financial Statements” of the Company’s consolidated fnancial statements included under Item 8, “Financial Statements and</w:t>
      </w:r>
      <w:r>
        <w:rPr>
          <w:rFonts w:ascii="MS PGothic" w:cs="MS PGothic" w:eastAsia="MS PGothic" w:hAnsi="MS PGothic"/>
          <w:sz w:val="18"/>
          <w:szCs w:val="18"/>
          <w:color w:val="007DC6"/>
        </w:rPr>
        <w:t xml:space="preserve"> </w:t>
      </w:r>
      <w:r>
        <w:rPr>
          <w:rFonts w:ascii="MS PGothic" w:cs="MS PGothic" w:eastAsia="MS PGothic" w:hAnsi="MS PGothic"/>
          <w:sz w:val="18"/>
          <w:szCs w:val="18"/>
          <w:color w:val="000000"/>
        </w:rPr>
        <w:t>Supplemental Data,”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-457200</wp:posOffset>
            </wp:positionV>
            <wp:extent cx="5619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1975" cy="8255"/>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-457200</wp:posOffset>
            </wp:positionV>
            <wp:extent cx="17760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760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22802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80285" cy="8255"/>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-320040</wp:posOffset>
            </wp:positionV>
            <wp:extent cx="29235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235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6337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373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Industry Risk Factors</w:t>
      </w:r>
    </w:p>
    <w:p>
      <w:pPr>
        <w:spacing w:after="0" w:line="11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business depends on actvity within the constructon industry, which can be cyclical.</w:t>
      </w:r>
    </w:p>
    <w:p>
      <w:pPr>
        <w:spacing w:after="0" w:line="61" w:lineRule="exact"/>
        <w:rPr>
          <w:sz w:val="20"/>
          <w:szCs w:val="20"/>
          <w:color w:val="auto"/>
        </w:rPr>
      </w:pPr>
    </w:p>
    <w:p>
      <w:pPr>
        <w:jc w:val="both"/>
        <w:spacing w:after="0" w:line="320" w:lineRule="auto"/>
        <w:rPr>
          <w:sz w:val="20"/>
          <w:szCs w:val="20"/>
          <w:color w:val="auto"/>
        </w:rPr>
      </w:pPr>
      <w:r>
        <w:rPr>
          <w:rFonts w:ascii="MS PGothic" w:cs="MS PGothic" w:eastAsia="MS PGothic" w:hAnsi="MS PGothic"/>
          <w:sz w:val="17"/>
          <w:szCs w:val="17"/>
          <w:color w:val="auto"/>
        </w:rPr>
        <w:t>Economic and politcal uncertainty can impede growth in the markets in which we operate. Demand for our products, partcularly in the private nonresidental and residental constructon markets, could decline if companies and consumers are unable to obtain credit for constructon projects or if an economic slowdown causes delays or cancellatons of capital projects. State and federal budget issues sometmes undermine the funding available for infrastructure spending. The lack of available credit may limit the ability of states to issue bonds to fnance constructon projects. As a result of these issues, several of our top revenue-generatng states, from tme to tme, stop bidding or slow bid projects in their transportaton departments.</w:t>
      </w:r>
    </w:p>
    <w:p>
      <w:pPr>
        <w:spacing w:after="0" w:line="55" w:lineRule="exact"/>
        <w:rPr>
          <w:sz w:val="20"/>
          <w:szCs w:val="20"/>
          <w:color w:val="auto"/>
        </w:rPr>
      </w:pPr>
    </w:p>
    <w:p>
      <w:pPr>
        <w:jc w:val="both"/>
        <w:spacing w:after="0" w:line="315" w:lineRule="auto"/>
        <w:rPr>
          <w:sz w:val="20"/>
          <w:szCs w:val="20"/>
          <w:color w:val="auto"/>
        </w:rPr>
      </w:pPr>
      <w:r>
        <w:rPr>
          <w:rFonts w:ascii="MS PGothic" w:cs="MS PGothic" w:eastAsia="MS PGothic" w:hAnsi="MS PGothic"/>
          <w:sz w:val="17"/>
          <w:szCs w:val="17"/>
          <w:color w:val="auto"/>
        </w:rPr>
        <w:t>We sell most of our aggregates (our primary business) and our cement products to the constructon industry and, therefore, our results depend on that industry’s strength. Since our businesses depend on constructon spending, which can be cyclical, our profts are sensitve to natonal, regional and local economic conditons and the intensity of the underlying spending on aggregates and cement products. Constructon spending is afected by economic conditons, changes in interest rates, infaton, employment levels, demographic and populaton shifs, and changes in constructon spending by federal, state and local governments. If economic conditons worsen, a recession in the constructon industry may occur and afect the demand for our products. The recessions of the late 2000s and early 2010s (the Great Recession) were examples, and our shipment volumes were signifcantly reduced and remain below peak shipment levels, excluding the contributon of acquisitons. Constructon spending can also be disrupted by terrorist actvity and armed conficts.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59690</wp:posOffset>
            </wp:positionV>
            <wp:extent cx="325755" cy="196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MS PGothic" w:cs="MS PGothic" w:eastAsia="MS PGothic" w:hAnsi="MS PGothic"/>
          <w:sz w:val="18"/>
          <w:szCs w:val="18"/>
          <w:color w:val="auto"/>
        </w:rPr>
        <w:t xml:space="preserve">Form 10-K </w:t>
      </w:r>
      <w:r>
        <w:rPr>
          <w:rFonts w:ascii="Arial" w:cs="Arial" w:eastAsia="Arial" w:hAnsi="Arial"/>
          <w:sz w:val="23"/>
          <w:szCs w:val="23"/>
          <w:color w:val="0070C0"/>
        </w:rPr>
        <w:t>♦</w:t>
      </w:r>
      <w:r>
        <w:rPr>
          <w:rFonts w:ascii="MS PGothic" w:cs="MS PGothic" w:eastAsia="MS PGothic" w:hAnsi="MS PGothic"/>
          <w:sz w:val="18"/>
          <w:szCs w:val="18"/>
          <w:color w:val="auto"/>
        </w:rPr>
        <w:t xml:space="preserve">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6" w:name="page17"/>
    <w:bookmarkEnd w:id="16"/>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our business operatons cover a wide geographic area, our earnings depend on the strength of the local economies in which we operate due to the high cost to transport our products relatve to their selling price. If economic conditons and constructon spending decline signifcantly in one or more areas, partcularly in our Building Materials business’ top ten revenue-generatng states of Texas, North Carolina, Colorado, California, Georgia, Minnesota, Arizona, Iowa, Florida and Indiana, our proftability will decrease. We experienced this situaton during the Great Recession.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Demand for aggregates products, partcularly in the infrastructure constructon market, is afected by federal, state and local budget and defcit issues. Remote working trends or other factors that reduce vehicle miles driven can have a negatve impact on various revenue streams that fund roadway projects. Further, delays or cancellatons of projects in the nonresidental and residental constructon markets, which combined accounted for 59% of aggregates shipments in 2023, could occur if companies and consumers are unable to obtain fnancing for constructon projects or if consumer confdence contnues to be eroded by economic uncertainty.</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Building Materials business is seasonal and subject to the weather, which can signifcantly impact operatons.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Since the heavy-side constructon business is conducted outdoors, erratc weather paterns, seasonal changes and other weather-related conditons afect our business. Adverse weather conditons, including hurricanes and tropical storms, extreme temperatures, snow, heavy or sustained rainfall, wildfres and earthquakes, reduce constructon actvity, restrict the demand for our products and impede our ability to efciently transport material. Adverse weather conditons also increase our costs and reduce our producton output as a result of power loss, needed plant and equipment repairs, tme required to remove water from fooded operatons and similar events. Severe drought conditons can restrict available water supplies and restrict producton. Producton and shipment levels of the Building Materials business’ products follow actvity in the constructon industry, which typically is strongest in the spring, summer and fall. Because of the weather’s efect on the constructon industry’s actvity, the producton and shipment levels for our Building Materials business, including all of our aggregates-related downstream operatons, vary by quarter. The second and third quarters are generally subject to heavy precipitaton, and thus are more proftable if precipitaton is lighter. The frst and fourth quarters, which are subject to the impacts of winter weather, are generally the least proftable, but can be more proftable if the impact of winter weather is less. Our operatons in the Atlantc and Gulf Coast regions of the United States and The Bahamas are at risk for hurricane actvity, most notably in August, September and October. Our California operatons are at risk for Pacifc Ocean storms, wildfre actvity and water use restrictons in the event of severe drought conditons. These weather events and conditons may be exacerbated by climate change in the near and long term.</w:t>
      </w:r>
    </w:p>
    <w:p>
      <w:pPr>
        <w:spacing w:after="0" w:line="19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Competton and Growth Risk Factors</w:t>
      </w:r>
    </w:p>
    <w:p>
      <w:pPr>
        <w:spacing w:after="0" w:line="125"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Our Building Materials business depends on the availability of quality aggregates reserves or deposits and our ability to mine them economically.</w:t>
      </w:r>
    </w:p>
    <w:p>
      <w:pPr>
        <w:spacing w:after="0" w:line="6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Our challenge is to fnd quality aggregates deposits that we can mine economically, with appropriate permits, near either growing markets or long-haul transportaton corridors that economically serve applicable markets. As communites in many of our geographic markets have grown, they have setled in and around atractve quarrying locatons and have imposed restrictons on mining. We try to meet this challenge by identfying and permitng sites prior to economic expansion, buying more land around our existng quarries to increase our mineral reserves, developing underground mines and expanding a distributon network that transports aggregates products by various methods, including rail and water. While our distributon network allows us to transport our products longer distances than would normally be considered economical, we can give no assurances that we will be successful at this strategy.</w:t>
      </w:r>
    </w:p>
    <w:p>
      <w:pPr>
        <w:spacing w:after="0" w:line="20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businesses face many compettors.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businesses have many compettors, some of whom are bigger and have more resources than we do. Some of our compettors operate on a worldwide basis. Our results are afected by the number of compettors in a market, the producton capacity that a partcular market can accommodate, the pricing practces of other compettors and the entry of new compettors in a market. We also face competton for some of our products from alternatve products. For example, our Magnesia Specialtes business competes with other chemical products that could be used instead of our magnesia-based products. As other examples, our aggregates, ready mixed concrete, asphalt and paving businesses compete with recycled asphalt and concrete products that could be used in certain applicatons instead of new products and our cement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94615</wp:posOffset>
            </wp:positionV>
            <wp:extent cx="325755" cy="19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7" w:name="page18"/>
    <w:bookmarkEnd w:id="17"/>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compete with internatonal compettors who import products into the United States from jurisdictons with lower producton and regulatory costs and burdens.</w:t>
      </w:r>
    </w:p>
    <w:p>
      <w:pPr>
        <w:spacing w:after="0" w:line="225"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Our future growth depends in part on acquiring other businesses in our industry, and we have the ability to acquire businesses by paying all or in part with shares of our common stock.</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expect to contnue to grow, in part, by acquiring other businesses. In the past, we have made acquisitons to strengthen our existng locatons, expand our operatons and enter new geographic markets. We will contnue to pursue selectve acquisitons, joint ventures or other business arrangements we believe will help our Company grow. However, the contnued success of our acquisiton program will depend on our ability to fnd and buy other atractve businesses at an appropriate price and our ability to integrate acquired businesses into our existng operatons. We cannot assume there will contnue to be atractve acquisiton opportunites for sale at reasonable prices that we can successfully integrate into our operatons.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the ability to pay all or part of the purchase price of any future acquisiton with shares of our common stock. We also have the ability to use our stock to make strategic investments in other companies to complement and expand our operatons. If we use our common stock in this way, the ownership interests of our existng shareholders at that tme will be diluted and the price of our stock could decline. We operate our businesses with the objectve of maximizing long-term shareholder return.</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integraton of the acquisiton or business combinaton with other businesses may not be as successful as projected.</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 successful history of business combinatons and integraton of these businesses into our heritage operatons. However, in connecton with the integraton of any other business that we acquire, there is a risk that we will not be able to achieve such integraton in a successful manner or on the tme schedule we have projected or in a way that will achieve the level of synergies, cost savings or operatng efciencies we forecast from the acquisiton.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signifcant business acquisiton or combinaton we might choose to undertake may require that we devote signifcant management atenton and resources to preparing for and then integratng our business practces and operatons. Based on our history, we believe we would be successful in this integraton process. Nevertheless, we may fail to realize some of the antcipated benefts of any potental acquisiton or other business combinaton that we pursue in the future if the integraton process takes longer or is more costly than expected. Potental difcultes we may encounter in the integraton process include the following:</w:t>
      </w:r>
    </w:p>
    <w:p>
      <w:pPr>
        <w:spacing w:after="0" w:line="72" w:lineRule="exact"/>
        <w:rPr>
          <w:sz w:val="20"/>
          <w:szCs w:val="20"/>
          <w:color w:val="auto"/>
        </w:rPr>
      </w:pPr>
    </w:p>
    <w:p>
      <w:pPr>
        <w:jc w:val="both"/>
        <w:ind w:left="800" w:hanging="397"/>
        <w:spacing w:after="0" w:line="235" w:lineRule="auto"/>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inability to successfully combine operatons in a manner that permits us to achieve the synergies antcipated to result from the proposed acquisiton or business combinaton, which would result in the antcipated benefts of the acquisiton or business combinaton not being realized partly or wholly in the tme frame currently antcipated or at all;</w:t>
      </w:r>
    </w:p>
    <w:p>
      <w:pPr>
        <w:spacing w:after="0" w:line="70"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lost sales and customers as a result of certain customers of either the Company or former customers of the acquired or combined company deciding not to do business with us;</w:t>
      </w:r>
    </w:p>
    <w:p>
      <w:pPr>
        <w:spacing w:after="0" w:line="64"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complexites associated with managing the combined operatons;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integraton of personnel;</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creaton of uniform standards, internal controls, procedures, policies and informaton systems;</w:t>
      </w:r>
    </w:p>
    <w:p>
      <w:pPr>
        <w:spacing w:after="0" w:line="68"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discovery of previously unknown liabilites and unforeseen increased expenses, delays or regulatory issues associated with integratng the remaining operatons; and</w:t>
      </w:r>
    </w:p>
    <w:p>
      <w:pPr>
        <w:spacing w:after="0" w:line="69"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performance shortalls at business units as a result of the diversion of management atenton caused by completng the remaining integraton of the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367030</wp:posOffset>
            </wp:positionV>
            <wp:extent cx="325755" cy="196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8" w:name="page19"/>
    <w:bookmarkEnd w:id="18"/>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acquisitons and divesttures could harm our results of operatons.</w:t>
      </w:r>
    </w:p>
    <w:p>
      <w:pPr>
        <w:spacing w:after="0" w:line="5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In pursuing our business strategy, we conduct discussions, evaluate opportunites and enter into acquisiton and divestture agreements. Acquisitons involve signifcant challenges and risks, including risks that:</w:t>
      </w:r>
    </w:p>
    <w:p>
      <w:pPr>
        <w:spacing w:after="0" w:line="64" w:lineRule="exact"/>
        <w:rPr>
          <w:sz w:val="20"/>
          <w:szCs w:val="20"/>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realize a satsfactory return on our investment;</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obtain required regulatory approvals and/or required fnancing on favorable terms;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be able to retain key personnel of acquired businesses;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experience difculty in integratng new employees, business systems and technology;</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due diligence process may not identfy compliance issues or other liabilites that are in existence at the tme of our acquisiton;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be able to bring the acquired business up to our expected levels of safety standards as soon as antcipated;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have difculty entering into new geographic markets in which we are not experienced; or</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be unable to retain the customers and partners of acquired businesses following the acquisiton.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Divesttures also involve signifcant challenges and risks, including risks that:</w:t>
      </w:r>
    </w:p>
    <w:p>
      <w:pPr>
        <w:spacing w:after="0" w:line="64" w:lineRule="exact"/>
        <w:rPr>
          <w:sz w:val="20"/>
          <w:szCs w:val="20"/>
          <w:color w:val="auto"/>
        </w:rPr>
      </w:pPr>
    </w:p>
    <w:p>
      <w:pPr>
        <w:ind w:left="800" w:hanging="397"/>
        <w:spacing w:after="0"/>
        <w:tabs>
          <w:tab w:leader="none" w:pos="8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obtain required regulatory approvals or our counterpartes may not obtain required fnancing on favorable terms;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management tme and atenton may be diverted in businesses held for sale;</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have to write-of certain assets, including those relatng to goodwill and other intangibles;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experience difcultes in the separaton of operatons; and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lose key employees.</w:t>
      </w:r>
    </w:p>
    <w:p>
      <w:pPr>
        <w:spacing w:after="0" w:line="212"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cement and Magnesia Specialtes businesses may become capacity-constrained.</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our cement or Magnesia Specialtes businesses becomes and/or remains capacity-constrained, we may be unable to tmely satsfy the demand for some of our products, and any resultng changes in customers would introduce volatlity to the earnings of these segments. We can address capacity needs by enhancing our manufacturing productvity, increasing the operatonal availability of equipment, reducing machinery down tme and extending machinery useful life. Future demand for our products may require us to expand our manufacturing capacity further, partcularly through the purchase of additonal manufacturing equipment. However, we may not be able to increase our capacity in tme to satsfy increases in demand that may occur from tme to tme. Our Texas cement operatons are currently capacity constrained, which may prevent us from satsfying customer orders and result in a loss of sales to compettors that are not capacity-constrained. We are permited to expand producton by up to 0.8 million additonal tons at our Midlothian cement facility and are currently in the process of efectng an expansion to add 0.5 million tons of annual producton capacity. However, we may sufer excess capacity if we increase our capacity to meet actual or antcipated demand and that demand decreases or does not materialize.</w:t>
      </w:r>
    </w:p>
    <w:p>
      <w:pPr>
        <w:spacing w:after="0" w:line="231"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Our cement business could sufer if cement or clinker imports from other countries signifcantly increase or are sold in the United States in violaton of U.S. fair trade laws.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past, the cement industry has benefted from antdumping orders imposing dutes on imports of cement and clinker from other countries that violated U.S. fair trade laws. Cement operators with import facilites can purchase cement from other countries, such as those in Latn America and Asia, which could compete with domestc producers. In additon, if environmental regulatons increase the costs of domestc producers compared to foreign producers that are not subject to similar regulatons, imported cement could achieve a signifcant cost advantage over domestcally produced cement. An infux of cement or clinker products from countries not subject to antdumping orders, or sales of imported cement or clinker in violaton of U.S. fair trade laws, could adversely afect our cement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231775</wp:posOffset>
            </wp:positionV>
            <wp:extent cx="325755"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6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9" w:name="page20"/>
    <w:bookmarkEnd w:id="19"/>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6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Economic, Politcal and Legal Risk Factors</w:t>
      </w:r>
    </w:p>
    <w:p>
      <w:pPr>
        <w:spacing w:after="0" w:line="126" w:lineRule="exact"/>
        <w:rPr>
          <w:sz w:val="20"/>
          <w:szCs w:val="20"/>
          <w:color w:val="auto"/>
        </w:rPr>
      </w:pPr>
    </w:p>
    <w:p>
      <w:pPr>
        <w:jc w:val="both"/>
        <w:spacing w:after="0" w:line="237" w:lineRule="auto"/>
        <w:rPr>
          <w:sz w:val="20"/>
          <w:szCs w:val="20"/>
          <w:color w:val="auto"/>
        </w:rPr>
      </w:pPr>
      <w:r>
        <w:rPr>
          <w:rFonts w:ascii="Calibri" w:cs="Calibri" w:eastAsia="Calibri" w:hAnsi="Calibri"/>
          <w:sz w:val="22"/>
          <w:szCs w:val="22"/>
          <w:b w:val="1"/>
          <w:bCs w:val="1"/>
          <w:i w:val="1"/>
          <w:iCs w:val="1"/>
          <w:color w:val="4EAD8A"/>
        </w:rPr>
        <w:t>Changes in legal requirements and governmental policies concerning zoning, land use, the environment, health and safety and other areas of the law, as well as litgaton relatng to these maters, afect our businesses. Our operatons expose us to the risk of material environmental liabilites.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Many federal, state and local laws and regulatons relatng to zoning, land use, air emissions (including carbon dioxide and other greenhouse gases), water use, allocaton and discharges, waste management, noise and dust control, mining, land reclamaton and other environmental, health and safety maters govern our operatons. Some of our operatons require permits, which may impose additonal operatng standards and are subject to modifcaton, renewal and revocaton. Certain of our operatons may from tme to tme involve the use of substances that are classifed as toxic or hazardous within the meaning of these laws and regulatons. Despite our extensive eforts to remain in strict compliance at all tmes with all applicable laws and regulatons, the risk of liabilites, partcularly environmental liabilites, is inherent in the operaton of our businesses. These potental liabilites could result in material costs, including fnes or personal injury or damages claims, which could have an adverse impact on our operatons and proftability.</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Future events, including changes in existng laws or regulatons or enforcement policies, or further investgaton or evaluaton of the potental health hazards of some of our products or business actvites may result in additonal or unantcipated compliance and other costs. We could be required to invest in preventve or remedial acton, like polluton control facilites, which could be substantal or which could result in restrictons on our operatons or delays in obtaining required permits or other approvals.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operatons are subject to manufacturing, operatng and handling risks associated with the products we produce and the products we use in our operatons, including the related storage and transportaton of raw materials, explosives, products, hazardous substances and wastes. We are exposed to hazards, including storage tank leaks, explosions, discharges or releases of hazardous substances, exposure to dust, and the operaton of mobile equipment and manufacturing machinery.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These risks can subject us to potentally signifcant liabilites relatng to personal injury, death or property damage, and may result in signifcant civil or criminal penaltes, which could hurt our productvity or proftability. For example, from tme to tme, we investgate and remediate environmental contaminaton relatng to our prior or current operatons, as well as operatons we have acquired from others, and, in some cases, we have been or could be named as a defendant in litgaton brought by governmental agencies or private partes to investgate or clean up such contaminaton.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involved from tme to tme in litgaton and claims arising from our operatons. While we do not believe the outcome of pending or threatened litgaton will have a material adverse efect on our operatons or our fnancial conditon, an unexpected and material adverse outcome in a pending or future legal acton could potentally have a negatve efect on our Company.</w:t>
      </w:r>
    </w:p>
    <w:p>
      <w:pPr>
        <w:spacing w:after="0" w:line="22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b w:val="1"/>
          <w:bCs w:val="1"/>
          <w:i w:val="1"/>
          <w:iCs w:val="1"/>
          <w:color w:val="4EAD8A"/>
        </w:rPr>
        <w:t>Legislaton or regulatons to address climate change and transiton to a low-carbon economy may adversely impact our business, including fnancial impacts.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number of governmental bodies, including the U.S. Congress and various U.S. states, have proposed, enacted or are contemplatng legislatve and regulatory changes to mitgate or address the potental impacts of climate change, including provisions for greenhouse gas (GHG) emissions reductons or the use of alternatve fuels, carbon credits (such as a cap-and-trade system) and a carbon tax. For example, in the United States, the United States Environmental Protecton Agency (USEPA) promulgated a mandatory reportng rule covering GHG emissions from sources considered to be large emiters. Our cement plants, as well as our Magnesia Specialtes plants, are strictly regulated with respect to GHG emissions and hold Title V Permits under USEPA regulatons, and each (other than the Manistee Michigan facility) is also subject to the U.S. Clean Air Act’s Preventon of Signifcant Deterioraton (PSD) requirements which require a permit program for certain new or modifed sources of emissions. If future modifcatons to our Magnesia Specialtes or cement facilites require PSD review for other pollutants, GHG permitng requirements may also be triggered, which could require us to incur signifcant additonal costs. It is not possible, however, to estmate the cost of any future requirements at this tme.</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2021, a pair of executve orders and a presidental memorandum were issued making climate change central to U.S. policy and setng out several administratve priorites and undertakings to reduce GHG emissions. The United States reentered the Paris Agreement in January 2021 and later announced the U.S. reducton commitments under the Paris Agreement, including a 50% to 52% economy-wide reducton in net GHG emissions from 2005 levels by 2030. The United States has also entered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0" w:name="page21"/>
    <w:bookmarkEnd w:id="20"/>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pact with 103 countries and jurisdictons, known as the Global Methane Pledge, to reduce global methane emissions by 30% from 2020 levels by the end of the decade. Although it is impossible to determine the actons the federal government will ultmately take to implement these or other orders, commitments and laws, or the full scope, tming or ramifcatons of such measures, the United States, like other signatories to the Paris Agreement, is currently pursuing a goal of a Net Zero GHG by 2050. It is also possible that the USEPA and other agencies will use their rule-making authority and procurement decisions to further address climate change. Various states where we have operatons have enacted or are considering climate change initatves as well, and we have been and may contnue to be subject to state regulatons in additon to any federal laws and rules that are passed. For example, California has had a cap-and-trade program for emissions rights since 2012. In additon, in October 2023, California adopted its California Climate Accountability Package which includes annual reportng of Scope 1, Scope 2 and Scope 3 emissions on a phased-in implementaton schedule, climate-related risk reportng for certain companies and heightened disclosure standards around net zero emissions claims, carbon-neutral claims or signifcant GHG emissions reducton claims and the purchase or use of voluntary carbon ofsets used to achieve those claims. These and other state climate-related regulatons may result in signifcantly higher compliance costs and risks.</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although our aggregates, ready mixed concrete, asphalt and paving operatons are not considered “major” sources of GHG emissions subject to the USEPA reportng rule, any additonal regulatory restrictons on emissions of GHGs imposed by the USEPA would likely impact our magnesia-based chemicals operatons in Woodville, Ohio, and Manistee, Michigan, as well as our cement operatons in Texas, which in 2023 fled annual reports of GHG emissions as required by the USEPA reportng rule. We may not be able to recover any increased operatng costs, taxes or capital investments (other than with respect to any carbon reducton or capture technologies) relatng to GHG emission limitatons at those plants from our customers in order to remain compettve in pricing in the relevant markets. Our businesses also are dependent on reliable sources of energy and fuels. We could incur increased costs or disruptons in our operatons if climate change legislaton and regulaton (including regulatory changes with respect to alternatve fuel use) or severe weather afect the price or availability of purchased energy or fuels or other materials used in our operatons.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we do not currently believe such requirements will have a material adverse efect on the fnancial conditon or results of the operatons of either the Magnesia Specialtes business or Building Materials business, in light of the various regulatory uncertaintes, it is very difcult at this tme to reasonably predict the costs of any future compliance requirements. We contnue to monitor GHG regulatons and legislaton and its potental impact on our business, fnancial conditon and product demand.</w:t>
      </w:r>
    </w:p>
    <w:p>
      <w:pPr>
        <w:spacing w:after="0" w:line="10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Climate change may result in physical impacts that could have adverse efects on our operatons or fnancial conditon.</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Given the nature of our operatons, physical impacts may include disruptons in producton, regional supply or product distributon networks, as well as negatve impacts on the price or availability of purchased energy or fuels, due to major storm events or other severe weather, shifs in regional rainfall and temperature paterns and intensites, and fooding from sea level changes. In additon, producton and shipment demand for our Building Materials business correlate with general constructon actvity and rely on road, rail and water transportaton networks, most of which occurs outdoors and, as a result, is afected by erratc weather paterns, seasonal changes and other unusual or unexpected weather-related conditons, which can signifcantly afect that business. In our cement and downstream businesses, the physical impacts of climate change may result in disruptons to our operatons and to our customers’ transportaton actvites, including impacts on producton capabilites and capacites, supply chain interruptons and project delays, which can impact our reputaton and result in additonal costs to our Company. Excessive rainfall and other severe weather events also jeopardize producton, shipments and proftability in all markets served by our Building Materials business. In partcular, our operatons in the Atlantc and Gulf Coast regions of the United States and The Bahamas are at risk for hurricane actvity, most notably in August, September and October. In additon, our California operatons are at risk for wildfres, which is exacerbated by drought, which may also result in water restrictons, while recent unprecedented storms and fooding have caused operatonal delays and challenges. Increased intensity and frequency of extreme weather events have been linked to climate change, and further global warming may increase the risk of adverse weather conditons. Climate and inclement weather can also reduce the useful life of an asset. These and other climate-related risks, such as a downturn in the constructon sector due to harsh weather, signifcant precipitaton or other changes in weather, could impact our customers, which could lead to reduced demand for our products. We may not be able to pass on to our customers all the costs related to mitgatng these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236855</wp:posOffset>
            </wp:positionV>
            <wp:extent cx="325755" cy="197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376"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1" w:name="page22"/>
    <w:bookmarkEnd w:id="21"/>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business is dependent on funding from a combinaton of federal, state and local sources.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products are used in public infrastructure projects, which include the constructon, maintenance and improvement of highways, streets, roads, bridges, schools and similar projects. Accordingly, our business is dependent on the level of federal, state and local spending on these projects. We cannot be assured, however, of the amount and tming of appropriatons for spending on infrastructure projects.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businesses could be impacted by rising interest rates.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operatons are highly dependent upon the interest rate-sensitve constructon and steelmaking industries. Therefore, our business in these industries may decline from rising interest rates and cost increases.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Notably, demand in the residental constructon market in which we sell our aggregates products is afected by interest rates. The Federal Reserve raised interest rates throughout 2023 to atempt to address high infaton. Sustained high interest rates may afect our business in an adverse manner. The residental constructon market accounted for 24% of our 2023 aggregates shipments.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Aside from these inherent risks from within our operatons, our earnings are also afected by changes in short-term interest rates. However, rising interest rates are not necessarily predictve of weaker operatng results.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Rising interest rates could also result in disruptons in the credit markets, which could afect our business, as described in greater detail under </w:t>
      </w:r>
      <w:r>
        <w:rPr>
          <w:rFonts w:ascii="Calibri" w:cs="Calibri" w:eastAsia="Calibri" w:hAnsi="Calibri"/>
          <w:sz w:val="18"/>
          <w:szCs w:val="18"/>
          <w:i w:val="1"/>
          <w:iCs w:val="1"/>
          <w:color w:val="auto"/>
        </w:rPr>
        <w:t>Disruptons in</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the credit markets could afect our business </w:t>
      </w:r>
      <w:r>
        <w:rPr>
          <w:rFonts w:ascii="Calibri" w:cs="Calibri" w:eastAsia="Calibri" w:hAnsi="Calibri"/>
          <w:sz w:val="18"/>
          <w:szCs w:val="18"/>
          <w:color w:val="auto"/>
        </w:rPr>
        <w:t>risk factor.</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Increases in our efectve income tax rate may harm our results of operatons.</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A number of factors may increase our future efectve income tax rate, including:</w:t>
      </w:r>
    </w:p>
    <w:p>
      <w:pPr>
        <w:spacing w:after="0" w:line="64" w:lineRule="exact"/>
        <w:rPr>
          <w:sz w:val="20"/>
          <w:szCs w:val="20"/>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governmental authorites increasing taxes or eliminatng deductons, partcularly the depleton deducton;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mix of earnings from depletable versus non-depletable businesses;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jurisdictons in which earnings are taxed;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resoluton of issues arising from tax audits with various tax authorites;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the valuaton of our deferred tax assets and liabilites;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adjustments to estmated taxes upon fnalizaton of various tax returns;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available tax credits;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stock-based compensaton;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write-of of nondeductble goodwill resultng from divesttures;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other changes in tax laws; and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interpretaton of tax laws and/or administratve practces.</w:t>
      </w:r>
    </w:p>
    <w:p>
      <w:pPr>
        <w:spacing w:after="0" w:line="109" w:lineRule="exact"/>
        <w:rPr>
          <w:sz w:val="20"/>
          <w:szCs w:val="20"/>
          <w:color w:val="auto"/>
        </w:rPr>
      </w:pPr>
    </w:p>
    <w:p>
      <w:pPr>
        <w:spacing w:after="0"/>
        <w:rPr>
          <w:sz w:val="20"/>
          <w:szCs w:val="20"/>
          <w:color w:val="auto"/>
        </w:rPr>
      </w:pPr>
      <w:r>
        <w:rPr>
          <w:rFonts w:ascii="Calibri" w:cs="Calibri" w:eastAsia="Calibri" w:hAnsi="Calibri"/>
          <w:sz w:val="17"/>
          <w:szCs w:val="17"/>
          <w:color w:val="auto"/>
        </w:rPr>
        <w:t>The Infrastructure Investment and Jobs Act imposes a minimum corporate income tax rate of 15% on companies with at least $1 billion of pretax earnings.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Any signifcant increase in our future efectve income tax rate could reduce our net earnings and free cash fow for future periods.</w:t>
      </w:r>
    </w:p>
    <w:p>
      <w:pPr>
        <w:spacing w:after="0" w:line="10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Climate change and sustainability maters and any related reportng obligatons may impact our businesses.</w:t>
      </w:r>
    </w:p>
    <w:p>
      <w:pPr>
        <w:spacing w:after="0" w:line="11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Investors, other stakeholders, and U.S. and internatonal regulators are ofen focused on climate change and sustainability maters. For example, new proposed U.S. laws and regulatons relatng to and requiring disclosure of such maters, including those relatng to sustainability, climate change, supply chain, human capital and diversity, are under consideraton or being adopted, or may be proposed in the future. These requirements have resulted in and may contnue to result in our need to make additonal investments and implement new practces and reportng processes, all entailing management atenton and additonal compliance risk. Any failure or perceived failure to achieve or accurately report on our current or future climate-related commitments, including our GHG reducton and net zero targets, and any diferences between our commitments and those of any companies to which we are compared, could harm our reputaton, adversely afect our ability to efectvely compete (including as a result of disclosure of proprietary informaton regarding our plants or changes in our ability to raise capital), adversely afect our recruitment and retenton eforts or expose us to potental legal liability. In additon, while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86360</wp:posOffset>
            </wp:positionV>
            <wp:extent cx="325755" cy="1974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2" w:name="page23"/>
    <w:bookmarkEnd w:id="22"/>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73" w:lineRule="exact"/>
        <w:rPr>
          <w:sz w:val="20"/>
          <w:szCs w:val="20"/>
          <w:color w:val="auto"/>
        </w:rPr>
      </w:pPr>
    </w:p>
    <w:p>
      <w:pPr>
        <w:jc w:val="both"/>
        <w:spacing w:after="0" w:line="238" w:lineRule="auto"/>
        <w:rPr>
          <w:sz w:val="20"/>
          <w:szCs w:val="20"/>
          <w:color w:val="auto"/>
        </w:rPr>
      </w:pPr>
      <w:r>
        <w:rPr>
          <w:rFonts w:ascii="Calibri" w:cs="Calibri" w:eastAsia="Calibri" w:hAnsi="Calibri"/>
          <w:sz w:val="18"/>
          <w:szCs w:val="18"/>
          <w:color w:val="auto"/>
        </w:rPr>
        <w:t>commited to pursuing our sustainability objectves, there is no assurance that we will achieve any of our sustainability goals or commitments, that low- or non-carbon-based energy sources and technologies required to meet long-term emissions reductons in some of the sectors in which we operate will be available at scale in the United States on an economically feasible basis or that our suppliers can meet sustainability, diversity and other standards that are required by current or future laws or established as investment criteria, votng guidelines or actvism triggers by our investors and other stakeholders. Failure to meet these commitments could result in reputatonal harm to our Company and changes regarding climate risk management and practces may result in higher regulatory and compliance risks and costs.</w:t>
      </w:r>
    </w:p>
    <w:p>
      <w:pPr>
        <w:spacing w:after="0" w:line="118"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b w:val="1"/>
          <w:bCs w:val="1"/>
          <w:i w:val="1"/>
          <w:iCs w:val="1"/>
          <w:color w:val="4EAD8A"/>
        </w:rPr>
        <w:t>Our businesses could be adversely afected by outbreak of disease, epidemic or pandemic, or similar public health threat, or fear of such an event and its related economic and societal response.</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businesses could be negatvely impacted by the widespread outbreak of an illness or other communicable disease, or any other public health crisis that results in economic and trade disruptons. Public health threats can negatvely impact economic actvity, consumer confdence and discretonary spending, and overall market conditons and these conditons could have an impact on our Company to the extent that they occur in regions where our Building Materials business principally operates. Further, outbreaks of illnesses could negatvely afect the health of our employees, employee productvity, customer purchasing paterns and fulfllment of purchase orders, availability of supplies, pricing for raw materials and the ability to transport materials via the Company’s distributon network. We actvely monitor public health situatons as part of our health and safety measures and acted during the COVID-19 pandemic to comply with federal, state and local mandates and to protect the health and safety of our employees. We may take further actons that alter our business operatons, including any that may be required by federal, state or local authorites or that we determine are in the best interests of our employees, customers, suppliers, vendors, communites and other stakeholders as we adapt to public health events from tme to tme.</w:t>
      </w:r>
    </w:p>
    <w:p>
      <w:pPr>
        <w:spacing w:after="0" w:line="19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Personnel Risks</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Labor disputes could disrupt operatons of our businesses.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Labor unions represent 14% of the hourly employees of our Building Materials business and all of the hourly employees of our Magnesia Specialtes business. Our collectve bargaining agreements for employees of our Magnesia Specialtes business at the Woodville, Ohio, lime plant and the Manistee, Michigan magnesia chemicals plant expire in June 2026 and August 2027, respectvely.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Disputes with our trade unions, or the inability to renew our labor agreements, could lead to strikes or other actons that could disrupt our businesses, raise costs and reduce revenues and earnings from the afected locatons.</w:t>
      </w:r>
    </w:p>
    <w:p>
      <w:pPr>
        <w:spacing w:after="0" w:line="225"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We depend on the recruitment and retenton of qualifed personnel, and our failure to atract and retain such personnel could adversely afect our business.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success depends to a signifcant degree upon the contnued services of, and on our ability to atract and retain, our key personnel and executve ofcers, including qualifed management, technical, marketng and sales, and support personnel. Competton for such personnel is intense, and we may not be successful in atractng or retaining such qualifed personnel, which could negatvely afect our business. In additon, because of our reliance on our senior management team, the unantcipated departure of any key member could have an adverse efect on our business. Our future success depends, in part, on our ability to identfy and develop or recruit talent to succeed our senior management and other key positons throughout the organizaton. If we fail to identfy and develop or recruit successors, we are at risk of being harmed by the departures of these key employees. Efectve succession planning is also important to our long-term success. Failure to ensure efectve transfer of knowledge and smooth transitons involving key employees could hinder our strategic planning and executon.</w:t>
      </w:r>
    </w:p>
    <w:p>
      <w:pPr>
        <w:spacing w:after="0" w:line="230"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Investment returns on our pension assets may be lower than expected, or interest rates may decline, requiring us to make signifcant additonal cash contributons to our beneft plans.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porton of our current and former employees has accrued benefts under our defned beneft pension plans. Requirements for funding our pension plan liabilites are based on a number of actuarial assumptons, including the expected rate of return on our plan assets and the discount rate applied to our pension plan obligatons. Fluctuatons in equity market returns and changes in long-term interest rates could increase our costs under our defned beneft pension plans and may signifcantly afect future contributon requirements. It is unknown what the actual investment return on our pension assets will be in future years and what interest rates may be at any given point in tme. We cannot therefore provide any assurance of what our 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6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3" w:name="page24"/>
    <w:bookmarkEnd w:id="23"/>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color w:val="auto"/>
        </w:rPr>
        <w:t>pension plan costs will be in the future, or whether we will be required under applicable law to make future material plan contributons.</w:t>
      </w:r>
    </w:p>
    <w:p>
      <w:pPr>
        <w:spacing w:after="0" w:line="198" w:lineRule="exact"/>
        <w:rPr>
          <w:sz w:val="20"/>
          <w:szCs w:val="20"/>
          <w:color w:val="auto"/>
        </w:rPr>
      </w:pPr>
    </w:p>
    <w:p>
      <w:pPr>
        <w:ind w:right="860"/>
        <w:spacing w:after="0" w:line="235" w:lineRule="auto"/>
        <w:rPr>
          <w:sz w:val="20"/>
          <w:szCs w:val="20"/>
          <w:color w:val="auto"/>
        </w:rPr>
      </w:pPr>
      <w:r>
        <w:rPr>
          <w:rFonts w:ascii="Calibri" w:cs="Calibri" w:eastAsia="Calibri" w:hAnsi="Calibri"/>
          <w:sz w:val="22"/>
          <w:szCs w:val="22"/>
          <w:b w:val="1"/>
          <w:bCs w:val="1"/>
          <w:i w:val="1"/>
          <w:iCs w:val="1"/>
          <w:color w:val="4EAD8A"/>
        </w:rPr>
        <w:t>Our reputaton, ability to do business and results of operatons could be impaired by improper conduct by any of our employees, agents or business partners.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regulaton under a wide variety of U.S. federal and state and some non-U.S. laws, regulatons and policies, including laws related to antcorrupton, antbribery, export and import compliance, anttrust and money laundering, due to our operatons. We cannot provide assurance that our compliance policies and internal controls will always protect us from the improper conduct of our employees, agents and business partners. Any violatons of law or improper conduct could damage our reputaton and, depending on the circumstances, subject us to, among other things, civil and criminal penaltes, material fnes, equitable remedies (including proft disgorgement and injunctons on future conduct), securites litgaton and a general loss of investor confdence, any one of which could have a material adverse impact on our business prospects, fnancial conditon, results of operatons, cash fows and the market value of our stock.</w:t>
      </w:r>
    </w:p>
    <w:p>
      <w:pPr>
        <w:spacing w:after="0" w:line="1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Financial, Accountng and Cost Management Risk Factors</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business is a capital-intensive business.</w:t>
      </w:r>
    </w:p>
    <w:p>
      <w:pPr>
        <w:spacing w:after="0" w:line="5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The property and machinery needed to produce our products are very expensive. Therefore, we require large amounts of cash to operate our businesses. We believe that our cash on hand, along with our projected operatng cash fows and our available fnancing resources, is adequate to support our antcipated operatng and capital needs. Our ability to generate sufcient cash fow depends on future performance, which will be subject to general economic conditons, industry cycles and fnancial, business and other factors afectng our operatons, many of which are beyond our control. If we are unable to generate sufcient cash to operate our business, we may be required, among other things, to reduce or delay planned capital or operatng expenditures.</w:t>
      </w:r>
    </w:p>
    <w:p>
      <w:pPr>
        <w:spacing w:after="0" w:line="218"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b w:val="1"/>
          <w:bCs w:val="1"/>
          <w:i w:val="1"/>
          <w:iCs w:val="1"/>
          <w:color w:val="4EAD8A"/>
        </w:rPr>
        <w:t>Our earnings are afected by the applicaton of accountng standards and our critcal accountng policies, which involve subjectve judgments and estmates by our management. Our estmates and assumptons could be wrong.</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accountng standards we use in preparing our fnancial statements are ofen complex and require that we make signifcant estmates and assumptons in interpretng and applying those standards. These estmates and assumptons involve maters that are inherently uncertain and require our subjectve and complex judgments. If we used diferent estmates and assumptons or used diferent ways to determine these estmates, our fnancial results could difer.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we believe our estmates and assumptons are appropriate, we could be wrong. Accordingly, our fnancial results could be diferent, either higher or lower. We urge you to read "</w:t>
      </w:r>
      <w:r>
        <w:rPr>
          <w:rFonts w:ascii="Calibri" w:cs="Calibri" w:eastAsia="Calibri" w:hAnsi="Calibri"/>
          <w:sz w:val="18"/>
          <w:szCs w:val="18"/>
          <w:u w:val="single" w:color="auto"/>
          <w:color w:val="007DC6"/>
        </w:rPr>
        <w:t>Critcal Accountng Policies and Estmates</w:t>
      </w:r>
      <w:r>
        <w:rPr>
          <w:rFonts w:ascii="Calibri" w:cs="Calibri" w:eastAsia="Calibri" w:hAnsi="Calibri"/>
          <w:sz w:val="18"/>
          <w:szCs w:val="18"/>
          <w:color w:val="auto"/>
        </w:rPr>
        <w:t xml:space="preserve">" included under </w:t>
      </w:r>
      <w:r>
        <w:rPr>
          <w:rFonts w:ascii="Calibri" w:cs="Calibri" w:eastAsia="Calibri" w:hAnsi="Calibri"/>
          <w:sz w:val="18"/>
          <w:szCs w:val="18"/>
          <w:u w:val="single" w:color="auto"/>
          <w:color w:val="007DC6"/>
        </w:rPr>
        <w:t>Item 7, “Management’s Discussion and Analysis of Financial Conditon</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and Results of Operatons,”</w:t>
      </w:r>
      <w:r>
        <w:rPr>
          <w:rFonts w:ascii="Calibri" w:cs="Calibri" w:eastAsia="Calibri" w:hAnsi="Calibri"/>
          <w:sz w:val="18"/>
          <w:szCs w:val="18"/>
          <w:color w:val="007DC6"/>
        </w:rPr>
        <w:t xml:space="preserve"> </w:t>
      </w:r>
      <w:r>
        <w:rPr>
          <w:rFonts w:ascii="Calibri" w:cs="Calibri" w:eastAsia="Calibri" w:hAnsi="Calibri"/>
          <w:sz w:val="18"/>
          <w:szCs w:val="18"/>
          <w:color w:val="000000"/>
        </w:rPr>
        <w:t>of the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-154940</wp:posOffset>
            </wp:positionV>
            <wp:extent cx="31737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73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12274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The adopton of new accountng standards may afect our fnancial results.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accountng standards we apply in preparing our fnancial statements are reviewed by regulatory bodies and are periodically changed. New or revised accountng standards could, either positvely or negatvely, afect results reported for periods afer adopton of the standards as compared with the prior periods, or require retrospectve applicaton changing results reported for prior periods. We urge you to read about our accountng policies and new accountng pronouncements in </w:t>
      </w:r>
      <w:r>
        <w:rPr>
          <w:rFonts w:ascii="Calibri" w:cs="Calibri" w:eastAsia="Calibri" w:hAnsi="Calibri"/>
          <w:sz w:val="18"/>
          <w:szCs w:val="18"/>
          <w:u w:val="single" w:color="auto"/>
          <w:color w:val="007DC6"/>
        </w:rPr>
        <w:t>Note A: Accountng Policies</w:t>
      </w:r>
      <w:r>
        <w:rPr>
          <w:rFonts w:ascii="Calibri" w:cs="Calibri" w:eastAsia="Calibri" w:hAnsi="Calibri"/>
          <w:sz w:val="18"/>
          <w:szCs w:val="18"/>
          <w:color w:val="auto"/>
        </w:rPr>
        <w:t xml:space="preserve"> of our consolidated fnancial statements included under </w:t>
      </w:r>
      <w:r>
        <w:rPr>
          <w:rFonts w:ascii="Calibri" w:cs="Calibri" w:eastAsia="Calibri" w:hAnsi="Calibri"/>
          <w:sz w:val="18"/>
          <w:szCs w:val="18"/>
          <w:u w:val="single" w:color="auto"/>
          <w:color w:val="007DC6"/>
        </w:rPr>
        <w:t>Item 8, “Financial Statements and</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Supplementary Data,”</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1493520</wp:posOffset>
            </wp:positionH>
            <wp:positionV relativeFrom="paragraph">
              <wp:posOffset>-153670</wp:posOffset>
            </wp:positionV>
            <wp:extent cx="12947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94765" cy="8890"/>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-153670</wp:posOffset>
            </wp:positionV>
            <wp:extent cx="16090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09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9912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91235" cy="8255"/>
                    </a:xfrm>
                    <a:prstGeom prst="rect">
                      <a:avLst/>
                    </a:prstGeom>
                    <a:noFill/>
                  </pic:spPr>
                </pic:pic>
              </a:graphicData>
            </a:graphic>
          </wp:anchor>
        </w:drawing>
      </w:r>
    </w:p>
    <w:p>
      <w:pPr>
        <w:spacing w:after="0" w:line="9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Reports from the Public Company Accountng Oversight Board’s (PCAOB) inspectons of public accountng frms contnue to outline fndings and recommendatons that could require these frms to perform additonal work as part of their fnancial statement audits. Our costs to respond to these additonal requirements may increase.</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Impairment charges could have a material adverse efect on our fnancial results.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and other acquired intangible assets expected to contribute indefnitely to our cash fows are not amortzed, but must be evaluated for impairment by management at least annually. If the carrying value of a reportng unit exceeds its fair value, the reportng unit's goodwill is considered impaired and a non-cash charge to earnings is recorded for the diference.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4" w:name="page25"/>
    <w:bookmarkEnd w:id="24"/>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carrying value of an indefnite-lived intangible asset is greater than its fair value, the intangible asset is considered impaired and is reduced to fair value via a non-cash charge to earnings. Future events may occur that would adversely afect the fair value of our goodwill or other acquired intangible assets and require impairment charges. Such events may include, but are not limited to, lower-than-forecasted revenues, constructon growth rates that fall below our assumptons, actons of key customers, increases in discount rates, contnued economic uncertainty, higher levels of unemployment, weak consumer confdence, lower levels of discretonary consumer spending and a decline in the trading price of our common stock. We contnue to evaluate the impact of economic and other developments to assess whether impairment indicators are present. Accordingly, we may be required to perform impairment tests based on changes in the economic environment and other factors, and these tests could result in impairment charges in the future.</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Disruptons in the credit markets could afect our business.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considered the current economic environment and its potental impact to our business. Demand for aggregates products, partcularly in the infrastructure constructon market, has historically been negatvely afected by federal and state budget challenges and the uncertainty over future highway funding levels. Further, delays to or cancellatons of capital projects in the nonresidental and residental constructon markets could occur if companies and consumers are unable to obtain fnancing for constructon projects or if consumer confdence is eroded by economic uncertainty.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recessionary constructon economy can also increase the likelihood we will not be able to collect all our accounts receivable from our customers. While we are protected in part by payment bonds posted by many of our customers or end-users, as well as statutory lien rights, we have experienced delays in payment from some of our customers during constructon downturns and expect that we would experience such delays in the future which would negatvely afect operatng cash fows.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environment could impact our ability to borrow money in the future. Additonal fnancing or refnancing might not be available and, if available, may not be at economically favorable terms. Further, an increase in leverage could lead to deterioraton in our credit ratngs. A reducton in our credit ratngs, regardless of the cause, could also limit our ability to obtain additonal fnancing and/or increase our cost of obtaining fnancing. There is no guarantee we will be able to access the capital markets at fnancially economical interest rates, which could negatvely afect our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be required to obtain fnancing in order to fund certain strategic acquisitons, if they arise, or to refnance our outstanding debt. It is possible a large strategic acquisiton would require that we issue new equity and debt securites in order to maintain our investment-grade credit ratng and could result in a ratngs downgrade notwithstanding our issuance of equity securites to fund the transacton. We are also exposed to risks from tghtening credit markets, through the interest payable on any variable-rate debt, including the interest cost on future borrowings under our credit facilites. While we believe our credit ratngs will remain at a composite investment-grade level, we cannot be assured these ratngs will remain at those levels. Also, while we believe our Company will contnue to have adequate credit available to meet its needs, there can be no assurance of that.</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Magnesia Specialtes business faces currency risks from its overseas actvites.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Magnesia Specialtes business sells some of its products outside the United States. Therefore, the operatons of the Magnesia Specialtes business are afected from tme to tme by the fuctuatng values of the currency exchange rates of the countries in which it does business in relaton to the value of the U.S. Dollar. The business tries to mitgate the short-term efects of currency exchange rates by primarily denominatng sales in the U.S. Dollar. This stll leaves the business subject to certain risks, depending on the strength of the U.S. Dollar.</w:t>
      </w:r>
    </w:p>
    <w:p>
      <w:pPr>
        <w:spacing w:after="0" w:line="227"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Unexpected equipment failures, catastrophic events and scheduled maintenance may lead to producton curtailments or shutdowns.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manufacturing processes are dependent upon critcal pieces of equipment, such as our kilns and fnishing mills. This equipment, on occasion, is out of service as a result of planned or unplanned maintenance, failures or damage during accidents. In additon to equipment failures, our facilites are also subject to the risk of catastrophic loss due to unantcipated events, such as fres, explosions or violent weather conditons. We have scheduled outages that can range from one to several weeks at least once a year to refurbish our cement and dolomitc lime producton facilites. In 2023, our cement and Magnesia Specialtes operatons incurred shutdown costs of $38.4 million and $9.9 million, respectvely. Any signifcant interrupton in producton capability may require us to make signifcant capital expenditures to remedy problems or damage as well as cause us to lose revenue due to lost producton tme.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94615</wp:posOffset>
            </wp:positionV>
            <wp:extent cx="325755" cy="196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5" w:name="page26"/>
    <w:bookmarkEnd w:id="25"/>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paving operatons present additonal risks to our business.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paving operatons face challenges when our contracts have penaltes for late completon. In some instances, including many of our fxed-price contracts, we guarantee project completon by a certain date. If we subsequently fail to complete the project as scheduled, we may be held responsible for costs resultng from the delay, generally in the form of contractually agreed-upon liquidated damages. Under these circumstances, the total project cost could exceed our original estmate, and we could experience a loss of proft or a loss on the project. In our paving operatons, we also have fxed-price and fxed-unit-price contracts where our profts can be adversely afected by a number of factors beyond our control, which can cause our actual costs to materially exceed the costs estmated at the tme of our original bid. These same issues and risks can also impact some of our contracts in our asphalt and ready mixed concrete operatons. These risks are somewhat mitgated by the fact that a majority of our road paving contracts are for short-term projects.</w:t>
      </w:r>
    </w:p>
    <w:p>
      <w:pPr>
        <w:spacing w:after="0" w:line="229"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4EAD8A"/>
        </w:rPr>
        <w:t>Our ready mixed concrete and asphalt and paving product lines have lower proft margins and operatng results can be more volatle.</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ready mixed concrete and asphalt and paving operatons typically generate lower proft margins than our aggregates and cement operatons due to potentally volatle input costs, highly compettve market dynamics and lower barriers to entry. To reduce our exposure to fuctuatons in raw materials costs, we divested our ready mixed concrete operatons in Colorado and Central Texas in 2022. Additonally, on February 9, 2024, we sold 20 ready mixed concrete plants serving the Austn and San Antonio, Texas, region.</w:t>
      </w:r>
    </w:p>
    <w:p>
      <w:pPr>
        <w:spacing w:after="0" w:line="17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Suppliers, Raw Materials and Energy Costs Risk Factors</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Short supplies and high costs of fuel, energy and raw materials afect our businesses.</w:t>
      </w:r>
    </w:p>
    <w:p>
      <w:pPr>
        <w:spacing w:after="0" w:line="5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Our businesses require a contnued supply of diesel fuel, natural gas, coal, petroleum coke and other energy. Our fnancial results have historically been afected by the short supply or high costs of these fuels and energy. Changes in energy costs also afect the prices that we pay for related supplies, including explosives, conveyor beltng and tres. While we can contract for some fuels and sources of energy, such as fxed-price supply contracts for natural gas, coal and petroleum coke, signifcant increases in costs or reduced availability of these items have and may in the future reduce our fnancial results. Moreover, fuctuatons in the supply and costs of these fuels and energy can make planning for our businesses more difcult. Because of the fuctuatng trends in diesel fuel prices, we may enter into fxed-price fuel agreements from tme to tme for a porton of our diesel fuel to reduce our diesel fuel price risk.</w:t>
      </w:r>
    </w:p>
    <w:p>
      <w:pPr>
        <w:spacing w:after="0" w:line="10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producton requires large amounts of energy, including electricity and fossil fuels. Energy costs represented 18% of the 2023 total cost of revenues, excluding inventory change, for our cement operatons. Therefore, the cost of energy is one of our largest expenses. Prices for energy are subject to market forces largely beyond our control and can be volatle. Cost increases that we are unable to pass through to the customer in the form of price increases for our products or disrupton of the uninterrupted supply of fuel and electricity could adversely afect us. Accordingly, energy cost volatlity can adversely afect the fnancial results of our cement operatons. The cement operatons have fxed-price agreements for a porton of their 2024 coal, electricity and natural gas needs.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Similarly, our downstream operatons also require a contnued supply of liquid asphalt and cement, which serve as key raw materials in the producton of hot mix asphalt and ready mixed concrete, respectvely. Some of these raw materials we produce internally, but most are purchased from third partes. These purchased raw materials are subject to potental supply constraints and signifcant price fuctuatons, which are beyond our control. The fnancial results of our ready mixed concrete and asphalt and paving operatons have been afected by the short supply or high costs of these raw materials. We generally see frequent volatlity in the prices for these raw materials.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Our Magnesia Specialtes business has fxed-price agreements for 81% of its 2024 coal, petroleum coke and natural gas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229235</wp:posOffset>
            </wp:positionV>
            <wp:extent cx="325755" cy="196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6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6" w:name="page27"/>
    <w:bookmarkEnd w:id="26"/>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Cement is sensitve to supply and price volatlity.</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competton is ofen based primarily on price, which is highly sensitve to changes in supply and demand. Prices fuctuate signifcantly in response to relatvely minor changes in supply and demand, general economic conditons and other market conditons, which we cannot control. When cement producers increase producton capacity or more cement is imported into the market, an oversupply of cement in the market may occur if supply exceeds demand. In that case, cement prices generally decline. We cannot be assured that prices for our cement products sold will not decline in the future or that such decline will not have a material adverse efect on our cement product line.</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Magnesia Specialtes business depends in part on the steel industry and the supply of reasonably priced fuels.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Magnesia Specialtes business sells some of its products to companies in the steel industry. While we have reduced this risk over the last few years, this business is stll dependent, in part, on the strength of the cyclical steel industry. Our Magnesia Specialtes business also requires signifcant amounts of natural gas, coal and petroleum coke, and fnancial results are negatvely afected by increases in fuel prices or shortages.</w:t>
      </w:r>
    </w:p>
    <w:p>
      <w:pPr>
        <w:spacing w:after="0" w:line="17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Cyber and Informaton Security Risk Factors</w:t>
      </w:r>
    </w:p>
    <w:p>
      <w:pPr>
        <w:spacing w:after="0" w:line="12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b w:val="1"/>
          <w:bCs w:val="1"/>
          <w:i w:val="1"/>
          <w:iCs w:val="1"/>
          <w:color w:val="4EAD8A"/>
        </w:rPr>
        <w:t>We are dependent on informaton technology and our systems and infrastructure face certain risks, including cybersecurity risks and data leakage risks.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operatons rely on the secure processing, storage and transmission of confdental, sensitve, proprietary and other types of informaton relatng to our business operatons, as well as confdental and sensitve informaton about our customers and employees maintained in our computer systems and networks, certain products and services and in the computer systems and networks of our third-party vendors, including cloud-based systems and managed service providers. Cyber threats are rapidly evolving as threat actors have become increasingly sophistcated and carry out direct large-scale, complex atacks against a company. In additon, we have relied on our informaton technology infrastructure to support remote work from tme to tme and may need to do so in the future, which can increase cyber risks. We are not able to antcipate or prevent all such atacks and could be held liable for any resultng material security breach or data loss. In additon, it is not always possible to deter misconduct by employees or third-party vendors.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we have experienced atacks to breach the security of our informaton technology systems, we are not aware that we have experienced a material cybersecurity incident during the 2023 fscal year. Breaches of our technology systems, or those of our vendors and customers, whether from circumventon of security systems, denial-of-service atacks or other cyber-atacks, hacking, “phishing” or "quishing" atacks, computer viruses, ransomware or malware, employee or insider error, malfeasance, social engineering, vendor sofware supply chain compromises, physical breaches or other actons, may result in manipulaton or corrupton of sensitve data, material interruptons or malfunctons in our Company’s or such vendors’ and customers’ websites, applicatons, data processing and certain products and services, or disrupton of other business operatons. Furthermore, any such breaches could compromise the confdentality and integrity of material informaton held by our Company (including informaton about our business, employees or customers), as well as sensitve personally identfable informaton, the disclosure of which could lead to identty thef. Breaches of our products that rely on technology and internet connectvity can expose our Company to product and other liability risk and reputatonal harm. Measures that we take to avoid, detect, mitgate or recover from material incidents, may be insufcient, circumvented, or may become inefectve.</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invested and contnue to invest in risk management and informaton security and data privacy measures in order to protect our systems and data, including employee training, organizatonal investments, incident response plans, table top exercises and technical defenses. The cost and operatonal consequences of implementng, maintaining and enhancing further data or system protecton measures could increase signifcantly to overcome increasingly intense, complex and sophistcated global cyber threats. Despite our best eforts, we are not fully insulated from data breaches and system disruptons. In additon, we are subject to complex and evolving laws, rules and regulatons related to cybersecurity. These laws or regulatons may be subject to uncertain or inconsistent interpretatons and enforcement.</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material breaches of cybersecurity, including the accidental loss, inadvertent disclosure or unapproved disseminaton of proprietary informaton or sensitve or confdental data, or failure or perceived failure by us to comply with applicable laws, rules, or regulatons, or any media reports of perceived security vulnerabilites to our systems, products and services or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7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7" w:name="page28"/>
    <w:bookmarkEnd w:id="27"/>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of third partes relied upon by our Company could cause us to experience reputatonal harm, loss of customers and revenue, fnes, regulatory actons and scrutny, sanctons or other statutory penaltes, litgaton, liability for failure to safeguard our customers’ informaton or fnancial losses that are either not insured against or not fully covered through any insurance maintained by our Company. The report, rumor or assumpton regarding a potental breach may have similar results, even if no breach has been atempted or occurred. Any of the foregoing may have a material adverse efect on our business, operatng results and fnancial conditon.</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We are exposed to risks related to compliance with data privacy laws.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 conduct certain of our operatons, we move data across natonal borders, and consequently are subject to a variety of contnuously evolving and developing laws and regulatons in the United States and abroad regarding privacy, data protecton and data security. The scope of the laws that may be applicable to our business is ofen uncertain and may be confictng, partcularly with respect to foreign laws. The California Consumer Privacy Act of 2018 (CCPA), which went into efect in January 2020, provides, among other things, a new private right of acton for data breaches, requires companies that process informaton on California residents to make new disclosures to consumers about their data collecton, use and sharing practces, and provides consumers with additonal rights. The California Privacy Rights and Enforcement Act, which became efectve on January 1, 2023, amends and expands the CCPA, creatng new industry requirements, consumer privacy rights and enforcement mechanisms. In additon, the European Union’s General Data Protecton Regulaton (GDPR), which became efectve in May 2018, greatly increased the jurisdictonal reach of European Union law and added a broad array of requirements for handling personal data, including the public disclosure of signifcant data breaches. Our reputaton and brand and our ability to atract new customers could also be adversely impacted if we fail, or are perceived to have failed, to properly respond to security breaches of ours or third party’s informaton technology systems. Such failure to properly respond could also result in similar exposure to liability.</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All of these evolving compliance and operatonal requirements impose signifcant costs that are likely to increase over tme. Privacy laws that may be implemented in the future will contnue to require changes to certain business practces, thereby increasing costs, or may result in negatve publicity, require signifcant management tme and atenton, and may subject our Company to remedies that may harm our business, including fnes or demands or orders that we modify or cease existng business practces.</w:t>
      </w:r>
    </w:p>
    <w:p>
      <w:pPr>
        <w:spacing w:after="0" w:line="18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Other Risk Factors</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Delays or interruptons in shipping products of our businesses could afect our operatons.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Transportaton logistcs play an important role in allowing us to supply products to our customers, whether by road, rail or water. We also rely heavily on third-party truck and rail transportaton to ship coal, natural gas and other fuels to our plants. Any signifcant delays, disruptons or the non-availability of our transportaton support system could negatvely afect our operatons. Transportaton operatons are subject to capacity constraints, high fuel costs and various hazards, including extreme weather conditons and slowdowns due to labor strikes and other work stoppages. In Texas, we compete for third-party trucking services with operatons in the oil and gas felds, which can signifcantly constrain the availability of those services to us. If there are material changes in the availability or cost of transportaton services, we may not be able to arrange alternatve and tmely means to transport our products or fuels at a reasonable cost, which could lead to interruptons or slowdowns in our businesses or increases in our costs.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availability of railcars can also afect our ability to transport our products. Railcars can be used to transport many diferent types of products across all of our segments. If owners sell or lease railcars for use in other industries, we may not have enough railcars to transport our products.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long-term agreements with shipping companies to provide ships to transport our aggregates products from our Bahamas and Nova Scota operatons to various coastal ports that expire in 2026 and 2027, respectvely. Our inability to renew these agreements or enter into new ones with other shipping companies could afect our ability to transport our products.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Some of our products are distributed by barges along rivers in Ohio and West Virginia. We may experience, to a lesser degree, risks associated with distributng our products by barges, including signifcant delays, disruptons or the non-availability of our barge transportaton system that could negatvely afect our operatons, water levels that could afect our ability to transport our products by barge, and barges that may not be available in quanttes that we might need from tme to tme to support our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74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8" w:name="page29"/>
    <w:bookmarkEnd w:id="28"/>
    <w:p>
      <w:pPr>
        <w:ind w:left="90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1A – Risk Factors</w:t>
      </w: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Our artcles of incorporaton and bylaws and North Carolina law may inhibit a change in control that you may favor.</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restated artcles of incorporaton and restated bylaws and North Carolina law contain provisions that may delay, deter or inhibit a future acquisiton of us not approved by our Board of Directors. This could occur even if our shareholders are ofered an atractve value for their shares or if many or even a majority of our shareholders believe the takeover is in their best interest. These provisions are intended to encourage any person interested in acquiring us to negotate with and obtain the approval of our Board of Directors in connecton with the transacton. Provisions that could delay, deter or inhibit a future acquisiton include the following:</w:t>
      </w:r>
    </w:p>
    <w:p>
      <w:pPr>
        <w:spacing w:after="0" w:line="67" w:lineRule="exact"/>
        <w:rPr>
          <w:sz w:val="20"/>
          <w:szCs w:val="20"/>
          <w:color w:val="auto"/>
        </w:rPr>
      </w:pPr>
    </w:p>
    <w:p>
      <w:pPr>
        <w:ind w:left="800" w:hanging="397"/>
        <w:spacing w:after="0"/>
        <w:tabs>
          <w:tab w:leader="none" w:pos="8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ability of our Board of Directors to establish the terms of, and issue, preferred stock without shareholder approval;</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requirement that our shareholders may only remove directors for cause;</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inability of our shareholders to call special meetngs of shareholders;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super-majority shareholder approval requirements for business combinaton transactons with certain fve percent shareholders; and</w:t>
      </w:r>
    </w:p>
    <w:p>
      <w:pPr>
        <w:spacing w:after="0" w:line="68"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advance notce requirements for nominatons for electon to our board or for proposing maters that can be acted upon by our shareholders at shareholder meetngs.</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Additonally, the occurrence of certain change-of-control events could result in an event of default under certain of our existng or future debt instruments.</w:t>
      </w:r>
    </w:p>
    <w:p>
      <w:pPr>
        <w:spacing w:after="0" w:line="22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1B – UNRESOLVED STAFF COMMENTS</w:t>
      </w:r>
    </w:p>
    <w:p>
      <w:pPr>
        <w:spacing w:after="0" w:line="11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There are no unresolved writen comments that were received from the staf of the SEC one hundred and eighty (180) days or more before the end of the Company's fscal year relatng to its periodic or current reports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298450</wp:posOffset>
            </wp:positionV>
            <wp:extent cx="325755" cy="196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9" w:name="page30"/>
    <w:bookmarkEnd w:id="29"/>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1C – Cybersecurity</w:t>
      </w:r>
    </w:p>
    <w:p>
      <w:pPr>
        <w:spacing w:after="0" w:line="16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1C – CYBERSECURITY</w:t>
      </w:r>
    </w:p>
    <w:p>
      <w:pPr>
        <w:spacing w:after="0" w:line="22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Risk Management and Strategy</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Martn Marieta prioritzes the management of cybersecurity risk and the protecton of informaton across the enterprise by embedding data protecton and cybersecurity risk management in its operatons. The Company’s processes for assessing, identfying and managing material risks from cybersecurity threats have been integrated into the Company’s overall risk management system and processes.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 foundaton of this approach, the Company has implemented a layered governance structure to help assess, identfy and manage cybersecurity risks. Martn Marieta’s cybersecurity policies encompass incident response procedures and informaton security. In order to help develop these policies and procedures, the Company monitors the privacy and cybersecurity laws, regulatons and guidance applicable to, as well as proposed privacy and cybersecurity laws, regulatons, guidance and emerging risks. The Company partners with leading cybersecurity companies and organizatons, leveraging third-party technology and expertse, to monitor and test the performance and efectveness of its cybersecurity controls and defenses.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 described in </w:t>
      </w:r>
      <w:r>
        <w:rPr>
          <w:rFonts w:ascii="Calibri" w:cs="Calibri" w:eastAsia="Calibri" w:hAnsi="Calibri"/>
          <w:sz w:val="18"/>
          <w:szCs w:val="18"/>
          <w:u w:val="single" w:color="auto"/>
          <w:color w:val="0563C1"/>
        </w:rPr>
        <w:t>Item 1A “Risk Factors”</w:t>
      </w:r>
      <w:r>
        <w:rPr>
          <w:rFonts w:ascii="Calibri" w:cs="Calibri" w:eastAsia="Calibri" w:hAnsi="Calibri"/>
          <w:sz w:val="18"/>
          <w:szCs w:val="18"/>
          <w:color w:val="auto"/>
        </w:rPr>
        <w:t xml:space="preserve"> of this Form 10-K, the Company faces risks from cybersecurity threats that could have material adverse efect on its business including its business strategy, results of operatons or fnancial conditon. While the Company has experienced atacks on the security of its informaton technology systems to date, management is not aware that the Company has experienced a material cybersecurity incident during the 2023 fscal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-428625</wp:posOffset>
            </wp:positionV>
            <wp:extent cx="10198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4EAD8A"/>
        </w:rPr>
        <w:t>Governance</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its overall risk management approach, the Company prioritzes the identfcaton and management of cybersecurity risk at several levels, including Board oversight, day-to-day executve risk management and employee training. The Audit Commitee, comprised of independent directors from the Board, oversees the Board’s responsibilites relatng to the operatonal (including informaton technology risks, business contnuity and data security) risk afairs of the Company. The Audit Commitee is informed of such risks through quarterly reports from the Senior Vice President, Chief Informaton Ofcer (CIO), who oversees the implementaton and compliance of informaton security standards and mitgaton of cybersecurity related risks, assesses and manages the cyber risk management program, informs senior management regarding the preventon, detecton, mitgaton and remediaton of cybersecurity incidents with the support of the cybersecurity incident management team and supervises such eforts. The Company’s cybersecurity incident management team has decades of experience selectng, deploying and operatng cybersecurity technologies, initatves and processes as well as managing enterprise risk. The Incident Response Leadership Commitee, which includes senior executves across the Company, is alerted as appropriate to cybersecurity incidents. The CIO communicates to the Audit Commitee regarding the actvites of the Incident Response Leadership Commitee.</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also holds annual employee trainings on cybersecurity, conducts phishing tests and generally seeks to promote awareness of cybersecurity risk through communicaton and educaton of its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0" w:name="page31"/>
    <w:bookmarkEnd w:id="30"/>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2 – Propertes</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2 – PROPERTIES</w:t>
      </w:r>
    </w:p>
    <w:p>
      <w:pPr>
        <w:spacing w:after="0" w:line="11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Building Materials Business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2023, the Company processed or shipped aggregates from 357 quarries, mines and distributon yards in 28 states, Canada and The Bahamas. No individual quarry or mine is material to the Company’s business or fnancial conditon. The Company’s aggregates reserves, on average, represent approximately 75 years at the 2023 annual producton level. However, certain locatons may be subject to more limited reserves and may not be able to expand. As of December 31, 2023, the Company operated 76 aggregates distributon yards. In total, aggregates locatons (quarries, mines and distributon yards) include 160 located on land owned by the Company free of major encumbrances, 119 on leased land, 66 on land owned in part and leased in part and 12 on facilites neither owned nor leased where raw materials are removed under an agreement. In additon, as of December 31, 2023, the Company processed and shipped ready mixed concrete and asphalt products from 120 propertes in fve states, of which 94 are located on land owned by the Company free of major encumbrances, 22 are on leased land and 4 are on land owned in part and leased in part.</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 overview of the Company’s quarrying and mining operatons is included in “</w:t>
      </w:r>
      <w:r>
        <w:rPr>
          <w:rFonts w:ascii="Calibri" w:cs="Calibri" w:eastAsia="Calibri" w:hAnsi="Calibri"/>
          <w:sz w:val="18"/>
          <w:szCs w:val="18"/>
          <w:u w:val="single" w:color="auto"/>
          <w:color w:val="007DC6"/>
        </w:rPr>
        <w:t>Business—Building Materials Business</w:t>
      </w:r>
      <w:r>
        <w:rPr>
          <w:rFonts w:ascii="Calibri" w:cs="Calibri" w:eastAsia="Calibri" w:hAnsi="Calibri"/>
          <w:sz w:val="18"/>
          <w:szCs w:val="18"/>
          <w:color w:val="auto"/>
        </w:rPr>
        <w:t>” and “</w:t>
      </w:r>
      <w:r>
        <w:rPr>
          <w:rFonts w:ascii="Calibri" w:cs="Calibri" w:eastAsia="Calibri" w:hAnsi="Calibri"/>
          <w:sz w:val="18"/>
          <w:szCs w:val="18"/>
          <w:u w:val="single" w:color="auto"/>
          <w:color w:val="007DC6"/>
        </w:rPr>
        <w:t>Business—Environmental and</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Governmental Regulatons</w:t>
      </w:r>
      <w:r>
        <w:rPr>
          <w:rFonts w:ascii="Calibri" w:cs="Calibri" w:eastAsia="Calibri" w:hAnsi="Calibri"/>
          <w:sz w:val="18"/>
          <w:szCs w:val="18"/>
          <w:color w:val="000000"/>
        </w:rPr>
        <w:t>,” included in</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Item 1, “Business”</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 which is incorporated herein by reference. The following map presents the</w:t>
      </w:r>
      <w:r>
        <w:rPr>
          <w:rFonts w:ascii="Calibri" w:cs="Calibri" w:eastAsia="Calibri" w:hAnsi="Calibri"/>
          <w:sz w:val="18"/>
          <w:szCs w:val="18"/>
          <w:color w:val="007DC6"/>
        </w:rPr>
        <w:t xml:space="preserve"> </w:t>
      </w:r>
      <w:r>
        <w:rPr>
          <w:rFonts w:ascii="Calibri" w:cs="Calibri" w:eastAsia="Calibri" w:hAnsi="Calibri"/>
          <w:sz w:val="18"/>
          <w:szCs w:val="18"/>
          <w:color w:val="000000"/>
        </w:rPr>
        <w:t>locatons of these quarries and underground mines, including the limestone locaton adjacent to the Hunter cement plant in New Braunfels, Texas, that is classifed as held for sale,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3698875</wp:posOffset>
            </wp:positionH>
            <wp:positionV relativeFrom="paragraph">
              <wp:posOffset>-428625</wp:posOffset>
            </wp:positionV>
            <wp:extent cx="34315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315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27070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07005"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85090</wp:posOffset>
            </wp:positionV>
            <wp:extent cx="5837555" cy="31115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37555"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Mineral reserves and mineral resources for the Company’s aggregates and cement businesses have been prepared in accordance with the disclosure requirements of subpart 1300 of U.S. Securites and Exchange Commission Regulaton S-K. Mineral resources represent concentratons or occurrences of material of economic interest in or on the Earth's crust in such form, grade or quality, and quantty that there are reasonable prospects for economic extracton. A mineral resource is a reasonable estmate of mineralizaton, taking into account relevant factors such as cut-of grade, likely mining dimensions, locaton or contnuity, that, with the assumed and justfable technical and economic conditons, is likely to, in whole or in part, become economically extractable. A measured mineral resource is that part of the mineral resource for which quantty and grade or quality are estmated on the basis of conclusive geological evidence and sampling in sufcient detail to support detailed extracton planning and fnal evaluaton of the economic viability of the deposit to be quarried or mined. An indicated mineral resource is that part of a mineral resource for which quantty and grade or quality are estmated on the basis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86360</wp:posOffset>
            </wp:positionV>
            <wp:extent cx="325755"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1" w:name="page32"/>
    <w:bookmarkEnd w:id="31"/>
    <w:p>
      <w:pPr>
        <w:ind w:left="9220"/>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2 – Propertes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adequate geological evidence and sampling in sufcient detail to support mine planning and evaluaton of the economic viability of the deposit of the material to be quarried or mined. Inferred mineral resources are that part of a mineral resource for which quantty and grade or quality are estmated on the basis of limited geological evidence and sampling. The Company has no inferred resources as of December 31, 2023.</w:t>
      </w:r>
    </w:p>
    <w:p>
      <w:pPr>
        <w:spacing w:after="0" w:line="13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mineral reserve is an estmate of tonnage and grade or quality of indicated and measured mineral resources that, in the opinion of the qualifed person, can be the basis of an economically viable project. More specifcally, it is the economically mineable part of a measured or indicated mineral resource, which includes dilutng materials and allowances for losses that may occur when the material is mined or extracted. A probable mineral reserve is the economically mineable part of an indicated and, in some cases, a measured mineral resource. A proven mineral reserve is the economically mineable part of a measured mineral resource and can only result from the conversion of a measured mineral resource. The Company estmates proven and probable mineral reserves based on the results of drilling and testng completed by or under the supervision of qualifed persons.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uses various exploratory drilling methods, depending on the type of deposit, to estmate mineral reserves that are economically mineable. The extent of drilling varies depending on the complexity of the mineral deposit and whether the locaton is a potental new site (greensite), an existng locaton or a potental acquisiton. More extensive drilling is performed for potental greensites and acquisitons, and, in certain cases, the Company may rely on existng geological data or results of prior drilling by reputable third partes. Subsequent to drilling, selected drill samples are tested by an accredited laboratory for soundness, abrasion resistance and other physical propertes relevant to the aggregates industry. If the mineral reserves meet the Company’s standards and are economically mineable, they are either leased or purchased. Once in operaton, routne quality control testng is performed to ensure the quality grade of aggregates contnues to meet specifcatons.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determining the amount of reserves, evaluatons are completed by or under the supervision of qualifed Company personnel using industry best practces and internal controls defned by the Company. Reserve estmates represent net tons afer consideraton of applicable losses incurred during mining and plant processing. The Company’s policy is to exclude from reserve estmates the portons of a mineral deposit that are not available due to property boundaries, set-backs and plant confguratons, as deemed appropriate when estmatng reserves. The Company uses the same methods of analysis to evaluate and estmate the amount of its mineral reserves used in the cement manufacturing process for its cement operatons as it does for its aggregates operatons. For additonal informaton on the Company’s assessment of reserves, see “</w:t>
      </w:r>
      <w:r>
        <w:rPr>
          <w:rFonts w:ascii="Calibri" w:cs="Calibri" w:eastAsia="Calibri" w:hAnsi="Calibri"/>
          <w:sz w:val="18"/>
          <w:szCs w:val="18"/>
          <w:u w:val="single" w:color="auto"/>
          <w:color w:val="007DC6"/>
        </w:rPr>
        <w:t>Management’s Discussion and Analysis of Financial Conditon and Results of</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Operatons – Other Financial Informaton - Critcal Accountng Policies and Estmates - Property, Plant and Equipment</w:t>
      </w:r>
      <w:r>
        <w:rPr>
          <w:rFonts w:ascii="Calibri" w:cs="Calibri" w:eastAsia="Calibri" w:hAnsi="Calibri"/>
          <w:sz w:val="18"/>
          <w:szCs w:val="18"/>
          <w:color w:val="000000"/>
        </w:rPr>
        <w:t>” included under Item 7, “</w:t>
      </w:r>
      <w:r>
        <w:rPr>
          <w:rFonts w:ascii="Calibri" w:cs="Calibri" w:eastAsia="Calibri" w:hAnsi="Calibri"/>
          <w:sz w:val="18"/>
          <w:szCs w:val="18"/>
          <w:u w:val="single" w:color="auto"/>
          <w:color w:val="007DC6"/>
        </w:rPr>
        <w:t>Management’s</w:t>
      </w:r>
      <w:r>
        <w:rPr>
          <w:rFonts w:ascii="Calibri" w:cs="Calibri" w:eastAsia="Calibri" w:hAnsi="Calibri"/>
          <w:sz w:val="18"/>
          <w:szCs w:val="18"/>
          <w:color w:val="007DC6"/>
        </w:rPr>
        <w:t xml:space="preserve"> </w:t>
      </w:r>
      <w:r>
        <w:rPr>
          <w:rFonts w:ascii="Calibri" w:cs="Calibri" w:eastAsia="Calibri" w:hAnsi="Calibri"/>
          <w:sz w:val="18"/>
          <w:szCs w:val="18"/>
          <w:u w:val="single" w:color="auto"/>
          <w:color w:val="007DC6"/>
        </w:rPr>
        <w:t>Discussion and Analysis of Financial Conditon and Results of Operatons</w:t>
      </w:r>
      <w:r>
        <w:rPr>
          <w:rFonts w:ascii="Calibri" w:cs="Calibri" w:eastAsia="Calibri" w:hAnsi="Calibri"/>
          <w:sz w:val="18"/>
          <w:szCs w:val="18"/>
          <w:color w:val="000000"/>
        </w:rPr>
        <w:t>,” of this Form 10-K. While the mineral reserve and resource classifcaton categories</w:t>
      </w:r>
      <w:r>
        <w:rPr>
          <w:rFonts w:ascii="Calibri" w:cs="Calibri" w:eastAsia="Calibri" w:hAnsi="Calibri"/>
          <w:sz w:val="18"/>
          <w:szCs w:val="18"/>
          <w:color w:val="007DC6"/>
        </w:rPr>
        <w:t xml:space="preserve"> </w:t>
      </w:r>
      <w:r>
        <w:rPr>
          <w:rFonts w:ascii="Calibri" w:cs="Calibri" w:eastAsia="Calibri" w:hAnsi="Calibri"/>
          <w:sz w:val="18"/>
          <w:szCs w:val="18"/>
          <w:color w:val="000000"/>
        </w:rPr>
        <w:t>(proven and probable) identfy relatve confdence of reserve estmates, there is inherent risk associated with such estmates. The Company bases estmates on the informaton known at the tme of determinaton and regularly reevaluates reserves whenever new informaton indicates a material change in reserves at one of the Company’s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3455035</wp:posOffset>
            </wp:positionH>
            <wp:positionV relativeFrom="paragraph">
              <wp:posOffset>-699135</wp:posOffset>
            </wp:positionV>
            <wp:extent cx="36766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766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-561975</wp:posOffset>
            </wp:positionV>
            <wp:extent cx="71304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32867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86760" cy="8890"/>
                    </a:xfrm>
                    <a:prstGeom prst="rect">
                      <a:avLst/>
                    </a:prstGeom>
                    <a:noFill/>
                  </pic:spPr>
                </pic:pic>
              </a:graphicData>
            </a:graphic>
          </wp:anchor>
        </w:drawing>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general, quarry and mining facilites must comply with air quality, water quality, noise regulatons, zoning and special-use permitng requirements, applicable mining regulatons, and federal health and safety requirements. As new quarry and mining sites are located and acquired, the Company works closely with local authorites during the zoning and permitng processes to design new quarries and mines in such a way as to minimize disturbances. The Company frequently acquires large tracts of land so that quarry, mine and producton facilites can be situated substantal distances from surrounding property owners.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Set forth in the tables below are the Company’s estmates as of December 31, 2023 of proven and probable mineral reserves of aggregates (crushed stone and sand and gravel) and measured, indicated and inferred mineral resources of aggregates (exclusive of proven and probable reserves), shown on a geographic division basis. The East Division includes Alabama, Florida, Georgia, Maryland, North Carolina, Pennsylvania, South Carolina, Tennessee, Virginia, Canada and The Bahamas. The Central Division includes Indiana, Iowa, Kansas, Kentucky, Minnesota, Missouri, Nebraska, Ohio and West Virginia. The Southwest Division includes Arkansas, Louisiana, Oklahoma and Texas. The West Division includes Arizona, California, Colorado, Utah, Washington and Wyoming. The reserve estmates shown were determined to be economically mineable using a reasonable and justfable price for salable product based on the average selling price for the year ended December 31, 2022 with respect to each division for each product category of aggregates resources. The Company’s estmate of resources and reserves of aggregates shown in the tables below includes resources and reserves that would be devoted for use in the Company’s cement product line and Magnesia Specialtes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233680</wp:posOffset>
            </wp:positionV>
            <wp:extent cx="325755" cy="196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7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2" w:name="page33"/>
    <w:bookmarkEnd w:id="32"/>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2 – Propertes</w:t>
      </w:r>
    </w:p>
    <w:p>
      <w:pPr>
        <w:spacing w:after="0" w:line="194"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FFFFFF"/>
        </w:rPr>
        <w:t>Summary Mineral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689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jc w:val="center"/>
        <w:spacing w:after="0" w:line="213" w:lineRule="auto"/>
        <w:rPr>
          <w:sz w:val="20"/>
          <w:szCs w:val="20"/>
          <w:color w:val="auto"/>
        </w:rPr>
      </w:pPr>
      <w:r>
        <w:rPr>
          <w:rFonts w:ascii="Calibri" w:cs="Calibri" w:eastAsia="Calibri" w:hAnsi="Calibri"/>
          <w:sz w:val="14"/>
          <w:szCs w:val="14"/>
          <w:b w:val="1"/>
          <w:bCs w:val="1"/>
          <w:color w:val="FFFFFF"/>
        </w:rPr>
        <w:t>At End of Fiscal Year Ended December 31, 2023</w:t>
      </w:r>
      <w:r>
        <w:rPr>
          <w:rFonts w:ascii="Calibri" w:cs="Calibri" w:eastAsia="Calibri" w:hAnsi="Calibri"/>
          <w:sz w:val="19"/>
          <w:szCs w:val="19"/>
          <w:b w:val="1"/>
          <w:bCs w:val="1"/>
          <w:color w:val="FFFFFF"/>
          <w:vertAlign w:val="superscript"/>
        </w:rPr>
        <w:t>1,2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Borders>
              <w:right w:val="single" w:sz="8" w:color="007CBA"/>
            </w:tcBorders>
            <w:shd w:val="clear" w:color="auto" w:fill="007CBA"/>
          </w:tcPr>
          <w:p>
            <w:pPr>
              <w:spacing w:after="0"/>
              <w:rPr>
                <w:sz w:val="16"/>
                <w:szCs w:val="16"/>
                <w:color w:val="auto"/>
              </w:rPr>
            </w:pPr>
          </w:p>
        </w:tc>
        <w:tc>
          <w:tcPr>
            <w:tcW w:w="2340" w:type="dxa"/>
            <w:vAlign w:val="bottom"/>
            <w:gridSpan w:val="2"/>
          </w:tcPr>
          <w:p>
            <w:pPr>
              <w:ind w:left="300"/>
              <w:spacing w:after="0"/>
              <w:rPr>
                <w:sz w:val="20"/>
                <w:szCs w:val="20"/>
                <w:color w:val="auto"/>
              </w:rPr>
            </w:pPr>
            <w:r>
              <w:rPr>
                <w:rFonts w:ascii="Calibri" w:cs="Calibri" w:eastAsia="Calibri" w:hAnsi="Calibri"/>
                <w:sz w:val="14"/>
                <w:szCs w:val="14"/>
                <w:b w:val="1"/>
                <w:bCs w:val="1"/>
                <w:color w:val="FFFFFF"/>
              </w:rPr>
              <w:t>Measured Mineral Resources</w:t>
            </w:r>
          </w:p>
        </w:tc>
        <w:tc>
          <w:tcPr>
            <w:tcW w:w="2460" w:type="dxa"/>
            <w:vAlign w:val="bottom"/>
            <w:gridSpan w:val="2"/>
          </w:tcPr>
          <w:p>
            <w:pPr>
              <w:ind w:left="380"/>
              <w:spacing w:after="0"/>
              <w:rPr>
                <w:sz w:val="20"/>
                <w:szCs w:val="20"/>
                <w:color w:val="auto"/>
              </w:rPr>
            </w:pPr>
            <w:r>
              <w:rPr>
                <w:rFonts w:ascii="Calibri" w:cs="Calibri" w:eastAsia="Calibri" w:hAnsi="Calibri"/>
                <w:sz w:val="14"/>
                <w:szCs w:val="14"/>
                <w:b w:val="1"/>
                <w:bCs w:val="1"/>
                <w:color w:val="FFFFFF"/>
              </w:rPr>
              <w:t>Indicated Mineral Resources</w:t>
            </w:r>
          </w:p>
        </w:tc>
        <w:tc>
          <w:tcPr>
            <w:tcW w:w="2620" w:type="dxa"/>
            <w:vAlign w:val="bottom"/>
            <w:gridSpan w:val="2"/>
          </w:tcPr>
          <w:p>
            <w:pPr>
              <w:ind w:left="80"/>
              <w:spacing w:after="0"/>
              <w:rPr>
                <w:sz w:val="20"/>
                <w:szCs w:val="20"/>
                <w:color w:val="auto"/>
              </w:rPr>
            </w:pPr>
            <w:r>
              <w:rPr>
                <w:rFonts w:ascii="Calibri" w:cs="Calibri" w:eastAsia="Calibri" w:hAnsi="Calibri"/>
                <w:sz w:val="14"/>
                <w:szCs w:val="14"/>
                <w:b w:val="1"/>
                <w:bCs w:val="1"/>
                <w:color w:val="FFFFFF"/>
              </w:rPr>
              <w:t>Measured + Indicated Mineral Resources</w:t>
            </w:r>
          </w:p>
        </w:tc>
        <w:tc>
          <w:tcPr>
            <w:tcW w:w="2280" w:type="dxa"/>
            <w:vAlign w:val="bottom"/>
            <w:gridSpan w:val="2"/>
          </w:tcPr>
          <w:p>
            <w:pPr>
              <w:ind w:left="320"/>
              <w:spacing w:after="0"/>
              <w:rPr>
                <w:sz w:val="20"/>
                <w:szCs w:val="20"/>
                <w:color w:val="auto"/>
              </w:rPr>
            </w:pPr>
            <w:r>
              <w:rPr>
                <w:rFonts w:ascii="Calibri" w:cs="Calibri" w:eastAsia="Calibri" w:hAnsi="Calibri"/>
                <w:sz w:val="14"/>
                <w:szCs w:val="14"/>
                <w:b w:val="1"/>
                <w:bCs w:val="1"/>
                <w:color w:val="FFFFFF"/>
              </w:rPr>
              <w:t>Inferred Mineral Resources</w:t>
            </w:r>
          </w:p>
        </w:tc>
      </w:tr>
      <w:tr>
        <w:trPr>
          <w:trHeight w:val="152"/>
        </w:trPr>
        <w:tc>
          <w:tcPr>
            <w:tcW w:w="1540" w:type="dxa"/>
            <w:vAlign w:val="bottom"/>
            <w:tcBorders>
              <w:right w:val="single" w:sz="8" w:color="007CBA"/>
            </w:tcBorders>
            <w:shd w:val="clear" w:color="auto" w:fill="007CBA"/>
          </w:tcPr>
          <w:p>
            <w:pPr>
              <w:spacing w:after="0"/>
              <w:rPr>
                <w:sz w:val="13"/>
                <w:szCs w:val="13"/>
                <w:color w:val="auto"/>
              </w:rPr>
            </w:pPr>
          </w:p>
        </w:tc>
        <w:tc>
          <w:tcPr>
            <w:tcW w:w="1240" w:type="dxa"/>
            <w:vAlign w:val="bottom"/>
            <w:tcBorders>
              <w:right w:val="single" w:sz="8" w:color="007CBA"/>
            </w:tcBorders>
            <w:shd w:val="clear" w:color="auto" w:fill="007CBA"/>
          </w:tcPr>
          <w:p>
            <w:pPr>
              <w:jc w:val="right"/>
              <w:ind w:right="489"/>
              <w:spacing w:after="0" w:line="152" w:lineRule="exact"/>
              <w:rPr>
                <w:sz w:val="20"/>
                <w:szCs w:val="20"/>
                <w:color w:val="auto"/>
              </w:rPr>
            </w:pPr>
            <w:r>
              <w:rPr>
                <w:rFonts w:ascii="Calibri" w:cs="Calibri" w:eastAsia="Calibri" w:hAnsi="Calibri"/>
                <w:sz w:val="13"/>
                <w:szCs w:val="13"/>
                <w:b w:val="1"/>
                <w:bCs w:val="1"/>
                <w:color w:val="FFFFFF"/>
              </w:rPr>
              <w:t>Tons</w:t>
            </w:r>
          </w:p>
        </w:tc>
        <w:tc>
          <w:tcPr>
            <w:tcW w:w="1100" w:type="dxa"/>
            <w:vAlign w:val="bottom"/>
            <w:tcBorders>
              <w:right w:val="single" w:sz="8" w:color="007CBA"/>
            </w:tcBorders>
            <w:shd w:val="clear" w:color="auto" w:fill="007CBA"/>
          </w:tcPr>
          <w:p>
            <w:pPr>
              <w:spacing w:after="0"/>
              <w:rPr>
                <w:sz w:val="13"/>
                <w:szCs w:val="13"/>
                <w:color w:val="auto"/>
              </w:rPr>
            </w:pPr>
          </w:p>
        </w:tc>
        <w:tc>
          <w:tcPr>
            <w:tcW w:w="1380" w:type="dxa"/>
            <w:vAlign w:val="bottom"/>
            <w:tcBorders>
              <w:right w:val="single" w:sz="8" w:color="007CBA"/>
            </w:tcBorders>
            <w:shd w:val="clear" w:color="auto" w:fill="007CBA"/>
          </w:tcPr>
          <w:p>
            <w:pPr>
              <w:jc w:val="right"/>
              <w:ind w:right="569"/>
              <w:spacing w:after="0" w:line="152" w:lineRule="exact"/>
              <w:rPr>
                <w:sz w:val="20"/>
                <w:szCs w:val="20"/>
                <w:color w:val="auto"/>
              </w:rPr>
            </w:pPr>
            <w:r>
              <w:rPr>
                <w:rFonts w:ascii="Calibri" w:cs="Calibri" w:eastAsia="Calibri" w:hAnsi="Calibri"/>
                <w:sz w:val="13"/>
                <w:szCs w:val="13"/>
                <w:b w:val="1"/>
                <w:bCs w:val="1"/>
                <w:color w:val="FFFFFF"/>
              </w:rPr>
              <w:t>Tons</w:t>
            </w:r>
          </w:p>
        </w:tc>
        <w:tc>
          <w:tcPr>
            <w:tcW w:w="1080" w:type="dxa"/>
            <w:vAlign w:val="bottom"/>
            <w:tcBorders>
              <w:right w:val="single" w:sz="8" w:color="007CBA"/>
            </w:tcBorders>
            <w:shd w:val="clear" w:color="auto" w:fill="007CBA"/>
          </w:tcPr>
          <w:p>
            <w:pPr>
              <w:spacing w:after="0"/>
              <w:rPr>
                <w:sz w:val="13"/>
                <w:szCs w:val="13"/>
                <w:color w:val="auto"/>
              </w:rPr>
            </w:pPr>
          </w:p>
        </w:tc>
        <w:tc>
          <w:tcPr>
            <w:tcW w:w="1500" w:type="dxa"/>
            <w:vAlign w:val="bottom"/>
            <w:tcBorders>
              <w:right w:val="single" w:sz="8" w:color="007CBA"/>
            </w:tcBorders>
            <w:shd w:val="clear" w:color="auto" w:fill="007CBA"/>
          </w:tcPr>
          <w:p>
            <w:pPr>
              <w:jc w:val="right"/>
              <w:ind w:right="629"/>
              <w:spacing w:after="0" w:line="152" w:lineRule="exact"/>
              <w:rPr>
                <w:sz w:val="20"/>
                <w:szCs w:val="20"/>
                <w:color w:val="auto"/>
              </w:rPr>
            </w:pPr>
            <w:r>
              <w:rPr>
                <w:rFonts w:ascii="Calibri" w:cs="Calibri" w:eastAsia="Calibri" w:hAnsi="Calibri"/>
                <w:sz w:val="13"/>
                <w:szCs w:val="13"/>
                <w:b w:val="1"/>
                <w:bCs w:val="1"/>
                <w:color w:val="FFFFFF"/>
              </w:rPr>
              <w:t>Tons</w:t>
            </w:r>
          </w:p>
        </w:tc>
        <w:tc>
          <w:tcPr>
            <w:tcW w:w="1120" w:type="dxa"/>
            <w:vAlign w:val="bottom"/>
            <w:tcBorders>
              <w:right w:val="single" w:sz="8" w:color="007CBA"/>
            </w:tcBorders>
            <w:shd w:val="clear" w:color="auto" w:fill="007CBA"/>
          </w:tcPr>
          <w:p>
            <w:pPr>
              <w:spacing w:after="0"/>
              <w:rPr>
                <w:sz w:val="13"/>
                <w:szCs w:val="13"/>
                <w:color w:val="auto"/>
              </w:rPr>
            </w:pPr>
          </w:p>
        </w:tc>
        <w:tc>
          <w:tcPr>
            <w:tcW w:w="1120" w:type="dxa"/>
            <w:vAlign w:val="bottom"/>
            <w:tcBorders>
              <w:right w:val="single" w:sz="8" w:color="007CBA"/>
            </w:tcBorders>
            <w:shd w:val="clear" w:color="auto" w:fill="007CBA"/>
          </w:tcPr>
          <w:p>
            <w:pPr>
              <w:ind w:left="380"/>
              <w:spacing w:after="0" w:line="152" w:lineRule="exact"/>
              <w:rPr>
                <w:sz w:val="20"/>
                <w:szCs w:val="20"/>
                <w:color w:val="auto"/>
              </w:rPr>
            </w:pPr>
            <w:r>
              <w:rPr>
                <w:rFonts w:ascii="Calibri" w:cs="Calibri" w:eastAsia="Calibri" w:hAnsi="Calibri"/>
                <w:sz w:val="13"/>
                <w:szCs w:val="13"/>
                <w:b w:val="1"/>
                <w:bCs w:val="1"/>
                <w:color w:val="FFFFFF"/>
              </w:rPr>
              <w:t>Tons</w:t>
            </w:r>
          </w:p>
        </w:tc>
        <w:tc>
          <w:tcPr>
            <w:tcW w:w="1160" w:type="dxa"/>
            <w:vAlign w:val="bottom"/>
            <w:tcBorders>
              <w:right w:val="single" w:sz="8" w:color="007CBA"/>
            </w:tcBorders>
            <w:shd w:val="clear" w:color="auto" w:fill="007CBA"/>
          </w:tcPr>
          <w:p>
            <w:pPr>
              <w:spacing w:after="0"/>
              <w:rPr>
                <w:sz w:val="13"/>
                <w:szCs w:val="13"/>
                <w:color w:val="auto"/>
              </w:rPr>
            </w:pPr>
          </w:p>
        </w:tc>
      </w:tr>
      <w:tr>
        <w:trPr>
          <w:trHeight w:val="153"/>
        </w:trPr>
        <w:tc>
          <w:tcPr>
            <w:tcW w:w="1540" w:type="dxa"/>
            <w:vAlign w:val="bottom"/>
            <w:tcBorders>
              <w:bottom w:val="single" w:sz="8" w:color="007CBA"/>
              <w:right w:val="single" w:sz="8" w:color="007CBA"/>
            </w:tcBorders>
            <w:shd w:val="clear" w:color="auto" w:fill="007CBA"/>
          </w:tcPr>
          <w:p>
            <w:pPr>
              <w:spacing w:after="0"/>
              <w:rPr>
                <w:sz w:val="13"/>
                <w:szCs w:val="13"/>
                <w:color w:val="auto"/>
              </w:rPr>
            </w:pPr>
          </w:p>
        </w:tc>
        <w:tc>
          <w:tcPr>
            <w:tcW w:w="1240" w:type="dxa"/>
            <w:vAlign w:val="bottom"/>
            <w:tcBorders>
              <w:bottom w:val="single" w:sz="8" w:color="007CBA"/>
              <w:right w:val="single" w:sz="8" w:color="007CBA"/>
            </w:tcBorders>
            <w:shd w:val="clear" w:color="auto" w:fill="007CBA"/>
          </w:tcPr>
          <w:p>
            <w:pPr>
              <w:jc w:val="right"/>
              <w:ind w:right="249"/>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100" w:type="dxa"/>
            <w:vAlign w:val="bottom"/>
            <w:tcBorders>
              <w:bottom w:val="single" w:sz="8" w:color="007CBA"/>
              <w:right w:val="single" w:sz="8" w:color="007CBA"/>
            </w:tcBorders>
            <w:shd w:val="clear" w:color="auto" w:fill="007CBA"/>
          </w:tcPr>
          <w:p>
            <w:pPr>
              <w:ind w:left="100"/>
              <w:spacing w:after="0" w:line="149" w:lineRule="exact"/>
              <w:rPr>
                <w:sz w:val="20"/>
                <w:szCs w:val="20"/>
                <w:color w:val="auto"/>
              </w:rPr>
            </w:pPr>
            <w:r>
              <w:rPr>
                <w:rFonts w:ascii="Calibri" w:cs="Calibri" w:eastAsia="Calibri" w:hAnsi="Calibri"/>
                <w:sz w:val="13"/>
                <w:szCs w:val="13"/>
                <w:b w:val="1"/>
                <w:bCs w:val="1"/>
                <w:color w:val="FFFFFF"/>
              </w:rPr>
              <w:t>Grades/Qualites</w:t>
            </w:r>
          </w:p>
        </w:tc>
        <w:tc>
          <w:tcPr>
            <w:tcW w:w="1380" w:type="dxa"/>
            <w:vAlign w:val="bottom"/>
            <w:tcBorders>
              <w:bottom w:val="single" w:sz="8" w:color="007CBA"/>
              <w:right w:val="single" w:sz="8" w:color="007CBA"/>
            </w:tcBorders>
            <w:shd w:val="clear" w:color="auto" w:fill="007CBA"/>
          </w:tcPr>
          <w:p>
            <w:pPr>
              <w:jc w:val="right"/>
              <w:ind w:right="309"/>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080" w:type="dxa"/>
            <w:vAlign w:val="bottom"/>
            <w:tcBorders>
              <w:bottom w:val="single" w:sz="8" w:color="007CBA"/>
              <w:right w:val="single" w:sz="8" w:color="007CBA"/>
            </w:tcBorders>
            <w:shd w:val="clear" w:color="auto" w:fill="007CBA"/>
          </w:tcPr>
          <w:p>
            <w:pPr>
              <w:ind w:left="80"/>
              <w:spacing w:after="0" w:line="149" w:lineRule="exact"/>
              <w:rPr>
                <w:sz w:val="20"/>
                <w:szCs w:val="20"/>
                <w:color w:val="auto"/>
              </w:rPr>
            </w:pPr>
            <w:r>
              <w:rPr>
                <w:rFonts w:ascii="Calibri" w:cs="Calibri" w:eastAsia="Calibri" w:hAnsi="Calibri"/>
                <w:sz w:val="13"/>
                <w:szCs w:val="13"/>
                <w:b w:val="1"/>
                <w:bCs w:val="1"/>
                <w:color w:val="FFFFFF"/>
              </w:rPr>
              <w:t>Grades/Qualites</w:t>
            </w:r>
          </w:p>
        </w:tc>
        <w:tc>
          <w:tcPr>
            <w:tcW w:w="1500" w:type="dxa"/>
            <w:vAlign w:val="bottom"/>
            <w:tcBorders>
              <w:bottom w:val="single" w:sz="8" w:color="007CBA"/>
              <w:right w:val="single" w:sz="8" w:color="007CBA"/>
            </w:tcBorders>
            <w:shd w:val="clear" w:color="auto" w:fill="007CBA"/>
          </w:tcPr>
          <w:p>
            <w:pPr>
              <w:jc w:val="right"/>
              <w:ind w:right="369"/>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120" w:type="dxa"/>
            <w:vAlign w:val="bottom"/>
            <w:tcBorders>
              <w:bottom w:val="single" w:sz="8" w:color="007CBA"/>
              <w:right w:val="single" w:sz="8" w:color="007CBA"/>
            </w:tcBorders>
            <w:shd w:val="clear" w:color="auto" w:fill="007CBA"/>
          </w:tcPr>
          <w:p>
            <w:pPr>
              <w:ind w:left="100"/>
              <w:spacing w:after="0" w:line="149" w:lineRule="exact"/>
              <w:rPr>
                <w:sz w:val="20"/>
                <w:szCs w:val="20"/>
                <w:color w:val="auto"/>
              </w:rPr>
            </w:pPr>
            <w:r>
              <w:rPr>
                <w:rFonts w:ascii="Calibri" w:cs="Calibri" w:eastAsia="Calibri" w:hAnsi="Calibri"/>
                <w:sz w:val="13"/>
                <w:szCs w:val="13"/>
                <w:b w:val="1"/>
                <w:bCs w:val="1"/>
                <w:color w:val="FFFFFF"/>
              </w:rPr>
              <w:t>Grades/Qualites</w:t>
            </w:r>
          </w:p>
        </w:tc>
        <w:tc>
          <w:tcPr>
            <w:tcW w:w="1120" w:type="dxa"/>
            <w:vAlign w:val="bottom"/>
            <w:tcBorders>
              <w:bottom w:val="single" w:sz="8" w:color="007CBA"/>
              <w:right w:val="single" w:sz="8" w:color="007CBA"/>
            </w:tcBorders>
            <w:shd w:val="clear" w:color="auto" w:fill="007CBA"/>
          </w:tcPr>
          <w:p>
            <w:pPr>
              <w:ind w:left="120"/>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160" w:type="dxa"/>
            <w:vAlign w:val="bottom"/>
            <w:tcBorders>
              <w:bottom w:val="single" w:sz="8" w:color="007CBA"/>
              <w:right w:val="single" w:sz="8" w:color="007CBA"/>
            </w:tcBorders>
            <w:shd w:val="clear" w:color="auto" w:fill="007CBA"/>
          </w:tcPr>
          <w:p>
            <w:pPr>
              <w:jc w:val="center"/>
              <w:spacing w:after="0" w:line="149" w:lineRule="exact"/>
              <w:rPr>
                <w:sz w:val="20"/>
                <w:szCs w:val="20"/>
                <w:color w:val="auto"/>
              </w:rPr>
            </w:pPr>
            <w:r>
              <w:rPr>
                <w:rFonts w:ascii="Calibri" w:cs="Calibri" w:eastAsia="Calibri" w:hAnsi="Calibri"/>
                <w:sz w:val="13"/>
                <w:szCs w:val="13"/>
                <w:b w:val="1"/>
                <w:bCs w:val="1"/>
                <w:color w:val="FFFFFF"/>
                <w:w w:val="99"/>
              </w:rPr>
              <w:t>Grades/Qualites</w:t>
            </w:r>
          </w:p>
        </w:tc>
      </w:tr>
      <w:tr>
        <w:trPr>
          <w:trHeight w:val="170"/>
        </w:trPr>
        <w:tc>
          <w:tcPr>
            <w:tcW w:w="154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b w:val="1"/>
                <w:bCs w:val="1"/>
                <w:color w:val="auto"/>
              </w:rPr>
              <w:t>Crushed Stone</w:t>
            </w:r>
          </w:p>
        </w:tc>
        <w:tc>
          <w:tcPr>
            <w:tcW w:w="1240" w:type="dxa"/>
            <w:vAlign w:val="bottom"/>
            <w:tcBorders>
              <w:right w:val="single" w:sz="8" w:color="007CBA"/>
            </w:tcBorders>
          </w:tcPr>
          <w:p>
            <w:pPr>
              <w:spacing w:after="0"/>
              <w:rPr>
                <w:sz w:val="14"/>
                <w:szCs w:val="14"/>
                <w:color w:val="auto"/>
              </w:rPr>
            </w:pPr>
          </w:p>
        </w:tc>
        <w:tc>
          <w:tcPr>
            <w:tcW w:w="1100" w:type="dxa"/>
            <w:vAlign w:val="bottom"/>
            <w:tcBorders>
              <w:right w:val="single" w:sz="8" w:color="007CBA"/>
            </w:tcBorders>
          </w:tcPr>
          <w:p>
            <w:pPr>
              <w:spacing w:after="0"/>
              <w:rPr>
                <w:sz w:val="14"/>
                <w:szCs w:val="14"/>
                <w:color w:val="auto"/>
              </w:rPr>
            </w:pPr>
          </w:p>
        </w:tc>
        <w:tc>
          <w:tcPr>
            <w:tcW w:w="1380" w:type="dxa"/>
            <w:vAlign w:val="bottom"/>
            <w:tcBorders>
              <w:right w:val="single" w:sz="8" w:color="007CBA"/>
            </w:tcBorders>
          </w:tcPr>
          <w:p>
            <w:pPr>
              <w:spacing w:after="0"/>
              <w:rPr>
                <w:sz w:val="14"/>
                <w:szCs w:val="14"/>
                <w:color w:val="auto"/>
              </w:rPr>
            </w:pPr>
          </w:p>
        </w:tc>
        <w:tc>
          <w:tcPr>
            <w:tcW w:w="1080" w:type="dxa"/>
            <w:vAlign w:val="bottom"/>
            <w:tcBorders>
              <w:right w:val="single" w:sz="8" w:color="007CBA"/>
            </w:tcBorders>
          </w:tcPr>
          <w:p>
            <w:pPr>
              <w:spacing w:after="0"/>
              <w:rPr>
                <w:sz w:val="14"/>
                <w:szCs w:val="14"/>
                <w:color w:val="auto"/>
              </w:rPr>
            </w:pPr>
          </w:p>
        </w:tc>
        <w:tc>
          <w:tcPr>
            <w:tcW w:w="1500" w:type="dxa"/>
            <w:vAlign w:val="bottom"/>
            <w:tcBorders>
              <w:right w:val="single" w:sz="8" w:color="007CBA"/>
            </w:tcBorders>
          </w:tcPr>
          <w:p>
            <w:pPr>
              <w:spacing w:after="0"/>
              <w:rPr>
                <w:sz w:val="14"/>
                <w:szCs w:val="14"/>
                <w:color w:val="auto"/>
              </w:rPr>
            </w:pPr>
          </w:p>
        </w:tc>
        <w:tc>
          <w:tcPr>
            <w:tcW w:w="1120" w:type="dxa"/>
            <w:vAlign w:val="bottom"/>
            <w:tcBorders>
              <w:right w:val="single" w:sz="8" w:color="007CBA"/>
            </w:tcBorders>
          </w:tcPr>
          <w:p>
            <w:pPr>
              <w:spacing w:after="0"/>
              <w:rPr>
                <w:sz w:val="14"/>
                <w:szCs w:val="14"/>
                <w:color w:val="auto"/>
              </w:rPr>
            </w:pPr>
          </w:p>
        </w:tc>
        <w:tc>
          <w:tcPr>
            <w:tcW w:w="1120" w:type="dxa"/>
            <w:vAlign w:val="bottom"/>
            <w:tcBorders>
              <w:right w:val="single" w:sz="8" w:color="007CBA"/>
            </w:tcBorders>
          </w:tcPr>
          <w:p>
            <w:pPr>
              <w:spacing w:after="0"/>
              <w:rPr>
                <w:sz w:val="14"/>
                <w:szCs w:val="14"/>
                <w:color w:val="auto"/>
              </w:rPr>
            </w:pPr>
          </w:p>
        </w:tc>
        <w:tc>
          <w:tcPr>
            <w:tcW w:w="1160" w:type="dxa"/>
            <w:vAlign w:val="bottom"/>
          </w:tcPr>
          <w:p>
            <w:pPr>
              <w:spacing w:after="0"/>
              <w:rPr>
                <w:sz w:val="14"/>
                <w:szCs w:val="14"/>
                <w:color w:val="auto"/>
              </w:rPr>
            </w:pPr>
          </w:p>
        </w:tc>
      </w:tr>
      <w:tr>
        <w:trPr>
          <w:trHeight w:val="33"/>
        </w:trPr>
        <w:tc>
          <w:tcPr>
            <w:tcW w:w="1540" w:type="dxa"/>
            <w:vAlign w:val="bottom"/>
            <w:tcBorders>
              <w:right w:val="single" w:sz="8" w:color="007CBA"/>
            </w:tcBorders>
          </w:tcPr>
          <w:p>
            <w:pPr>
              <w:spacing w:after="0"/>
              <w:rPr>
                <w:sz w:val="2"/>
                <w:szCs w:val="2"/>
                <w:color w:val="auto"/>
              </w:rPr>
            </w:pPr>
          </w:p>
        </w:tc>
        <w:tc>
          <w:tcPr>
            <w:tcW w:w="1240" w:type="dxa"/>
            <w:vAlign w:val="bottom"/>
            <w:tcBorders>
              <w:right w:val="single" w:sz="8" w:color="007CBA"/>
            </w:tcBorders>
          </w:tcPr>
          <w:p>
            <w:pPr>
              <w:spacing w:after="0"/>
              <w:rPr>
                <w:sz w:val="2"/>
                <w:szCs w:val="2"/>
                <w:color w:val="auto"/>
              </w:rPr>
            </w:pPr>
          </w:p>
        </w:tc>
        <w:tc>
          <w:tcPr>
            <w:tcW w:w="1100" w:type="dxa"/>
            <w:vAlign w:val="bottom"/>
            <w:tcBorders>
              <w:right w:val="single" w:sz="8" w:color="007CBA"/>
            </w:tcBorders>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1080" w:type="dxa"/>
            <w:vAlign w:val="bottom"/>
            <w:tcBorders>
              <w:right w:val="single" w:sz="8" w:color="007CBA"/>
            </w:tcBorders>
          </w:tcPr>
          <w:p>
            <w:pPr>
              <w:spacing w:after="0"/>
              <w:rPr>
                <w:sz w:val="2"/>
                <w:szCs w:val="2"/>
                <w:color w:val="auto"/>
              </w:rPr>
            </w:pPr>
          </w:p>
        </w:tc>
        <w:tc>
          <w:tcPr>
            <w:tcW w:w="1500" w:type="dxa"/>
            <w:vAlign w:val="bottom"/>
            <w:tcBorders>
              <w:right w:val="single" w:sz="8" w:color="007CBA"/>
            </w:tcBorders>
          </w:tcPr>
          <w:p>
            <w:pPr>
              <w:spacing w:after="0"/>
              <w:rPr>
                <w:sz w:val="2"/>
                <w:szCs w:val="2"/>
                <w:color w:val="auto"/>
              </w:rPr>
            </w:pPr>
          </w:p>
        </w:tc>
        <w:tc>
          <w:tcPr>
            <w:tcW w:w="1120" w:type="dxa"/>
            <w:vAlign w:val="bottom"/>
            <w:tcBorders>
              <w:right w:val="single" w:sz="8" w:color="007CBA"/>
            </w:tcBorders>
          </w:tcPr>
          <w:p>
            <w:pPr>
              <w:spacing w:after="0"/>
              <w:rPr>
                <w:sz w:val="2"/>
                <w:szCs w:val="2"/>
                <w:color w:val="auto"/>
              </w:rPr>
            </w:pPr>
          </w:p>
        </w:tc>
        <w:tc>
          <w:tcPr>
            <w:tcW w:w="1120" w:type="dxa"/>
            <w:vAlign w:val="bottom"/>
            <w:tcBorders>
              <w:right w:val="single" w:sz="8" w:color="007CBA"/>
            </w:tcBorders>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1540" w:type="dxa"/>
            <w:vAlign w:val="bottom"/>
            <w:tcBorders>
              <w:bottom w:val="single" w:sz="8" w:color="DEEBF7"/>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East Division</w:t>
            </w:r>
          </w:p>
        </w:tc>
        <w:tc>
          <w:tcPr>
            <w:tcW w:w="124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144,299</w:t>
            </w:r>
          </w:p>
        </w:tc>
        <w:tc>
          <w:tcPr>
            <w:tcW w:w="1100" w:type="dxa"/>
            <w:vAlign w:val="bottom"/>
            <w:tcBorders>
              <w:bottom w:val="single" w:sz="8" w:color="DEEBF7"/>
              <w:right w:val="single" w:sz="8" w:color="007CBA"/>
            </w:tcBorders>
            <w:shd w:val="clear" w:color="auto" w:fill="DEEBF7"/>
          </w:tcPr>
          <w:p>
            <w:pPr>
              <w:ind w:left="120"/>
              <w:spacing w:after="0"/>
              <w:rPr>
                <w:sz w:val="20"/>
                <w:szCs w:val="20"/>
                <w:color w:val="auto"/>
              </w:rPr>
            </w:pPr>
            <w:r>
              <w:rPr>
                <w:rFonts w:ascii="Calibri" w:cs="Calibri" w:eastAsia="Calibri" w:hAnsi="Calibri"/>
                <w:sz w:val="14"/>
                <w:szCs w:val="14"/>
                <w:color w:val="auto"/>
              </w:rPr>
              <w:t>Crushed Stone</w:t>
            </w:r>
          </w:p>
        </w:tc>
        <w:tc>
          <w:tcPr>
            <w:tcW w:w="138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30,584</w:t>
            </w:r>
          </w:p>
        </w:tc>
        <w:tc>
          <w:tcPr>
            <w:tcW w:w="1080" w:type="dxa"/>
            <w:vAlign w:val="bottom"/>
            <w:tcBorders>
              <w:bottom w:val="single" w:sz="8" w:color="DEEBF7"/>
              <w:right w:val="single" w:sz="8" w:color="007CBA"/>
            </w:tcBorders>
            <w:shd w:val="clear" w:color="auto" w:fill="DEEBF7"/>
          </w:tcPr>
          <w:p>
            <w:pPr>
              <w:ind w:left="100"/>
              <w:spacing w:after="0"/>
              <w:rPr>
                <w:sz w:val="20"/>
                <w:szCs w:val="20"/>
                <w:color w:val="auto"/>
              </w:rPr>
            </w:pPr>
            <w:r>
              <w:rPr>
                <w:rFonts w:ascii="Calibri" w:cs="Calibri" w:eastAsia="Calibri" w:hAnsi="Calibri"/>
                <w:sz w:val="14"/>
                <w:szCs w:val="14"/>
                <w:color w:val="auto"/>
              </w:rPr>
              <w:t>Crushed Stone</w:t>
            </w:r>
          </w:p>
        </w:tc>
        <w:tc>
          <w:tcPr>
            <w:tcW w:w="150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174,883</w:t>
            </w:r>
          </w:p>
        </w:tc>
        <w:tc>
          <w:tcPr>
            <w:tcW w:w="1120" w:type="dxa"/>
            <w:vAlign w:val="bottom"/>
            <w:tcBorders>
              <w:bottom w:val="single" w:sz="8" w:color="DEEBF7"/>
              <w:right w:val="single" w:sz="8" w:color="007CBA"/>
            </w:tcBorders>
            <w:shd w:val="clear" w:color="auto" w:fill="DEEBF7"/>
          </w:tcPr>
          <w:p>
            <w:pPr>
              <w:ind w:left="120"/>
              <w:spacing w:after="0"/>
              <w:rPr>
                <w:sz w:val="20"/>
                <w:szCs w:val="20"/>
                <w:color w:val="auto"/>
              </w:rPr>
            </w:pPr>
            <w:r>
              <w:rPr>
                <w:rFonts w:ascii="Calibri" w:cs="Calibri" w:eastAsia="Calibri" w:hAnsi="Calibri"/>
                <w:sz w:val="14"/>
                <w:szCs w:val="14"/>
                <w:color w:val="auto"/>
              </w:rPr>
              <w:t>Crushed Stone</w:t>
            </w:r>
          </w:p>
        </w:tc>
        <w:tc>
          <w:tcPr>
            <w:tcW w:w="1120" w:type="dxa"/>
            <w:vAlign w:val="bottom"/>
            <w:tcBorders>
              <w:bottom w:val="single" w:sz="8" w:color="DEEBF7"/>
              <w:right w:val="single" w:sz="8" w:color="007CBA"/>
            </w:tcBorders>
            <w:shd w:val="clear" w:color="auto" w:fill="DEEBF7"/>
          </w:tcPr>
          <w:p>
            <w:pPr>
              <w:ind w:left="860"/>
              <w:spacing w:after="0"/>
              <w:rPr>
                <w:sz w:val="20"/>
                <w:szCs w:val="20"/>
                <w:color w:val="auto"/>
              </w:rPr>
            </w:pPr>
            <w:r>
              <w:rPr>
                <w:rFonts w:ascii="Calibri" w:cs="Calibri" w:eastAsia="Calibri" w:hAnsi="Calibri"/>
                <w:sz w:val="14"/>
                <w:szCs w:val="14"/>
                <w:color w:val="auto"/>
              </w:rPr>
              <w:t>—</w:t>
            </w:r>
          </w:p>
        </w:tc>
        <w:tc>
          <w:tcPr>
            <w:tcW w:w="1160" w:type="dxa"/>
            <w:vAlign w:val="bottom"/>
            <w:tcBorders>
              <w:bottom w:val="single" w:sz="8" w:color="DEEBF7"/>
              <w:right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r>
      <w:tr>
        <w:trPr>
          <w:trHeight w:val="170"/>
        </w:trPr>
        <w:tc>
          <w:tcPr>
            <w:tcW w:w="154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Central Division</w:t>
            </w:r>
          </w:p>
        </w:tc>
        <w:tc>
          <w:tcPr>
            <w:tcW w:w="124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w:t>
            </w:r>
          </w:p>
        </w:tc>
        <w:tc>
          <w:tcPr>
            <w:tcW w:w="1100" w:type="dxa"/>
            <w:vAlign w:val="bottom"/>
            <w:tcBorders>
              <w:right w:val="single" w:sz="8" w:color="007CBA"/>
            </w:tcBorders>
          </w:tcPr>
          <w:p>
            <w:pPr>
              <w:ind w:left="120"/>
              <w:spacing w:after="0"/>
              <w:rPr>
                <w:sz w:val="20"/>
                <w:szCs w:val="20"/>
                <w:color w:val="auto"/>
              </w:rPr>
            </w:pPr>
            <w:r>
              <w:rPr>
                <w:rFonts w:ascii="Calibri" w:cs="Calibri" w:eastAsia="Calibri" w:hAnsi="Calibri"/>
                <w:sz w:val="14"/>
                <w:szCs w:val="14"/>
                <w:color w:val="auto"/>
              </w:rPr>
              <w:t>Crushed Stone</w:t>
            </w:r>
          </w:p>
        </w:tc>
        <w:tc>
          <w:tcPr>
            <w:tcW w:w="138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22,730</w:t>
            </w:r>
          </w:p>
        </w:tc>
        <w:tc>
          <w:tcPr>
            <w:tcW w:w="1080" w:type="dxa"/>
            <w:vAlign w:val="bottom"/>
            <w:tcBorders>
              <w:right w:val="single" w:sz="8" w:color="007CBA"/>
            </w:tcBorders>
          </w:tcPr>
          <w:p>
            <w:pPr>
              <w:ind w:left="100"/>
              <w:spacing w:after="0"/>
              <w:rPr>
                <w:sz w:val="20"/>
                <w:szCs w:val="20"/>
                <w:color w:val="auto"/>
              </w:rPr>
            </w:pPr>
            <w:r>
              <w:rPr>
                <w:rFonts w:ascii="Calibri" w:cs="Calibri" w:eastAsia="Calibri" w:hAnsi="Calibri"/>
                <w:sz w:val="14"/>
                <w:szCs w:val="14"/>
                <w:color w:val="auto"/>
              </w:rPr>
              <w:t>Crushed Stone</w:t>
            </w:r>
          </w:p>
        </w:tc>
        <w:tc>
          <w:tcPr>
            <w:tcW w:w="150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22,730</w:t>
            </w:r>
          </w:p>
        </w:tc>
        <w:tc>
          <w:tcPr>
            <w:tcW w:w="1120" w:type="dxa"/>
            <w:vAlign w:val="bottom"/>
            <w:tcBorders>
              <w:right w:val="single" w:sz="8" w:color="007CBA"/>
            </w:tcBorders>
          </w:tcPr>
          <w:p>
            <w:pPr>
              <w:ind w:left="120"/>
              <w:spacing w:after="0"/>
              <w:rPr>
                <w:sz w:val="20"/>
                <w:szCs w:val="20"/>
                <w:color w:val="auto"/>
              </w:rPr>
            </w:pPr>
            <w:r>
              <w:rPr>
                <w:rFonts w:ascii="Calibri" w:cs="Calibri" w:eastAsia="Calibri" w:hAnsi="Calibri"/>
                <w:sz w:val="14"/>
                <w:szCs w:val="14"/>
                <w:color w:val="auto"/>
              </w:rPr>
              <w:t>Crushed Stone</w:t>
            </w:r>
          </w:p>
        </w:tc>
        <w:tc>
          <w:tcPr>
            <w:tcW w:w="1120" w:type="dxa"/>
            <w:vAlign w:val="bottom"/>
            <w:tcBorders>
              <w:right w:val="single" w:sz="8" w:color="007CBA"/>
            </w:tcBorders>
          </w:tcPr>
          <w:p>
            <w:pPr>
              <w:ind w:left="860"/>
              <w:spacing w:after="0"/>
              <w:rPr>
                <w:sz w:val="20"/>
                <w:szCs w:val="20"/>
                <w:color w:val="auto"/>
              </w:rPr>
            </w:pPr>
            <w:r>
              <w:rPr>
                <w:rFonts w:ascii="Calibri" w:cs="Calibri" w:eastAsia="Calibri" w:hAnsi="Calibri"/>
                <w:sz w:val="14"/>
                <w:szCs w:val="14"/>
                <w:color w:val="auto"/>
              </w:rPr>
              <w:t>—</w:t>
            </w:r>
          </w:p>
        </w:tc>
        <w:tc>
          <w:tcPr>
            <w:tcW w:w="1160" w:type="dxa"/>
            <w:vAlign w:val="bottom"/>
          </w:tcPr>
          <w:p>
            <w:pPr>
              <w:jc w:val="center"/>
              <w:spacing w:after="0"/>
              <w:rPr>
                <w:sz w:val="20"/>
                <w:szCs w:val="20"/>
                <w:color w:val="auto"/>
              </w:rPr>
            </w:pPr>
            <w:r>
              <w:rPr>
                <w:rFonts w:ascii="Calibri" w:cs="Calibri" w:eastAsia="Calibri" w:hAnsi="Calibri"/>
                <w:sz w:val="14"/>
                <w:szCs w:val="14"/>
                <w:color w:val="auto"/>
              </w:rPr>
              <w:t>Crushed Stone</w:t>
            </w:r>
          </w:p>
        </w:tc>
      </w:tr>
      <w:tr>
        <w:trPr>
          <w:trHeight w:val="33"/>
        </w:trPr>
        <w:tc>
          <w:tcPr>
            <w:tcW w:w="1540" w:type="dxa"/>
            <w:vAlign w:val="bottom"/>
            <w:tcBorders>
              <w:right w:val="single" w:sz="8" w:color="007CBA"/>
            </w:tcBorders>
          </w:tcPr>
          <w:p>
            <w:pPr>
              <w:spacing w:after="0"/>
              <w:rPr>
                <w:sz w:val="2"/>
                <w:szCs w:val="2"/>
                <w:color w:val="auto"/>
              </w:rPr>
            </w:pPr>
          </w:p>
        </w:tc>
        <w:tc>
          <w:tcPr>
            <w:tcW w:w="1240" w:type="dxa"/>
            <w:vAlign w:val="bottom"/>
            <w:tcBorders>
              <w:right w:val="single" w:sz="8" w:color="007CBA"/>
            </w:tcBorders>
          </w:tcPr>
          <w:p>
            <w:pPr>
              <w:spacing w:after="0"/>
              <w:rPr>
                <w:sz w:val="2"/>
                <w:szCs w:val="2"/>
                <w:color w:val="auto"/>
              </w:rPr>
            </w:pPr>
          </w:p>
        </w:tc>
        <w:tc>
          <w:tcPr>
            <w:tcW w:w="1100" w:type="dxa"/>
            <w:vAlign w:val="bottom"/>
            <w:tcBorders>
              <w:right w:val="single" w:sz="8" w:color="007CBA"/>
            </w:tcBorders>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1080" w:type="dxa"/>
            <w:vAlign w:val="bottom"/>
            <w:tcBorders>
              <w:right w:val="single" w:sz="8" w:color="007CBA"/>
            </w:tcBorders>
          </w:tcPr>
          <w:p>
            <w:pPr>
              <w:spacing w:after="0"/>
              <w:rPr>
                <w:sz w:val="2"/>
                <w:szCs w:val="2"/>
                <w:color w:val="auto"/>
              </w:rPr>
            </w:pPr>
          </w:p>
        </w:tc>
        <w:tc>
          <w:tcPr>
            <w:tcW w:w="1500" w:type="dxa"/>
            <w:vAlign w:val="bottom"/>
            <w:tcBorders>
              <w:right w:val="single" w:sz="8" w:color="007CBA"/>
            </w:tcBorders>
          </w:tcPr>
          <w:p>
            <w:pPr>
              <w:spacing w:after="0"/>
              <w:rPr>
                <w:sz w:val="2"/>
                <w:szCs w:val="2"/>
                <w:color w:val="auto"/>
              </w:rPr>
            </w:pPr>
          </w:p>
        </w:tc>
        <w:tc>
          <w:tcPr>
            <w:tcW w:w="1120" w:type="dxa"/>
            <w:vAlign w:val="bottom"/>
            <w:tcBorders>
              <w:right w:val="single" w:sz="8" w:color="007CBA"/>
            </w:tcBorders>
          </w:tcPr>
          <w:p>
            <w:pPr>
              <w:spacing w:after="0"/>
              <w:rPr>
                <w:sz w:val="2"/>
                <w:szCs w:val="2"/>
                <w:color w:val="auto"/>
              </w:rPr>
            </w:pPr>
          </w:p>
        </w:tc>
        <w:tc>
          <w:tcPr>
            <w:tcW w:w="1120" w:type="dxa"/>
            <w:vAlign w:val="bottom"/>
            <w:tcBorders>
              <w:right w:val="single" w:sz="8" w:color="007CBA"/>
            </w:tcBorders>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1540" w:type="dxa"/>
            <w:vAlign w:val="bottom"/>
            <w:tcBorders>
              <w:bottom w:val="single" w:sz="8" w:color="DEEBF7"/>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Southwest Division</w:t>
            </w:r>
          </w:p>
        </w:tc>
        <w:tc>
          <w:tcPr>
            <w:tcW w:w="124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DEEBF7"/>
              <w:right w:val="single" w:sz="8" w:color="007CBA"/>
            </w:tcBorders>
            <w:shd w:val="clear" w:color="auto" w:fill="DEEBF7"/>
          </w:tcPr>
          <w:p>
            <w:pPr>
              <w:ind w:left="120"/>
              <w:spacing w:after="0"/>
              <w:rPr>
                <w:sz w:val="20"/>
                <w:szCs w:val="20"/>
                <w:color w:val="auto"/>
              </w:rPr>
            </w:pPr>
            <w:r>
              <w:rPr>
                <w:rFonts w:ascii="Calibri" w:cs="Calibri" w:eastAsia="Calibri" w:hAnsi="Calibri"/>
                <w:sz w:val="14"/>
                <w:szCs w:val="14"/>
                <w:color w:val="auto"/>
              </w:rPr>
              <w:t>Crushed Stone</w:t>
            </w:r>
          </w:p>
        </w:tc>
        <w:tc>
          <w:tcPr>
            <w:tcW w:w="138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DEEBF7"/>
              <w:right w:val="single" w:sz="8" w:color="007CBA"/>
            </w:tcBorders>
            <w:shd w:val="clear" w:color="auto" w:fill="DEEBF7"/>
          </w:tcPr>
          <w:p>
            <w:pPr>
              <w:ind w:left="100"/>
              <w:spacing w:after="0"/>
              <w:rPr>
                <w:sz w:val="20"/>
                <w:szCs w:val="20"/>
                <w:color w:val="auto"/>
              </w:rPr>
            </w:pPr>
            <w:r>
              <w:rPr>
                <w:rFonts w:ascii="Calibri" w:cs="Calibri" w:eastAsia="Calibri" w:hAnsi="Calibri"/>
                <w:sz w:val="14"/>
                <w:szCs w:val="14"/>
                <w:color w:val="auto"/>
              </w:rPr>
              <w:t>Crushed Stone</w:t>
            </w:r>
          </w:p>
        </w:tc>
        <w:tc>
          <w:tcPr>
            <w:tcW w:w="150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DEEBF7"/>
              <w:right w:val="single" w:sz="8" w:color="007CBA"/>
            </w:tcBorders>
            <w:shd w:val="clear" w:color="auto" w:fill="DEEBF7"/>
          </w:tcPr>
          <w:p>
            <w:pPr>
              <w:ind w:left="120"/>
              <w:spacing w:after="0"/>
              <w:rPr>
                <w:sz w:val="20"/>
                <w:szCs w:val="20"/>
                <w:color w:val="auto"/>
              </w:rPr>
            </w:pPr>
            <w:r>
              <w:rPr>
                <w:rFonts w:ascii="Calibri" w:cs="Calibri" w:eastAsia="Calibri" w:hAnsi="Calibri"/>
                <w:sz w:val="14"/>
                <w:szCs w:val="14"/>
                <w:color w:val="auto"/>
              </w:rPr>
              <w:t>Crushed Stone</w:t>
            </w:r>
          </w:p>
        </w:tc>
        <w:tc>
          <w:tcPr>
            <w:tcW w:w="1120" w:type="dxa"/>
            <w:vAlign w:val="bottom"/>
            <w:tcBorders>
              <w:bottom w:val="single" w:sz="8" w:color="DEEBF7"/>
              <w:right w:val="single" w:sz="8" w:color="007CBA"/>
            </w:tcBorders>
            <w:shd w:val="clear" w:color="auto" w:fill="DEEBF7"/>
          </w:tcPr>
          <w:p>
            <w:pPr>
              <w:ind w:left="860"/>
              <w:spacing w:after="0"/>
              <w:rPr>
                <w:sz w:val="20"/>
                <w:szCs w:val="20"/>
                <w:color w:val="auto"/>
              </w:rPr>
            </w:pPr>
            <w:r>
              <w:rPr>
                <w:rFonts w:ascii="Calibri" w:cs="Calibri" w:eastAsia="Calibri" w:hAnsi="Calibri"/>
                <w:sz w:val="14"/>
                <w:szCs w:val="14"/>
                <w:color w:val="auto"/>
              </w:rPr>
              <w:t>—</w:t>
            </w:r>
          </w:p>
        </w:tc>
        <w:tc>
          <w:tcPr>
            <w:tcW w:w="1160" w:type="dxa"/>
            <w:vAlign w:val="bottom"/>
            <w:tcBorders>
              <w:bottom w:val="single" w:sz="8" w:color="DEEBF7"/>
              <w:right w:val="single" w:sz="8" w:color="DEEBF7"/>
            </w:tcBorders>
            <w:shd w:val="clear" w:color="auto" w:fill="DEEBF7"/>
          </w:tcPr>
          <w:p>
            <w:pPr>
              <w:jc w:val="center"/>
              <w:spacing w:after="0"/>
              <w:rPr>
                <w:sz w:val="20"/>
                <w:szCs w:val="20"/>
                <w:color w:val="auto"/>
              </w:rPr>
            </w:pPr>
            <w:r>
              <w:rPr>
                <w:rFonts w:ascii="Calibri" w:cs="Calibri" w:eastAsia="Calibri" w:hAnsi="Calibri"/>
                <w:sz w:val="14"/>
                <w:szCs w:val="14"/>
                <w:color w:val="auto"/>
              </w:rPr>
              <w:t>Crushed Stone</w:t>
            </w:r>
          </w:p>
        </w:tc>
      </w:tr>
      <w:tr>
        <w:trPr>
          <w:trHeight w:val="170"/>
        </w:trPr>
        <w:tc>
          <w:tcPr>
            <w:tcW w:w="1540" w:type="dxa"/>
            <w:vAlign w:val="bottom"/>
          </w:tcPr>
          <w:p>
            <w:pPr>
              <w:ind w:left="20"/>
              <w:spacing w:after="0"/>
              <w:rPr>
                <w:sz w:val="20"/>
                <w:szCs w:val="20"/>
                <w:color w:val="auto"/>
              </w:rPr>
            </w:pPr>
            <w:r>
              <w:rPr>
                <w:rFonts w:ascii="Calibri" w:cs="Calibri" w:eastAsia="Calibri" w:hAnsi="Calibri"/>
                <w:sz w:val="14"/>
                <w:szCs w:val="14"/>
                <w:color w:val="auto"/>
              </w:rPr>
              <w:t>West Division</w:t>
            </w:r>
          </w:p>
        </w:tc>
        <w:tc>
          <w:tcPr>
            <w:tcW w:w="1240" w:type="dxa"/>
            <w:vAlign w:val="bottom"/>
          </w:tcPr>
          <w:p>
            <w:pPr>
              <w:jc w:val="right"/>
              <w:ind w:right="69"/>
              <w:spacing w:after="0"/>
              <w:rPr>
                <w:sz w:val="20"/>
                <w:szCs w:val="20"/>
                <w:color w:val="auto"/>
              </w:rPr>
            </w:pPr>
            <w:r>
              <w:rPr>
                <w:rFonts w:ascii="Calibri" w:cs="Calibri" w:eastAsia="Calibri" w:hAnsi="Calibri"/>
                <w:sz w:val="14"/>
                <w:szCs w:val="14"/>
                <w:color w:val="auto"/>
              </w:rPr>
              <w:t>61,320</w:t>
            </w:r>
          </w:p>
        </w:tc>
        <w:tc>
          <w:tcPr>
            <w:tcW w:w="1100" w:type="dxa"/>
            <w:vAlign w:val="bottom"/>
          </w:tcPr>
          <w:p>
            <w:pPr>
              <w:ind w:left="120"/>
              <w:spacing w:after="0"/>
              <w:rPr>
                <w:sz w:val="20"/>
                <w:szCs w:val="20"/>
                <w:color w:val="auto"/>
              </w:rPr>
            </w:pPr>
            <w:r>
              <w:rPr>
                <w:rFonts w:ascii="Calibri" w:cs="Calibri" w:eastAsia="Calibri" w:hAnsi="Calibri"/>
                <w:sz w:val="14"/>
                <w:szCs w:val="14"/>
                <w:color w:val="auto"/>
              </w:rPr>
              <w:t>Crushed Stone</w:t>
            </w:r>
          </w:p>
        </w:tc>
        <w:tc>
          <w:tcPr>
            <w:tcW w:w="1380" w:type="dxa"/>
            <w:vAlign w:val="bottom"/>
          </w:tcPr>
          <w:p>
            <w:pPr>
              <w:jc w:val="right"/>
              <w:ind w:right="69"/>
              <w:spacing w:after="0"/>
              <w:rPr>
                <w:sz w:val="20"/>
                <w:szCs w:val="20"/>
                <w:color w:val="auto"/>
              </w:rPr>
            </w:pPr>
            <w:r>
              <w:rPr>
                <w:rFonts w:ascii="Calibri" w:cs="Calibri" w:eastAsia="Calibri" w:hAnsi="Calibri"/>
                <w:sz w:val="14"/>
                <w:szCs w:val="14"/>
                <w:color w:val="auto"/>
              </w:rPr>
              <w:t>7,572</w:t>
            </w:r>
          </w:p>
        </w:tc>
        <w:tc>
          <w:tcPr>
            <w:tcW w:w="1080" w:type="dxa"/>
            <w:vAlign w:val="bottom"/>
          </w:tcPr>
          <w:p>
            <w:pPr>
              <w:ind w:left="100"/>
              <w:spacing w:after="0"/>
              <w:rPr>
                <w:sz w:val="20"/>
                <w:szCs w:val="20"/>
                <w:color w:val="auto"/>
              </w:rPr>
            </w:pPr>
            <w:r>
              <w:rPr>
                <w:rFonts w:ascii="Calibri" w:cs="Calibri" w:eastAsia="Calibri" w:hAnsi="Calibri"/>
                <w:sz w:val="14"/>
                <w:szCs w:val="14"/>
                <w:color w:val="auto"/>
              </w:rPr>
              <w:t>Crushed Stone</w:t>
            </w:r>
          </w:p>
        </w:tc>
        <w:tc>
          <w:tcPr>
            <w:tcW w:w="1500" w:type="dxa"/>
            <w:vAlign w:val="bottom"/>
          </w:tcPr>
          <w:p>
            <w:pPr>
              <w:jc w:val="right"/>
              <w:ind w:right="69"/>
              <w:spacing w:after="0"/>
              <w:rPr>
                <w:sz w:val="20"/>
                <w:szCs w:val="20"/>
                <w:color w:val="auto"/>
              </w:rPr>
            </w:pPr>
            <w:r>
              <w:rPr>
                <w:rFonts w:ascii="Calibri" w:cs="Calibri" w:eastAsia="Calibri" w:hAnsi="Calibri"/>
                <w:sz w:val="14"/>
                <w:szCs w:val="14"/>
                <w:color w:val="auto"/>
              </w:rPr>
              <w:t>68,892</w:t>
            </w:r>
          </w:p>
        </w:tc>
        <w:tc>
          <w:tcPr>
            <w:tcW w:w="1120" w:type="dxa"/>
            <w:vAlign w:val="bottom"/>
          </w:tcPr>
          <w:p>
            <w:pPr>
              <w:ind w:left="120"/>
              <w:spacing w:after="0"/>
              <w:rPr>
                <w:sz w:val="20"/>
                <w:szCs w:val="20"/>
                <w:color w:val="auto"/>
              </w:rPr>
            </w:pPr>
            <w:r>
              <w:rPr>
                <w:rFonts w:ascii="Calibri" w:cs="Calibri" w:eastAsia="Calibri" w:hAnsi="Calibri"/>
                <w:sz w:val="14"/>
                <w:szCs w:val="14"/>
                <w:color w:val="auto"/>
              </w:rPr>
              <w:t>Crushed Stone</w:t>
            </w:r>
          </w:p>
        </w:tc>
        <w:tc>
          <w:tcPr>
            <w:tcW w:w="1120" w:type="dxa"/>
            <w:vAlign w:val="bottom"/>
          </w:tcPr>
          <w:p>
            <w:pPr>
              <w:ind w:left="860"/>
              <w:spacing w:after="0"/>
              <w:rPr>
                <w:sz w:val="20"/>
                <w:szCs w:val="20"/>
                <w:color w:val="auto"/>
              </w:rPr>
            </w:pPr>
            <w:r>
              <w:rPr>
                <w:rFonts w:ascii="Calibri" w:cs="Calibri" w:eastAsia="Calibri" w:hAnsi="Calibri"/>
                <w:sz w:val="14"/>
                <w:szCs w:val="14"/>
                <w:color w:val="auto"/>
              </w:rPr>
              <w:t>—</w:t>
            </w:r>
          </w:p>
        </w:tc>
        <w:tc>
          <w:tcPr>
            <w:tcW w:w="1160" w:type="dxa"/>
            <w:vAlign w:val="bottom"/>
          </w:tcPr>
          <w:p>
            <w:pPr>
              <w:jc w:val="center"/>
              <w:spacing w:after="0"/>
              <w:rPr>
                <w:sz w:val="20"/>
                <w:szCs w:val="20"/>
                <w:color w:val="auto"/>
              </w:rPr>
            </w:pPr>
            <w:r>
              <w:rPr>
                <w:rFonts w:ascii="Calibri" w:cs="Calibri" w:eastAsia="Calibri" w:hAnsi="Calibri"/>
                <w:sz w:val="14"/>
                <w:szCs w:val="14"/>
                <w:color w:val="auto"/>
              </w:rPr>
              <w:t>Crushed Stone</w:t>
            </w:r>
          </w:p>
        </w:tc>
      </w:tr>
      <w:tr>
        <w:trPr>
          <w:trHeight w:val="33"/>
        </w:trPr>
        <w:tc>
          <w:tcPr>
            <w:tcW w:w="1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1"/>
        </w:trPr>
        <w:tc>
          <w:tcPr>
            <w:tcW w:w="1540" w:type="dxa"/>
            <w:vAlign w:val="bottom"/>
            <w:tcBorders>
              <w:bottom w:val="single" w:sz="8" w:color="DEEBF7"/>
              <w:right w:val="single" w:sz="8" w:color="DEEBF7"/>
            </w:tcBorders>
            <w:shd w:val="clear" w:color="auto" w:fill="DEEBF7"/>
          </w:tcPr>
          <w:p>
            <w:pPr>
              <w:ind w:left="20"/>
              <w:spacing w:after="0" w:line="164" w:lineRule="exact"/>
              <w:rPr>
                <w:sz w:val="20"/>
                <w:szCs w:val="20"/>
                <w:color w:val="auto"/>
              </w:rPr>
            </w:pPr>
            <w:r>
              <w:rPr>
                <w:rFonts w:ascii="Calibri" w:cs="Calibri" w:eastAsia="Calibri" w:hAnsi="Calibri"/>
                <w:sz w:val="14"/>
                <w:szCs w:val="14"/>
                <w:color w:val="auto"/>
              </w:rPr>
              <w:t>Total crushed stone</w:t>
            </w:r>
          </w:p>
        </w:tc>
        <w:tc>
          <w:tcPr>
            <w:tcW w:w="1240" w:type="dxa"/>
            <w:vAlign w:val="bottom"/>
            <w:tcBorders>
              <w:bottom w:val="single" w:sz="8" w:color="DEEBF7"/>
              <w:right w:val="single" w:sz="8" w:color="DEEBF7"/>
            </w:tcBorders>
            <w:shd w:val="clear" w:color="auto" w:fill="DEEBF7"/>
          </w:tcPr>
          <w:p>
            <w:pPr>
              <w:jc w:val="right"/>
              <w:ind w:right="69"/>
              <w:spacing w:after="0" w:line="164" w:lineRule="exact"/>
              <w:rPr>
                <w:sz w:val="20"/>
                <w:szCs w:val="20"/>
                <w:color w:val="auto"/>
              </w:rPr>
            </w:pPr>
            <w:r>
              <w:rPr>
                <w:rFonts w:ascii="Calibri" w:cs="Calibri" w:eastAsia="Calibri" w:hAnsi="Calibri"/>
                <w:sz w:val="14"/>
                <w:szCs w:val="14"/>
                <w:color w:val="auto"/>
              </w:rPr>
              <w:t>205,619</w:t>
            </w:r>
          </w:p>
        </w:tc>
        <w:tc>
          <w:tcPr>
            <w:tcW w:w="1100" w:type="dxa"/>
            <w:vAlign w:val="bottom"/>
            <w:tcBorders>
              <w:bottom w:val="single" w:sz="8" w:color="DEEBF7"/>
              <w:right w:val="single" w:sz="8" w:color="DEEBF7"/>
            </w:tcBorders>
            <w:shd w:val="clear" w:color="auto" w:fill="DEEBF7"/>
          </w:tcPr>
          <w:p>
            <w:pPr>
              <w:spacing w:after="0"/>
              <w:rPr>
                <w:sz w:val="17"/>
                <w:szCs w:val="17"/>
                <w:color w:val="auto"/>
              </w:rPr>
            </w:pPr>
          </w:p>
        </w:tc>
        <w:tc>
          <w:tcPr>
            <w:tcW w:w="1380" w:type="dxa"/>
            <w:vAlign w:val="bottom"/>
            <w:tcBorders>
              <w:bottom w:val="single" w:sz="8" w:color="DEEBF7"/>
              <w:right w:val="single" w:sz="8" w:color="DEEBF7"/>
            </w:tcBorders>
            <w:shd w:val="clear" w:color="auto" w:fill="DEEBF7"/>
          </w:tcPr>
          <w:p>
            <w:pPr>
              <w:jc w:val="right"/>
              <w:ind w:right="69"/>
              <w:spacing w:after="0" w:line="164" w:lineRule="exact"/>
              <w:rPr>
                <w:sz w:val="20"/>
                <w:szCs w:val="20"/>
                <w:color w:val="auto"/>
              </w:rPr>
            </w:pPr>
            <w:r>
              <w:rPr>
                <w:rFonts w:ascii="Calibri" w:cs="Calibri" w:eastAsia="Calibri" w:hAnsi="Calibri"/>
                <w:sz w:val="14"/>
                <w:szCs w:val="14"/>
                <w:color w:val="auto"/>
              </w:rPr>
              <w:t>60,886</w:t>
            </w:r>
          </w:p>
        </w:tc>
        <w:tc>
          <w:tcPr>
            <w:tcW w:w="1080" w:type="dxa"/>
            <w:vAlign w:val="bottom"/>
            <w:tcBorders>
              <w:bottom w:val="single" w:sz="8" w:color="DEEBF7"/>
              <w:right w:val="single" w:sz="8" w:color="DEEBF7"/>
            </w:tcBorders>
            <w:shd w:val="clear" w:color="auto" w:fill="DEEBF7"/>
          </w:tcPr>
          <w:p>
            <w:pPr>
              <w:spacing w:after="0"/>
              <w:rPr>
                <w:sz w:val="17"/>
                <w:szCs w:val="17"/>
                <w:color w:val="auto"/>
              </w:rPr>
            </w:pPr>
          </w:p>
        </w:tc>
        <w:tc>
          <w:tcPr>
            <w:tcW w:w="1500" w:type="dxa"/>
            <w:vAlign w:val="bottom"/>
            <w:tcBorders>
              <w:bottom w:val="single" w:sz="8" w:color="DEEBF7"/>
              <w:right w:val="single" w:sz="8" w:color="DEEBF7"/>
            </w:tcBorders>
            <w:shd w:val="clear" w:color="auto" w:fill="DEEBF7"/>
          </w:tcPr>
          <w:p>
            <w:pPr>
              <w:jc w:val="right"/>
              <w:ind w:right="69"/>
              <w:spacing w:after="0" w:line="164" w:lineRule="exact"/>
              <w:rPr>
                <w:sz w:val="20"/>
                <w:szCs w:val="20"/>
                <w:color w:val="auto"/>
              </w:rPr>
            </w:pPr>
            <w:r>
              <w:rPr>
                <w:rFonts w:ascii="Calibri" w:cs="Calibri" w:eastAsia="Calibri" w:hAnsi="Calibri"/>
                <w:sz w:val="14"/>
                <w:szCs w:val="14"/>
                <w:color w:val="auto"/>
              </w:rPr>
              <w:t>266,505</w:t>
            </w:r>
          </w:p>
        </w:tc>
        <w:tc>
          <w:tcPr>
            <w:tcW w:w="1120" w:type="dxa"/>
            <w:vAlign w:val="bottom"/>
            <w:tcBorders>
              <w:bottom w:val="single" w:sz="8" w:color="DEEBF7"/>
              <w:right w:val="single" w:sz="8" w:color="DEEBF7"/>
            </w:tcBorders>
            <w:shd w:val="clear" w:color="auto" w:fill="DEEBF7"/>
          </w:tcPr>
          <w:p>
            <w:pPr>
              <w:spacing w:after="0"/>
              <w:rPr>
                <w:sz w:val="17"/>
                <w:szCs w:val="17"/>
                <w:color w:val="auto"/>
              </w:rPr>
            </w:pPr>
          </w:p>
        </w:tc>
        <w:tc>
          <w:tcPr>
            <w:tcW w:w="1120" w:type="dxa"/>
            <w:vAlign w:val="bottom"/>
            <w:tcBorders>
              <w:bottom w:val="single" w:sz="8" w:color="DEEBF7"/>
              <w:right w:val="single" w:sz="8" w:color="DEEBF7"/>
            </w:tcBorders>
            <w:shd w:val="clear" w:color="auto" w:fill="DEEBF7"/>
          </w:tcPr>
          <w:p>
            <w:pPr>
              <w:ind w:left="860"/>
              <w:spacing w:after="0" w:line="164" w:lineRule="exact"/>
              <w:rPr>
                <w:sz w:val="20"/>
                <w:szCs w:val="20"/>
                <w:color w:val="auto"/>
              </w:rPr>
            </w:pPr>
            <w:r>
              <w:rPr>
                <w:rFonts w:ascii="Calibri" w:cs="Calibri" w:eastAsia="Calibri" w:hAnsi="Calibri"/>
                <w:sz w:val="14"/>
                <w:szCs w:val="14"/>
                <w:color w:val="auto"/>
              </w:rPr>
              <w:t>—</w:t>
            </w:r>
          </w:p>
        </w:tc>
        <w:tc>
          <w:tcPr>
            <w:tcW w:w="1160" w:type="dxa"/>
            <w:vAlign w:val="bottom"/>
            <w:tcBorders>
              <w:bottom w:val="single" w:sz="8" w:color="DEEBF7"/>
              <w:right w:val="single" w:sz="8" w:color="DEEBF7"/>
            </w:tcBorders>
            <w:shd w:val="clear" w:color="auto" w:fill="DEEBF7"/>
          </w:tcPr>
          <w:p>
            <w:pPr>
              <w:spacing w:after="0"/>
              <w:rPr>
                <w:sz w:val="17"/>
                <w:szCs w:val="17"/>
                <w:color w:val="auto"/>
              </w:rPr>
            </w:pPr>
          </w:p>
        </w:tc>
      </w:tr>
      <w:tr>
        <w:trPr>
          <w:trHeight w:val="163"/>
        </w:trPr>
        <w:tc>
          <w:tcPr>
            <w:tcW w:w="1540" w:type="dxa"/>
            <w:vAlign w:val="bottom"/>
            <w:tcBorders>
              <w:top w:val="single" w:sz="8" w:color="auto"/>
              <w:right w:val="single" w:sz="8" w:color="007CBA"/>
            </w:tcBorders>
          </w:tcPr>
          <w:p>
            <w:pPr>
              <w:ind w:left="20"/>
              <w:spacing w:after="0" w:line="164" w:lineRule="exact"/>
              <w:rPr>
                <w:sz w:val="20"/>
                <w:szCs w:val="20"/>
                <w:color w:val="auto"/>
              </w:rPr>
            </w:pPr>
            <w:r>
              <w:rPr>
                <w:rFonts w:ascii="Calibri" w:cs="Calibri" w:eastAsia="Calibri" w:hAnsi="Calibri"/>
                <w:sz w:val="14"/>
                <w:szCs w:val="14"/>
                <w:b w:val="1"/>
                <w:bCs w:val="1"/>
                <w:color w:val="auto"/>
              </w:rPr>
              <w:t>Sand &amp; Gravel</w:t>
            </w:r>
          </w:p>
        </w:tc>
        <w:tc>
          <w:tcPr>
            <w:tcW w:w="1240" w:type="dxa"/>
            <w:vAlign w:val="bottom"/>
            <w:tcBorders>
              <w:top w:val="single" w:sz="8" w:color="auto"/>
              <w:right w:val="single" w:sz="8" w:color="007CBA"/>
            </w:tcBorders>
          </w:tcPr>
          <w:p>
            <w:pPr>
              <w:spacing w:after="0"/>
              <w:rPr>
                <w:sz w:val="14"/>
                <w:szCs w:val="14"/>
                <w:color w:val="auto"/>
              </w:rPr>
            </w:pPr>
          </w:p>
        </w:tc>
        <w:tc>
          <w:tcPr>
            <w:tcW w:w="1100" w:type="dxa"/>
            <w:vAlign w:val="bottom"/>
            <w:tcBorders>
              <w:top w:val="single" w:sz="8" w:color="auto"/>
              <w:right w:val="single" w:sz="8" w:color="007CBA"/>
            </w:tcBorders>
          </w:tcPr>
          <w:p>
            <w:pPr>
              <w:spacing w:after="0"/>
              <w:rPr>
                <w:sz w:val="14"/>
                <w:szCs w:val="14"/>
                <w:color w:val="auto"/>
              </w:rPr>
            </w:pPr>
          </w:p>
        </w:tc>
        <w:tc>
          <w:tcPr>
            <w:tcW w:w="1380" w:type="dxa"/>
            <w:vAlign w:val="bottom"/>
            <w:tcBorders>
              <w:top w:val="single" w:sz="8" w:color="auto"/>
              <w:right w:val="single" w:sz="8" w:color="007CBA"/>
            </w:tcBorders>
          </w:tcPr>
          <w:p>
            <w:pPr>
              <w:spacing w:after="0"/>
              <w:rPr>
                <w:sz w:val="14"/>
                <w:szCs w:val="14"/>
                <w:color w:val="auto"/>
              </w:rPr>
            </w:pPr>
          </w:p>
        </w:tc>
        <w:tc>
          <w:tcPr>
            <w:tcW w:w="1080" w:type="dxa"/>
            <w:vAlign w:val="bottom"/>
            <w:tcBorders>
              <w:top w:val="single" w:sz="8" w:color="auto"/>
              <w:right w:val="single" w:sz="8" w:color="007CBA"/>
            </w:tcBorders>
          </w:tcPr>
          <w:p>
            <w:pPr>
              <w:spacing w:after="0"/>
              <w:rPr>
                <w:sz w:val="14"/>
                <w:szCs w:val="14"/>
                <w:color w:val="auto"/>
              </w:rPr>
            </w:pPr>
          </w:p>
        </w:tc>
        <w:tc>
          <w:tcPr>
            <w:tcW w:w="1500" w:type="dxa"/>
            <w:vAlign w:val="bottom"/>
            <w:tcBorders>
              <w:top w:val="single" w:sz="8" w:color="auto"/>
              <w:right w:val="single" w:sz="8" w:color="007CBA"/>
            </w:tcBorders>
          </w:tcPr>
          <w:p>
            <w:pPr>
              <w:spacing w:after="0"/>
              <w:rPr>
                <w:sz w:val="14"/>
                <w:szCs w:val="14"/>
                <w:color w:val="auto"/>
              </w:rPr>
            </w:pPr>
          </w:p>
        </w:tc>
        <w:tc>
          <w:tcPr>
            <w:tcW w:w="1120" w:type="dxa"/>
            <w:vAlign w:val="bottom"/>
            <w:tcBorders>
              <w:top w:val="single" w:sz="8" w:color="auto"/>
              <w:right w:val="single" w:sz="8" w:color="007CBA"/>
            </w:tcBorders>
          </w:tcPr>
          <w:p>
            <w:pPr>
              <w:spacing w:after="0"/>
              <w:rPr>
                <w:sz w:val="14"/>
                <w:szCs w:val="14"/>
                <w:color w:val="auto"/>
              </w:rPr>
            </w:pPr>
          </w:p>
        </w:tc>
        <w:tc>
          <w:tcPr>
            <w:tcW w:w="1120" w:type="dxa"/>
            <w:vAlign w:val="bottom"/>
            <w:tcBorders>
              <w:top w:val="single" w:sz="8" w:color="auto"/>
              <w:right w:val="single" w:sz="8" w:color="007CBA"/>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33"/>
        </w:trPr>
        <w:tc>
          <w:tcPr>
            <w:tcW w:w="1540" w:type="dxa"/>
            <w:vAlign w:val="bottom"/>
            <w:tcBorders>
              <w:right w:val="single" w:sz="8" w:color="007CBA"/>
            </w:tcBorders>
          </w:tcPr>
          <w:p>
            <w:pPr>
              <w:spacing w:after="0"/>
              <w:rPr>
                <w:sz w:val="2"/>
                <w:szCs w:val="2"/>
                <w:color w:val="auto"/>
              </w:rPr>
            </w:pPr>
          </w:p>
        </w:tc>
        <w:tc>
          <w:tcPr>
            <w:tcW w:w="1240" w:type="dxa"/>
            <w:vAlign w:val="bottom"/>
            <w:tcBorders>
              <w:right w:val="single" w:sz="8" w:color="007CBA"/>
            </w:tcBorders>
          </w:tcPr>
          <w:p>
            <w:pPr>
              <w:spacing w:after="0"/>
              <w:rPr>
                <w:sz w:val="2"/>
                <w:szCs w:val="2"/>
                <w:color w:val="auto"/>
              </w:rPr>
            </w:pPr>
          </w:p>
        </w:tc>
        <w:tc>
          <w:tcPr>
            <w:tcW w:w="1100" w:type="dxa"/>
            <w:vAlign w:val="bottom"/>
            <w:tcBorders>
              <w:right w:val="single" w:sz="8" w:color="007CBA"/>
            </w:tcBorders>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1080" w:type="dxa"/>
            <w:vAlign w:val="bottom"/>
            <w:tcBorders>
              <w:right w:val="single" w:sz="8" w:color="007CBA"/>
            </w:tcBorders>
          </w:tcPr>
          <w:p>
            <w:pPr>
              <w:spacing w:after="0"/>
              <w:rPr>
                <w:sz w:val="2"/>
                <w:szCs w:val="2"/>
                <w:color w:val="auto"/>
              </w:rPr>
            </w:pPr>
          </w:p>
        </w:tc>
        <w:tc>
          <w:tcPr>
            <w:tcW w:w="1500" w:type="dxa"/>
            <w:vAlign w:val="bottom"/>
            <w:tcBorders>
              <w:right w:val="single" w:sz="8" w:color="007CBA"/>
            </w:tcBorders>
          </w:tcPr>
          <w:p>
            <w:pPr>
              <w:spacing w:after="0"/>
              <w:rPr>
                <w:sz w:val="2"/>
                <w:szCs w:val="2"/>
                <w:color w:val="auto"/>
              </w:rPr>
            </w:pPr>
          </w:p>
        </w:tc>
        <w:tc>
          <w:tcPr>
            <w:tcW w:w="1120" w:type="dxa"/>
            <w:vAlign w:val="bottom"/>
            <w:tcBorders>
              <w:right w:val="single" w:sz="8" w:color="007CBA"/>
            </w:tcBorders>
          </w:tcPr>
          <w:p>
            <w:pPr>
              <w:spacing w:after="0"/>
              <w:rPr>
                <w:sz w:val="2"/>
                <w:szCs w:val="2"/>
                <w:color w:val="auto"/>
              </w:rPr>
            </w:pPr>
          </w:p>
        </w:tc>
        <w:tc>
          <w:tcPr>
            <w:tcW w:w="1120" w:type="dxa"/>
            <w:vAlign w:val="bottom"/>
            <w:tcBorders>
              <w:right w:val="single" w:sz="8" w:color="007CBA"/>
            </w:tcBorders>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1540" w:type="dxa"/>
            <w:vAlign w:val="bottom"/>
            <w:tcBorders>
              <w:bottom w:val="single" w:sz="8" w:color="DEEBF7"/>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East Division</w:t>
            </w:r>
          </w:p>
        </w:tc>
        <w:tc>
          <w:tcPr>
            <w:tcW w:w="124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DEEBF7"/>
              <w:right w:val="single" w:sz="8" w:color="007CBA"/>
            </w:tcBorders>
            <w:shd w:val="clear" w:color="auto" w:fill="DEEBF7"/>
          </w:tcPr>
          <w:p>
            <w:pPr>
              <w:ind w:left="120"/>
              <w:spacing w:after="0"/>
              <w:rPr>
                <w:sz w:val="20"/>
                <w:szCs w:val="20"/>
                <w:color w:val="auto"/>
              </w:rPr>
            </w:pPr>
            <w:r>
              <w:rPr>
                <w:rFonts w:ascii="Calibri" w:cs="Calibri" w:eastAsia="Calibri" w:hAnsi="Calibri"/>
                <w:sz w:val="14"/>
                <w:szCs w:val="14"/>
                <w:color w:val="auto"/>
              </w:rPr>
              <w:t>Sand &amp; Gravel</w:t>
            </w:r>
          </w:p>
        </w:tc>
        <w:tc>
          <w:tcPr>
            <w:tcW w:w="138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DEEBF7"/>
              <w:right w:val="single" w:sz="8" w:color="007CBA"/>
            </w:tcBorders>
            <w:shd w:val="clear" w:color="auto" w:fill="DEEBF7"/>
          </w:tcPr>
          <w:p>
            <w:pPr>
              <w:ind w:left="100"/>
              <w:spacing w:after="0"/>
              <w:rPr>
                <w:sz w:val="20"/>
                <w:szCs w:val="20"/>
                <w:color w:val="auto"/>
              </w:rPr>
            </w:pPr>
            <w:r>
              <w:rPr>
                <w:rFonts w:ascii="Calibri" w:cs="Calibri" w:eastAsia="Calibri" w:hAnsi="Calibri"/>
                <w:sz w:val="14"/>
                <w:szCs w:val="14"/>
                <w:color w:val="auto"/>
              </w:rPr>
              <w:t>Sand &amp; Gravel</w:t>
            </w:r>
          </w:p>
        </w:tc>
        <w:tc>
          <w:tcPr>
            <w:tcW w:w="150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DEEBF7"/>
              <w:right w:val="single" w:sz="8" w:color="007CBA"/>
            </w:tcBorders>
            <w:shd w:val="clear" w:color="auto" w:fill="DEEBF7"/>
          </w:tcPr>
          <w:p>
            <w:pPr>
              <w:ind w:left="120"/>
              <w:spacing w:after="0"/>
              <w:rPr>
                <w:sz w:val="20"/>
                <w:szCs w:val="20"/>
                <w:color w:val="auto"/>
              </w:rPr>
            </w:pPr>
            <w:r>
              <w:rPr>
                <w:rFonts w:ascii="Calibri" w:cs="Calibri" w:eastAsia="Calibri" w:hAnsi="Calibri"/>
                <w:sz w:val="14"/>
                <w:szCs w:val="14"/>
                <w:color w:val="auto"/>
              </w:rPr>
              <w:t>Sand &amp; Gravel</w:t>
            </w:r>
          </w:p>
        </w:tc>
        <w:tc>
          <w:tcPr>
            <w:tcW w:w="1120" w:type="dxa"/>
            <w:vAlign w:val="bottom"/>
            <w:tcBorders>
              <w:bottom w:val="single" w:sz="8" w:color="DEEBF7"/>
              <w:right w:val="single" w:sz="8" w:color="007CBA"/>
            </w:tcBorders>
            <w:shd w:val="clear" w:color="auto" w:fill="DEEBF7"/>
          </w:tcPr>
          <w:p>
            <w:pPr>
              <w:ind w:left="860"/>
              <w:spacing w:after="0"/>
              <w:rPr>
                <w:sz w:val="20"/>
                <w:szCs w:val="20"/>
                <w:color w:val="auto"/>
              </w:rPr>
            </w:pPr>
            <w:r>
              <w:rPr>
                <w:rFonts w:ascii="Calibri" w:cs="Calibri" w:eastAsia="Calibri" w:hAnsi="Calibri"/>
                <w:sz w:val="14"/>
                <w:szCs w:val="14"/>
                <w:color w:val="auto"/>
              </w:rPr>
              <w:t>—</w:t>
            </w:r>
          </w:p>
        </w:tc>
        <w:tc>
          <w:tcPr>
            <w:tcW w:w="116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Sand &amp; Gravel</w:t>
            </w:r>
          </w:p>
        </w:tc>
      </w:tr>
      <w:tr>
        <w:trPr>
          <w:trHeight w:val="170"/>
        </w:trPr>
        <w:tc>
          <w:tcPr>
            <w:tcW w:w="154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Central Division</w:t>
            </w:r>
          </w:p>
        </w:tc>
        <w:tc>
          <w:tcPr>
            <w:tcW w:w="124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1,102</w:t>
            </w:r>
          </w:p>
        </w:tc>
        <w:tc>
          <w:tcPr>
            <w:tcW w:w="1100" w:type="dxa"/>
            <w:vAlign w:val="bottom"/>
            <w:tcBorders>
              <w:right w:val="single" w:sz="8" w:color="007CBA"/>
            </w:tcBorders>
          </w:tcPr>
          <w:p>
            <w:pPr>
              <w:ind w:left="120"/>
              <w:spacing w:after="0"/>
              <w:rPr>
                <w:sz w:val="20"/>
                <w:szCs w:val="20"/>
                <w:color w:val="auto"/>
              </w:rPr>
            </w:pPr>
            <w:r>
              <w:rPr>
                <w:rFonts w:ascii="Calibri" w:cs="Calibri" w:eastAsia="Calibri" w:hAnsi="Calibri"/>
                <w:sz w:val="14"/>
                <w:szCs w:val="14"/>
                <w:color w:val="auto"/>
              </w:rPr>
              <w:t>Sand &amp; Gravel</w:t>
            </w:r>
          </w:p>
        </w:tc>
        <w:tc>
          <w:tcPr>
            <w:tcW w:w="138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35,390</w:t>
            </w:r>
          </w:p>
        </w:tc>
        <w:tc>
          <w:tcPr>
            <w:tcW w:w="1080" w:type="dxa"/>
            <w:vAlign w:val="bottom"/>
            <w:tcBorders>
              <w:right w:val="single" w:sz="8" w:color="007CBA"/>
            </w:tcBorders>
          </w:tcPr>
          <w:p>
            <w:pPr>
              <w:ind w:left="100"/>
              <w:spacing w:after="0"/>
              <w:rPr>
                <w:sz w:val="20"/>
                <w:szCs w:val="20"/>
                <w:color w:val="auto"/>
              </w:rPr>
            </w:pPr>
            <w:r>
              <w:rPr>
                <w:rFonts w:ascii="Calibri" w:cs="Calibri" w:eastAsia="Calibri" w:hAnsi="Calibri"/>
                <w:sz w:val="14"/>
                <w:szCs w:val="14"/>
                <w:color w:val="auto"/>
              </w:rPr>
              <w:t>Sand &amp; Gravel</w:t>
            </w:r>
          </w:p>
        </w:tc>
        <w:tc>
          <w:tcPr>
            <w:tcW w:w="150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36,492</w:t>
            </w:r>
          </w:p>
        </w:tc>
        <w:tc>
          <w:tcPr>
            <w:tcW w:w="1120" w:type="dxa"/>
            <w:vAlign w:val="bottom"/>
            <w:tcBorders>
              <w:right w:val="single" w:sz="8" w:color="007CBA"/>
            </w:tcBorders>
          </w:tcPr>
          <w:p>
            <w:pPr>
              <w:ind w:left="120"/>
              <w:spacing w:after="0"/>
              <w:rPr>
                <w:sz w:val="20"/>
                <w:szCs w:val="20"/>
                <w:color w:val="auto"/>
              </w:rPr>
            </w:pPr>
            <w:r>
              <w:rPr>
                <w:rFonts w:ascii="Calibri" w:cs="Calibri" w:eastAsia="Calibri" w:hAnsi="Calibri"/>
                <w:sz w:val="14"/>
                <w:szCs w:val="14"/>
                <w:color w:val="auto"/>
              </w:rPr>
              <w:t>Sand &amp; Gravel</w:t>
            </w:r>
          </w:p>
        </w:tc>
        <w:tc>
          <w:tcPr>
            <w:tcW w:w="1120" w:type="dxa"/>
            <w:vAlign w:val="bottom"/>
            <w:tcBorders>
              <w:right w:val="single" w:sz="8" w:color="007CBA"/>
            </w:tcBorders>
          </w:tcPr>
          <w:p>
            <w:pPr>
              <w:ind w:left="860"/>
              <w:spacing w:after="0"/>
              <w:rPr>
                <w:sz w:val="20"/>
                <w:szCs w:val="20"/>
                <w:color w:val="auto"/>
              </w:rPr>
            </w:pPr>
            <w:r>
              <w:rPr>
                <w:rFonts w:ascii="Calibri" w:cs="Calibri" w:eastAsia="Calibri" w:hAnsi="Calibri"/>
                <w:sz w:val="14"/>
                <w:szCs w:val="14"/>
                <w:color w:val="auto"/>
              </w:rPr>
              <w:t>—</w:t>
            </w:r>
          </w:p>
        </w:tc>
        <w:tc>
          <w:tcPr>
            <w:tcW w:w="1160" w:type="dxa"/>
            <w:vAlign w:val="bottom"/>
            <w:tcBorders>
              <w:right w:val="single" w:sz="8" w:color="007CBA"/>
            </w:tcBorders>
          </w:tcPr>
          <w:p>
            <w:pPr>
              <w:jc w:val="center"/>
              <w:spacing w:after="0"/>
              <w:rPr>
                <w:sz w:val="20"/>
                <w:szCs w:val="20"/>
                <w:color w:val="auto"/>
              </w:rPr>
            </w:pPr>
            <w:r>
              <w:rPr>
                <w:rFonts w:ascii="Calibri" w:cs="Calibri" w:eastAsia="Calibri" w:hAnsi="Calibri"/>
                <w:sz w:val="14"/>
                <w:szCs w:val="14"/>
                <w:color w:val="auto"/>
              </w:rPr>
              <w:t>Sand &amp; Gravel</w:t>
            </w:r>
          </w:p>
        </w:tc>
      </w:tr>
      <w:tr>
        <w:trPr>
          <w:trHeight w:val="33"/>
        </w:trPr>
        <w:tc>
          <w:tcPr>
            <w:tcW w:w="1540" w:type="dxa"/>
            <w:vAlign w:val="bottom"/>
            <w:tcBorders>
              <w:right w:val="single" w:sz="8" w:color="007CBA"/>
            </w:tcBorders>
          </w:tcPr>
          <w:p>
            <w:pPr>
              <w:spacing w:after="0"/>
              <w:rPr>
                <w:sz w:val="2"/>
                <w:szCs w:val="2"/>
                <w:color w:val="auto"/>
              </w:rPr>
            </w:pPr>
          </w:p>
        </w:tc>
        <w:tc>
          <w:tcPr>
            <w:tcW w:w="1240" w:type="dxa"/>
            <w:vAlign w:val="bottom"/>
            <w:tcBorders>
              <w:right w:val="single" w:sz="8" w:color="007CBA"/>
            </w:tcBorders>
          </w:tcPr>
          <w:p>
            <w:pPr>
              <w:spacing w:after="0"/>
              <w:rPr>
                <w:sz w:val="2"/>
                <w:szCs w:val="2"/>
                <w:color w:val="auto"/>
              </w:rPr>
            </w:pPr>
          </w:p>
        </w:tc>
        <w:tc>
          <w:tcPr>
            <w:tcW w:w="1100" w:type="dxa"/>
            <w:vAlign w:val="bottom"/>
            <w:tcBorders>
              <w:right w:val="single" w:sz="8" w:color="007CBA"/>
            </w:tcBorders>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1080" w:type="dxa"/>
            <w:vAlign w:val="bottom"/>
            <w:tcBorders>
              <w:right w:val="single" w:sz="8" w:color="007CBA"/>
            </w:tcBorders>
          </w:tcPr>
          <w:p>
            <w:pPr>
              <w:spacing w:after="0"/>
              <w:rPr>
                <w:sz w:val="2"/>
                <w:szCs w:val="2"/>
                <w:color w:val="auto"/>
              </w:rPr>
            </w:pPr>
          </w:p>
        </w:tc>
        <w:tc>
          <w:tcPr>
            <w:tcW w:w="1500" w:type="dxa"/>
            <w:vAlign w:val="bottom"/>
            <w:tcBorders>
              <w:right w:val="single" w:sz="8" w:color="007CBA"/>
            </w:tcBorders>
          </w:tcPr>
          <w:p>
            <w:pPr>
              <w:spacing w:after="0"/>
              <w:rPr>
                <w:sz w:val="2"/>
                <w:szCs w:val="2"/>
                <w:color w:val="auto"/>
              </w:rPr>
            </w:pPr>
          </w:p>
        </w:tc>
        <w:tc>
          <w:tcPr>
            <w:tcW w:w="1120" w:type="dxa"/>
            <w:vAlign w:val="bottom"/>
            <w:tcBorders>
              <w:right w:val="single" w:sz="8" w:color="007CBA"/>
            </w:tcBorders>
          </w:tcPr>
          <w:p>
            <w:pPr>
              <w:spacing w:after="0"/>
              <w:rPr>
                <w:sz w:val="2"/>
                <w:szCs w:val="2"/>
                <w:color w:val="auto"/>
              </w:rPr>
            </w:pPr>
          </w:p>
        </w:tc>
        <w:tc>
          <w:tcPr>
            <w:tcW w:w="1120" w:type="dxa"/>
            <w:vAlign w:val="bottom"/>
            <w:tcBorders>
              <w:right w:val="single" w:sz="8" w:color="007CBA"/>
            </w:tcBorders>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r>
      <w:tr>
        <w:trPr>
          <w:trHeight w:val="183"/>
        </w:trPr>
        <w:tc>
          <w:tcPr>
            <w:tcW w:w="1540" w:type="dxa"/>
            <w:vAlign w:val="bottom"/>
            <w:tcBorders>
              <w:bottom w:val="single" w:sz="8" w:color="DEEBF7"/>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Southwest Division</w:t>
            </w:r>
          </w:p>
        </w:tc>
        <w:tc>
          <w:tcPr>
            <w:tcW w:w="124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DEEBF7"/>
              <w:right w:val="single" w:sz="8" w:color="007CBA"/>
            </w:tcBorders>
            <w:shd w:val="clear" w:color="auto" w:fill="DEEBF7"/>
          </w:tcPr>
          <w:p>
            <w:pPr>
              <w:ind w:left="120"/>
              <w:spacing w:after="0"/>
              <w:rPr>
                <w:sz w:val="20"/>
                <w:szCs w:val="20"/>
                <w:color w:val="auto"/>
              </w:rPr>
            </w:pPr>
            <w:r>
              <w:rPr>
                <w:rFonts w:ascii="Calibri" w:cs="Calibri" w:eastAsia="Calibri" w:hAnsi="Calibri"/>
                <w:sz w:val="14"/>
                <w:szCs w:val="14"/>
                <w:color w:val="auto"/>
              </w:rPr>
              <w:t>Sand &amp; Gravel</w:t>
            </w:r>
          </w:p>
        </w:tc>
        <w:tc>
          <w:tcPr>
            <w:tcW w:w="138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080" w:type="dxa"/>
            <w:vAlign w:val="bottom"/>
            <w:tcBorders>
              <w:bottom w:val="single" w:sz="8" w:color="DEEBF7"/>
              <w:right w:val="single" w:sz="8" w:color="007CBA"/>
            </w:tcBorders>
            <w:shd w:val="clear" w:color="auto" w:fill="DEEBF7"/>
          </w:tcPr>
          <w:p>
            <w:pPr>
              <w:ind w:left="100"/>
              <w:spacing w:after="0"/>
              <w:rPr>
                <w:sz w:val="20"/>
                <w:szCs w:val="20"/>
                <w:color w:val="auto"/>
              </w:rPr>
            </w:pPr>
            <w:r>
              <w:rPr>
                <w:rFonts w:ascii="Calibri" w:cs="Calibri" w:eastAsia="Calibri" w:hAnsi="Calibri"/>
                <w:sz w:val="14"/>
                <w:szCs w:val="14"/>
                <w:color w:val="auto"/>
              </w:rPr>
              <w:t>Sand &amp; Gravel</w:t>
            </w:r>
          </w:p>
        </w:tc>
        <w:tc>
          <w:tcPr>
            <w:tcW w:w="150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w:t>
            </w:r>
          </w:p>
        </w:tc>
        <w:tc>
          <w:tcPr>
            <w:tcW w:w="1120" w:type="dxa"/>
            <w:vAlign w:val="bottom"/>
            <w:tcBorders>
              <w:bottom w:val="single" w:sz="8" w:color="DEEBF7"/>
              <w:right w:val="single" w:sz="8" w:color="007CBA"/>
            </w:tcBorders>
            <w:shd w:val="clear" w:color="auto" w:fill="DEEBF7"/>
          </w:tcPr>
          <w:p>
            <w:pPr>
              <w:ind w:left="120"/>
              <w:spacing w:after="0"/>
              <w:rPr>
                <w:sz w:val="20"/>
                <w:szCs w:val="20"/>
                <w:color w:val="auto"/>
              </w:rPr>
            </w:pPr>
            <w:r>
              <w:rPr>
                <w:rFonts w:ascii="Calibri" w:cs="Calibri" w:eastAsia="Calibri" w:hAnsi="Calibri"/>
                <w:sz w:val="14"/>
                <w:szCs w:val="14"/>
                <w:color w:val="auto"/>
              </w:rPr>
              <w:t>Sand &amp; Gravel</w:t>
            </w:r>
          </w:p>
        </w:tc>
        <w:tc>
          <w:tcPr>
            <w:tcW w:w="1120" w:type="dxa"/>
            <w:vAlign w:val="bottom"/>
            <w:tcBorders>
              <w:bottom w:val="single" w:sz="8" w:color="DEEBF7"/>
              <w:right w:val="single" w:sz="8" w:color="007CBA"/>
            </w:tcBorders>
            <w:shd w:val="clear" w:color="auto" w:fill="DEEBF7"/>
          </w:tcPr>
          <w:p>
            <w:pPr>
              <w:ind w:left="860"/>
              <w:spacing w:after="0"/>
              <w:rPr>
                <w:sz w:val="20"/>
                <w:szCs w:val="20"/>
                <w:color w:val="auto"/>
              </w:rPr>
            </w:pPr>
            <w:r>
              <w:rPr>
                <w:rFonts w:ascii="Calibri" w:cs="Calibri" w:eastAsia="Calibri" w:hAnsi="Calibri"/>
                <w:sz w:val="14"/>
                <w:szCs w:val="14"/>
                <w:color w:val="auto"/>
              </w:rPr>
              <w:t>—</w:t>
            </w:r>
          </w:p>
        </w:tc>
        <w:tc>
          <w:tcPr>
            <w:tcW w:w="1160" w:type="dxa"/>
            <w:vAlign w:val="bottom"/>
            <w:tcBorders>
              <w:bottom w:val="single" w:sz="8" w:color="DEEBF7"/>
              <w:right w:val="single" w:sz="8" w:color="007CBA"/>
            </w:tcBorders>
            <w:shd w:val="clear" w:color="auto" w:fill="DEEBF7"/>
          </w:tcPr>
          <w:p>
            <w:pPr>
              <w:jc w:val="center"/>
              <w:spacing w:after="0"/>
              <w:rPr>
                <w:sz w:val="20"/>
                <w:szCs w:val="20"/>
                <w:color w:val="auto"/>
              </w:rPr>
            </w:pPr>
            <w:r>
              <w:rPr>
                <w:rFonts w:ascii="Calibri" w:cs="Calibri" w:eastAsia="Calibri" w:hAnsi="Calibri"/>
                <w:sz w:val="14"/>
                <w:szCs w:val="14"/>
                <w:color w:val="auto"/>
              </w:rPr>
              <w:t>Sand &amp; Gravel</w:t>
            </w:r>
          </w:p>
        </w:tc>
      </w:tr>
      <w:tr>
        <w:trPr>
          <w:trHeight w:val="170"/>
        </w:trPr>
        <w:tc>
          <w:tcPr>
            <w:tcW w:w="1540" w:type="dxa"/>
            <w:vAlign w:val="bottom"/>
          </w:tcPr>
          <w:p>
            <w:pPr>
              <w:ind w:left="20"/>
              <w:spacing w:after="0"/>
              <w:rPr>
                <w:sz w:val="20"/>
                <w:szCs w:val="20"/>
                <w:color w:val="auto"/>
              </w:rPr>
            </w:pPr>
            <w:r>
              <w:rPr>
                <w:rFonts w:ascii="Calibri" w:cs="Calibri" w:eastAsia="Calibri" w:hAnsi="Calibri"/>
                <w:sz w:val="14"/>
                <w:szCs w:val="14"/>
                <w:color w:val="auto"/>
              </w:rPr>
              <w:t>West Division</w:t>
            </w:r>
          </w:p>
        </w:tc>
        <w:tc>
          <w:tcPr>
            <w:tcW w:w="1240" w:type="dxa"/>
            <w:vAlign w:val="bottom"/>
          </w:tcPr>
          <w:p>
            <w:pPr>
              <w:jc w:val="right"/>
              <w:ind w:right="69"/>
              <w:spacing w:after="0"/>
              <w:rPr>
                <w:sz w:val="20"/>
                <w:szCs w:val="20"/>
                <w:color w:val="auto"/>
              </w:rPr>
            </w:pPr>
            <w:r>
              <w:rPr>
                <w:rFonts w:ascii="Calibri" w:cs="Calibri" w:eastAsia="Calibri" w:hAnsi="Calibri"/>
                <w:sz w:val="14"/>
                <w:szCs w:val="14"/>
                <w:color w:val="auto"/>
              </w:rPr>
              <w:t>59,839</w:t>
            </w:r>
          </w:p>
        </w:tc>
        <w:tc>
          <w:tcPr>
            <w:tcW w:w="1100" w:type="dxa"/>
            <w:vAlign w:val="bottom"/>
          </w:tcPr>
          <w:p>
            <w:pPr>
              <w:ind w:left="120"/>
              <w:spacing w:after="0"/>
              <w:rPr>
                <w:sz w:val="20"/>
                <w:szCs w:val="20"/>
                <w:color w:val="auto"/>
              </w:rPr>
            </w:pPr>
            <w:r>
              <w:rPr>
                <w:rFonts w:ascii="Calibri" w:cs="Calibri" w:eastAsia="Calibri" w:hAnsi="Calibri"/>
                <w:sz w:val="14"/>
                <w:szCs w:val="14"/>
                <w:color w:val="auto"/>
              </w:rPr>
              <w:t>Sand &amp; Gravel</w:t>
            </w:r>
          </w:p>
        </w:tc>
        <w:tc>
          <w:tcPr>
            <w:tcW w:w="1380" w:type="dxa"/>
            <w:vAlign w:val="bottom"/>
          </w:tcPr>
          <w:p>
            <w:pPr>
              <w:jc w:val="right"/>
              <w:ind w:right="69"/>
              <w:spacing w:after="0"/>
              <w:rPr>
                <w:sz w:val="20"/>
                <w:szCs w:val="20"/>
                <w:color w:val="auto"/>
              </w:rPr>
            </w:pPr>
            <w:r>
              <w:rPr>
                <w:rFonts w:ascii="Calibri" w:cs="Calibri" w:eastAsia="Calibri" w:hAnsi="Calibri"/>
                <w:sz w:val="14"/>
                <w:szCs w:val="14"/>
                <w:color w:val="auto"/>
              </w:rPr>
              <w:t>143,191</w:t>
            </w:r>
          </w:p>
        </w:tc>
        <w:tc>
          <w:tcPr>
            <w:tcW w:w="1080" w:type="dxa"/>
            <w:vAlign w:val="bottom"/>
          </w:tcPr>
          <w:p>
            <w:pPr>
              <w:ind w:left="100"/>
              <w:spacing w:after="0"/>
              <w:rPr>
                <w:sz w:val="20"/>
                <w:szCs w:val="20"/>
                <w:color w:val="auto"/>
              </w:rPr>
            </w:pPr>
            <w:r>
              <w:rPr>
                <w:rFonts w:ascii="Calibri" w:cs="Calibri" w:eastAsia="Calibri" w:hAnsi="Calibri"/>
                <w:sz w:val="14"/>
                <w:szCs w:val="14"/>
                <w:color w:val="auto"/>
              </w:rPr>
              <w:t>Sand &amp; Gravel</w:t>
            </w:r>
          </w:p>
        </w:tc>
        <w:tc>
          <w:tcPr>
            <w:tcW w:w="1500" w:type="dxa"/>
            <w:vAlign w:val="bottom"/>
          </w:tcPr>
          <w:p>
            <w:pPr>
              <w:jc w:val="right"/>
              <w:ind w:right="69"/>
              <w:spacing w:after="0"/>
              <w:rPr>
                <w:sz w:val="20"/>
                <w:szCs w:val="20"/>
                <w:color w:val="auto"/>
              </w:rPr>
            </w:pPr>
            <w:r>
              <w:rPr>
                <w:rFonts w:ascii="Calibri" w:cs="Calibri" w:eastAsia="Calibri" w:hAnsi="Calibri"/>
                <w:sz w:val="14"/>
                <w:szCs w:val="14"/>
                <w:color w:val="auto"/>
              </w:rPr>
              <w:t>203,030</w:t>
            </w:r>
          </w:p>
        </w:tc>
        <w:tc>
          <w:tcPr>
            <w:tcW w:w="1120" w:type="dxa"/>
            <w:vAlign w:val="bottom"/>
          </w:tcPr>
          <w:p>
            <w:pPr>
              <w:ind w:left="120"/>
              <w:spacing w:after="0"/>
              <w:rPr>
                <w:sz w:val="20"/>
                <w:szCs w:val="20"/>
                <w:color w:val="auto"/>
              </w:rPr>
            </w:pPr>
            <w:r>
              <w:rPr>
                <w:rFonts w:ascii="Calibri" w:cs="Calibri" w:eastAsia="Calibri" w:hAnsi="Calibri"/>
                <w:sz w:val="14"/>
                <w:szCs w:val="14"/>
                <w:color w:val="auto"/>
              </w:rPr>
              <w:t>Sand &amp; Gravel</w:t>
            </w:r>
          </w:p>
        </w:tc>
        <w:tc>
          <w:tcPr>
            <w:tcW w:w="1120" w:type="dxa"/>
            <w:vAlign w:val="bottom"/>
          </w:tcPr>
          <w:p>
            <w:pPr>
              <w:ind w:left="860"/>
              <w:spacing w:after="0"/>
              <w:rPr>
                <w:sz w:val="20"/>
                <w:szCs w:val="20"/>
                <w:color w:val="auto"/>
              </w:rPr>
            </w:pPr>
            <w:r>
              <w:rPr>
                <w:rFonts w:ascii="Calibri" w:cs="Calibri" w:eastAsia="Calibri" w:hAnsi="Calibri"/>
                <w:sz w:val="14"/>
                <w:szCs w:val="14"/>
                <w:color w:val="auto"/>
              </w:rPr>
              <w:t>—</w:t>
            </w:r>
          </w:p>
        </w:tc>
        <w:tc>
          <w:tcPr>
            <w:tcW w:w="1160" w:type="dxa"/>
            <w:vAlign w:val="bottom"/>
          </w:tcPr>
          <w:p>
            <w:pPr>
              <w:jc w:val="center"/>
              <w:spacing w:after="0"/>
              <w:rPr>
                <w:sz w:val="20"/>
                <w:szCs w:val="20"/>
                <w:color w:val="auto"/>
              </w:rPr>
            </w:pPr>
            <w:r>
              <w:rPr>
                <w:rFonts w:ascii="Calibri" w:cs="Calibri" w:eastAsia="Calibri" w:hAnsi="Calibri"/>
                <w:sz w:val="14"/>
                <w:szCs w:val="14"/>
                <w:color w:val="auto"/>
              </w:rPr>
              <w:t>Sand &amp; Gravel</w:t>
            </w:r>
          </w:p>
        </w:tc>
      </w:tr>
      <w:tr>
        <w:trPr>
          <w:trHeight w:val="33"/>
        </w:trPr>
        <w:tc>
          <w:tcPr>
            <w:tcW w:w="1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181717"/>
            </w:tcBorders>
          </w:tcPr>
          <w:p>
            <w:pPr>
              <w:spacing w:after="0"/>
              <w:rPr>
                <w:sz w:val="2"/>
                <w:szCs w:val="2"/>
                <w:color w:val="auto"/>
              </w:rPr>
            </w:pPr>
          </w:p>
        </w:tc>
      </w:tr>
      <w:tr>
        <w:trPr>
          <w:trHeight w:val="176"/>
        </w:trPr>
        <w:tc>
          <w:tcPr>
            <w:tcW w:w="1540" w:type="dxa"/>
            <w:vAlign w:val="bottom"/>
            <w:tcBorders>
              <w:bottom w:val="single" w:sz="8" w:color="DEEBF7"/>
              <w:right w:val="single" w:sz="8" w:color="DEEBF7"/>
            </w:tcBorders>
            <w:shd w:val="clear" w:color="auto" w:fill="DEEBF7"/>
          </w:tcPr>
          <w:p>
            <w:pPr>
              <w:ind w:left="20"/>
              <w:spacing w:after="0" w:line="164" w:lineRule="exact"/>
              <w:rPr>
                <w:sz w:val="20"/>
                <w:szCs w:val="20"/>
                <w:color w:val="auto"/>
              </w:rPr>
            </w:pPr>
            <w:r>
              <w:rPr>
                <w:rFonts w:ascii="Calibri" w:cs="Calibri" w:eastAsia="Calibri" w:hAnsi="Calibri"/>
                <w:sz w:val="14"/>
                <w:szCs w:val="14"/>
                <w:color w:val="auto"/>
              </w:rPr>
              <w:t>Total sand &amp; gravel</w:t>
            </w:r>
          </w:p>
        </w:tc>
        <w:tc>
          <w:tcPr>
            <w:tcW w:w="1240" w:type="dxa"/>
            <w:vAlign w:val="bottom"/>
            <w:tcBorders>
              <w:bottom w:val="single" w:sz="8" w:color="DEEBF7"/>
              <w:right w:val="single" w:sz="8" w:color="DEEBF7"/>
            </w:tcBorders>
            <w:shd w:val="clear" w:color="auto" w:fill="DEEBF7"/>
          </w:tcPr>
          <w:p>
            <w:pPr>
              <w:jc w:val="right"/>
              <w:ind w:right="69"/>
              <w:spacing w:after="0" w:line="164" w:lineRule="exact"/>
              <w:rPr>
                <w:sz w:val="20"/>
                <w:szCs w:val="20"/>
                <w:color w:val="auto"/>
              </w:rPr>
            </w:pPr>
            <w:r>
              <w:rPr>
                <w:rFonts w:ascii="Calibri" w:cs="Calibri" w:eastAsia="Calibri" w:hAnsi="Calibri"/>
                <w:sz w:val="14"/>
                <w:szCs w:val="14"/>
                <w:color w:val="auto"/>
              </w:rPr>
              <w:t>60,941</w:t>
            </w:r>
          </w:p>
        </w:tc>
        <w:tc>
          <w:tcPr>
            <w:tcW w:w="1100" w:type="dxa"/>
            <w:vAlign w:val="bottom"/>
            <w:tcBorders>
              <w:bottom w:val="single" w:sz="8" w:color="DEEBF7"/>
              <w:right w:val="single" w:sz="8" w:color="DEEBF7"/>
            </w:tcBorders>
            <w:shd w:val="clear" w:color="auto" w:fill="DEEBF7"/>
          </w:tcPr>
          <w:p>
            <w:pPr>
              <w:spacing w:after="0"/>
              <w:rPr>
                <w:sz w:val="15"/>
                <w:szCs w:val="15"/>
                <w:color w:val="auto"/>
              </w:rPr>
            </w:pPr>
          </w:p>
        </w:tc>
        <w:tc>
          <w:tcPr>
            <w:tcW w:w="1380" w:type="dxa"/>
            <w:vAlign w:val="bottom"/>
            <w:tcBorders>
              <w:bottom w:val="single" w:sz="8" w:color="DEEBF7"/>
              <w:right w:val="single" w:sz="8" w:color="DEEBF7"/>
            </w:tcBorders>
            <w:shd w:val="clear" w:color="auto" w:fill="DEEBF7"/>
          </w:tcPr>
          <w:p>
            <w:pPr>
              <w:jc w:val="right"/>
              <w:ind w:right="69"/>
              <w:spacing w:after="0" w:line="164" w:lineRule="exact"/>
              <w:rPr>
                <w:sz w:val="20"/>
                <w:szCs w:val="20"/>
                <w:color w:val="auto"/>
              </w:rPr>
            </w:pPr>
            <w:r>
              <w:rPr>
                <w:rFonts w:ascii="Calibri" w:cs="Calibri" w:eastAsia="Calibri" w:hAnsi="Calibri"/>
                <w:sz w:val="14"/>
                <w:szCs w:val="14"/>
                <w:color w:val="auto"/>
              </w:rPr>
              <w:t>178,581</w:t>
            </w:r>
          </w:p>
        </w:tc>
        <w:tc>
          <w:tcPr>
            <w:tcW w:w="1080" w:type="dxa"/>
            <w:vAlign w:val="bottom"/>
            <w:tcBorders>
              <w:bottom w:val="single" w:sz="8" w:color="DEEBF7"/>
              <w:right w:val="single" w:sz="8" w:color="DEEBF7"/>
            </w:tcBorders>
            <w:shd w:val="clear" w:color="auto" w:fill="DEEBF7"/>
          </w:tcPr>
          <w:p>
            <w:pPr>
              <w:spacing w:after="0"/>
              <w:rPr>
                <w:sz w:val="15"/>
                <w:szCs w:val="15"/>
                <w:color w:val="auto"/>
              </w:rPr>
            </w:pPr>
          </w:p>
        </w:tc>
        <w:tc>
          <w:tcPr>
            <w:tcW w:w="1500" w:type="dxa"/>
            <w:vAlign w:val="bottom"/>
            <w:tcBorders>
              <w:bottom w:val="single" w:sz="8" w:color="DEEBF7"/>
              <w:right w:val="single" w:sz="8" w:color="DEEBF7"/>
            </w:tcBorders>
            <w:shd w:val="clear" w:color="auto" w:fill="DEEBF7"/>
          </w:tcPr>
          <w:p>
            <w:pPr>
              <w:jc w:val="right"/>
              <w:ind w:right="69"/>
              <w:spacing w:after="0" w:line="164" w:lineRule="exact"/>
              <w:rPr>
                <w:sz w:val="20"/>
                <w:szCs w:val="20"/>
                <w:color w:val="auto"/>
              </w:rPr>
            </w:pPr>
            <w:r>
              <w:rPr>
                <w:rFonts w:ascii="Calibri" w:cs="Calibri" w:eastAsia="Calibri" w:hAnsi="Calibri"/>
                <w:sz w:val="14"/>
                <w:szCs w:val="14"/>
                <w:color w:val="auto"/>
              </w:rPr>
              <w:t>239,522</w:t>
            </w:r>
          </w:p>
        </w:tc>
        <w:tc>
          <w:tcPr>
            <w:tcW w:w="1120" w:type="dxa"/>
            <w:vAlign w:val="bottom"/>
            <w:tcBorders>
              <w:bottom w:val="single" w:sz="8" w:color="DEEBF7"/>
              <w:right w:val="single" w:sz="8" w:color="DEEBF7"/>
            </w:tcBorders>
            <w:shd w:val="clear" w:color="auto" w:fill="DEEBF7"/>
          </w:tcPr>
          <w:p>
            <w:pPr>
              <w:spacing w:after="0"/>
              <w:rPr>
                <w:sz w:val="15"/>
                <w:szCs w:val="15"/>
                <w:color w:val="auto"/>
              </w:rPr>
            </w:pPr>
          </w:p>
        </w:tc>
        <w:tc>
          <w:tcPr>
            <w:tcW w:w="1120" w:type="dxa"/>
            <w:vAlign w:val="bottom"/>
            <w:tcBorders>
              <w:bottom w:val="single" w:sz="8" w:color="DEEBF7"/>
              <w:right w:val="single" w:sz="8" w:color="DEEBF7"/>
            </w:tcBorders>
            <w:shd w:val="clear" w:color="auto" w:fill="DEEBF7"/>
          </w:tcPr>
          <w:p>
            <w:pPr>
              <w:ind w:left="860"/>
              <w:spacing w:after="0" w:line="164" w:lineRule="exact"/>
              <w:rPr>
                <w:sz w:val="20"/>
                <w:szCs w:val="20"/>
                <w:color w:val="auto"/>
              </w:rPr>
            </w:pPr>
            <w:r>
              <w:rPr>
                <w:rFonts w:ascii="Calibri" w:cs="Calibri" w:eastAsia="Calibri" w:hAnsi="Calibri"/>
                <w:sz w:val="14"/>
                <w:szCs w:val="14"/>
                <w:color w:val="auto"/>
              </w:rPr>
              <w:t>—</w:t>
            </w:r>
          </w:p>
        </w:tc>
        <w:tc>
          <w:tcPr>
            <w:tcW w:w="1160" w:type="dxa"/>
            <w:vAlign w:val="bottom"/>
            <w:tcBorders>
              <w:bottom w:val="single" w:sz="8" w:color="DEEBF7"/>
              <w:right w:val="single" w:sz="8" w:color="DEEBF7"/>
            </w:tcBorders>
            <w:shd w:val="clear" w:color="auto" w:fill="DEEBF7"/>
          </w:tcPr>
          <w:p>
            <w:pPr>
              <w:spacing w:after="0"/>
              <w:rPr>
                <w:sz w:val="15"/>
                <w:szCs w:val="15"/>
                <w:color w:val="auto"/>
              </w:rPr>
            </w:pPr>
          </w:p>
        </w:tc>
      </w:tr>
      <w:tr>
        <w:trPr>
          <w:trHeight w:val="20"/>
        </w:trPr>
        <w:tc>
          <w:tcPr>
            <w:tcW w:w="154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181717"/>
            </w:tcBorders>
            <w:shd w:val="clear" w:color="auto" w:fill="181717"/>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-1075055</wp:posOffset>
            </wp:positionV>
            <wp:extent cx="33655" cy="2997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-1075055</wp:posOffset>
            </wp:positionV>
            <wp:extent cx="34290" cy="2997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-1075055</wp:posOffset>
            </wp:positionV>
            <wp:extent cx="34290" cy="2997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-1075055</wp:posOffset>
            </wp:positionV>
            <wp:extent cx="33655" cy="2997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-1075055</wp:posOffset>
            </wp:positionV>
            <wp:extent cx="33655" cy="2997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-1075055</wp:posOffset>
            </wp:positionV>
            <wp:extent cx="33655" cy="2997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-1075055</wp:posOffset>
            </wp:positionV>
            <wp:extent cx="33655" cy="2997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6378575</wp:posOffset>
            </wp:positionH>
            <wp:positionV relativeFrom="paragraph">
              <wp:posOffset>-1075055</wp:posOffset>
            </wp:positionV>
            <wp:extent cx="33655" cy="2997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-286385</wp:posOffset>
            </wp:positionV>
            <wp:extent cx="33655"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952500</wp:posOffset>
            </wp:positionH>
            <wp:positionV relativeFrom="paragraph">
              <wp:posOffset>-286385</wp:posOffset>
            </wp:positionV>
            <wp:extent cx="33655" cy="2997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1741170</wp:posOffset>
            </wp:positionH>
            <wp:positionV relativeFrom="paragraph">
              <wp:posOffset>-286385</wp:posOffset>
            </wp:positionV>
            <wp:extent cx="34290" cy="2997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-286385</wp:posOffset>
            </wp:positionV>
            <wp:extent cx="34290" cy="2997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3309620</wp:posOffset>
            </wp:positionH>
            <wp:positionV relativeFrom="paragraph">
              <wp:posOffset>-286385</wp:posOffset>
            </wp:positionV>
            <wp:extent cx="33655" cy="2997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-286385</wp:posOffset>
            </wp:positionV>
            <wp:extent cx="33655" cy="2997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-286385</wp:posOffset>
            </wp:positionV>
            <wp:extent cx="33655" cy="2997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-286385</wp:posOffset>
            </wp:positionV>
            <wp:extent cx="33655" cy="2997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6378575</wp:posOffset>
            </wp:positionH>
            <wp:positionV relativeFrom="paragraph">
              <wp:posOffset>-286385</wp:posOffset>
            </wp:positionV>
            <wp:extent cx="33655" cy="2997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299720"/>
                    </a:xfrm>
                    <a:prstGeom prst="rect">
                      <a:avLst/>
                    </a:prstGeom>
                    <a:noFill/>
                  </pic:spPr>
                </pic:pic>
              </a:graphicData>
            </a:graphic>
          </wp:anchor>
        </w:drawing>
      </w:r>
    </w:p>
    <w:p>
      <w:pPr>
        <w:spacing w:after="0" w:line="208"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FFFFFF"/>
        </w:rPr>
        <w:t>Summary Mineral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68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jc w:val="center"/>
        <w:spacing w:after="0" w:line="213" w:lineRule="auto"/>
        <w:rPr>
          <w:sz w:val="20"/>
          <w:szCs w:val="20"/>
          <w:color w:val="auto"/>
        </w:rPr>
      </w:pPr>
      <w:r>
        <w:rPr>
          <w:rFonts w:ascii="Calibri" w:cs="Calibri" w:eastAsia="Calibri" w:hAnsi="Calibri"/>
          <w:sz w:val="14"/>
          <w:szCs w:val="14"/>
          <w:b w:val="1"/>
          <w:bCs w:val="1"/>
          <w:color w:val="FFFFFF"/>
        </w:rPr>
        <w:t xml:space="preserve">At End of Fiscal Year Ended December 31, 2023 </w:t>
      </w:r>
      <w:r>
        <w:rPr>
          <w:rFonts w:ascii="Calibri" w:cs="Calibri" w:eastAsia="Calibri" w:hAnsi="Calibri"/>
          <w:sz w:val="19"/>
          <w:szCs w:val="19"/>
          <w:b w:val="1"/>
          <w:bCs w:val="1"/>
          <w:color w:val="FFFFFF"/>
          <w:vertAlign w:val="superscript"/>
        </w:rPr>
        <w:t>1,2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40" w:type="dxa"/>
            <w:vAlign w:val="bottom"/>
            <w:tcBorders>
              <w:right w:val="single" w:sz="8" w:color="007CBA"/>
            </w:tcBorders>
            <w:shd w:val="clear" w:color="auto" w:fill="007CBA"/>
          </w:tcPr>
          <w:p>
            <w:pPr>
              <w:spacing w:after="0"/>
              <w:rPr>
                <w:sz w:val="16"/>
                <w:szCs w:val="16"/>
                <w:color w:val="auto"/>
              </w:rPr>
            </w:pPr>
          </w:p>
        </w:tc>
        <w:tc>
          <w:tcPr>
            <w:tcW w:w="2920" w:type="dxa"/>
            <w:vAlign w:val="bottom"/>
            <w:gridSpan w:val="2"/>
          </w:tcPr>
          <w:p>
            <w:pPr>
              <w:ind w:left="720"/>
              <w:spacing w:after="0"/>
              <w:rPr>
                <w:sz w:val="20"/>
                <w:szCs w:val="20"/>
                <w:color w:val="auto"/>
              </w:rPr>
            </w:pPr>
            <w:r>
              <w:rPr>
                <w:rFonts w:ascii="Calibri" w:cs="Calibri" w:eastAsia="Calibri" w:hAnsi="Calibri"/>
                <w:sz w:val="14"/>
                <w:szCs w:val="14"/>
                <w:b w:val="1"/>
                <w:bCs w:val="1"/>
                <w:color w:val="FFFFFF"/>
              </w:rPr>
              <w:t>Proven Mineral Reserves</w:t>
            </w:r>
          </w:p>
        </w:tc>
        <w:tc>
          <w:tcPr>
            <w:tcW w:w="3060" w:type="dxa"/>
            <w:vAlign w:val="bottom"/>
            <w:gridSpan w:val="2"/>
          </w:tcPr>
          <w:p>
            <w:pPr>
              <w:ind w:left="720"/>
              <w:spacing w:after="0"/>
              <w:rPr>
                <w:sz w:val="20"/>
                <w:szCs w:val="20"/>
                <w:color w:val="auto"/>
              </w:rPr>
            </w:pPr>
            <w:r>
              <w:rPr>
                <w:rFonts w:ascii="Calibri" w:cs="Calibri" w:eastAsia="Calibri" w:hAnsi="Calibri"/>
                <w:sz w:val="14"/>
                <w:szCs w:val="14"/>
                <w:b w:val="1"/>
                <w:bCs w:val="1"/>
                <w:color w:val="FFFFFF"/>
              </w:rPr>
              <w:t>Probable Mineral Reserves</w:t>
            </w:r>
          </w:p>
        </w:tc>
        <w:tc>
          <w:tcPr>
            <w:tcW w:w="3320" w:type="dxa"/>
            <w:vAlign w:val="bottom"/>
            <w:gridSpan w:val="2"/>
          </w:tcPr>
          <w:p>
            <w:pPr>
              <w:ind w:left="980"/>
              <w:spacing w:after="0"/>
              <w:rPr>
                <w:sz w:val="20"/>
                <w:szCs w:val="20"/>
                <w:color w:val="auto"/>
              </w:rPr>
            </w:pPr>
            <w:r>
              <w:rPr>
                <w:rFonts w:ascii="Calibri" w:cs="Calibri" w:eastAsia="Calibri" w:hAnsi="Calibri"/>
                <w:sz w:val="14"/>
                <w:szCs w:val="14"/>
                <w:b w:val="1"/>
                <w:bCs w:val="1"/>
                <w:color w:val="FFFFFF"/>
              </w:rPr>
              <w:t>Total Mineral Reserves</w:t>
            </w:r>
          </w:p>
        </w:tc>
      </w:tr>
      <w:tr>
        <w:trPr>
          <w:trHeight w:val="152"/>
        </w:trPr>
        <w:tc>
          <w:tcPr>
            <w:tcW w:w="1940" w:type="dxa"/>
            <w:vAlign w:val="bottom"/>
            <w:tcBorders>
              <w:right w:val="single" w:sz="8" w:color="007CBA"/>
            </w:tcBorders>
            <w:shd w:val="clear" w:color="auto" w:fill="007CBA"/>
          </w:tcPr>
          <w:p>
            <w:pPr>
              <w:spacing w:after="0"/>
              <w:rPr>
                <w:sz w:val="13"/>
                <w:szCs w:val="13"/>
                <w:color w:val="auto"/>
              </w:rPr>
            </w:pPr>
          </w:p>
        </w:tc>
        <w:tc>
          <w:tcPr>
            <w:tcW w:w="1540" w:type="dxa"/>
            <w:vAlign w:val="bottom"/>
            <w:tcBorders>
              <w:right w:val="single" w:sz="8" w:color="007CBA"/>
            </w:tcBorders>
            <w:shd w:val="clear" w:color="auto" w:fill="007CBA"/>
          </w:tcPr>
          <w:p>
            <w:pPr>
              <w:jc w:val="right"/>
              <w:ind w:right="649"/>
              <w:spacing w:after="0" w:line="152" w:lineRule="exact"/>
              <w:rPr>
                <w:sz w:val="20"/>
                <w:szCs w:val="20"/>
                <w:color w:val="auto"/>
              </w:rPr>
            </w:pPr>
            <w:r>
              <w:rPr>
                <w:rFonts w:ascii="Calibri" w:cs="Calibri" w:eastAsia="Calibri" w:hAnsi="Calibri"/>
                <w:sz w:val="13"/>
                <w:szCs w:val="13"/>
                <w:b w:val="1"/>
                <w:bCs w:val="1"/>
                <w:color w:val="FFFFFF"/>
              </w:rPr>
              <w:t>Tons</w:t>
            </w:r>
          </w:p>
        </w:tc>
        <w:tc>
          <w:tcPr>
            <w:tcW w:w="1380" w:type="dxa"/>
            <w:vAlign w:val="bottom"/>
            <w:tcBorders>
              <w:right w:val="single" w:sz="8" w:color="007CBA"/>
            </w:tcBorders>
            <w:shd w:val="clear" w:color="auto" w:fill="007CBA"/>
          </w:tcPr>
          <w:p>
            <w:pPr>
              <w:spacing w:after="0"/>
              <w:rPr>
                <w:sz w:val="13"/>
                <w:szCs w:val="13"/>
                <w:color w:val="auto"/>
              </w:rPr>
            </w:pPr>
          </w:p>
        </w:tc>
        <w:tc>
          <w:tcPr>
            <w:tcW w:w="1680" w:type="dxa"/>
            <w:vAlign w:val="bottom"/>
            <w:tcBorders>
              <w:right w:val="single" w:sz="8" w:color="007CBA"/>
            </w:tcBorders>
            <w:shd w:val="clear" w:color="auto" w:fill="007CBA"/>
          </w:tcPr>
          <w:p>
            <w:pPr>
              <w:jc w:val="right"/>
              <w:ind w:right="709"/>
              <w:spacing w:after="0" w:line="152" w:lineRule="exact"/>
              <w:rPr>
                <w:sz w:val="20"/>
                <w:szCs w:val="20"/>
                <w:color w:val="auto"/>
              </w:rPr>
            </w:pPr>
            <w:r>
              <w:rPr>
                <w:rFonts w:ascii="Calibri" w:cs="Calibri" w:eastAsia="Calibri" w:hAnsi="Calibri"/>
                <w:sz w:val="13"/>
                <w:szCs w:val="13"/>
                <w:b w:val="1"/>
                <w:bCs w:val="1"/>
                <w:color w:val="FFFFFF"/>
              </w:rPr>
              <w:t>Tons</w:t>
            </w:r>
          </w:p>
        </w:tc>
        <w:tc>
          <w:tcPr>
            <w:tcW w:w="1380" w:type="dxa"/>
            <w:vAlign w:val="bottom"/>
            <w:tcBorders>
              <w:right w:val="single" w:sz="8" w:color="007CBA"/>
            </w:tcBorders>
            <w:shd w:val="clear" w:color="auto" w:fill="007CBA"/>
          </w:tcPr>
          <w:p>
            <w:pPr>
              <w:spacing w:after="0"/>
              <w:rPr>
                <w:sz w:val="13"/>
                <w:szCs w:val="13"/>
                <w:color w:val="auto"/>
              </w:rPr>
            </w:pPr>
          </w:p>
        </w:tc>
        <w:tc>
          <w:tcPr>
            <w:tcW w:w="1860" w:type="dxa"/>
            <w:vAlign w:val="bottom"/>
            <w:tcBorders>
              <w:right w:val="single" w:sz="8" w:color="007CBA"/>
            </w:tcBorders>
            <w:shd w:val="clear" w:color="auto" w:fill="007CBA"/>
          </w:tcPr>
          <w:p>
            <w:pPr>
              <w:jc w:val="right"/>
              <w:ind w:right="809"/>
              <w:spacing w:after="0" w:line="152" w:lineRule="exact"/>
              <w:rPr>
                <w:sz w:val="20"/>
                <w:szCs w:val="20"/>
                <w:color w:val="auto"/>
              </w:rPr>
            </w:pPr>
            <w:r>
              <w:rPr>
                <w:rFonts w:ascii="Calibri" w:cs="Calibri" w:eastAsia="Calibri" w:hAnsi="Calibri"/>
                <w:sz w:val="13"/>
                <w:szCs w:val="13"/>
                <w:b w:val="1"/>
                <w:bCs w:val="1"/>
                <w:color w:val="FFFFFF"/>
              </w:rPr>
              <w:t>Tons</w:t>
            </w:r>
          </w:p>
        </w:tc>
        <w:tc>
          <w:tcPr>
            <w:tcW w:w="1460" w:type="dxa"/>
            <w:vAlign w:val="bottom"/>
            <w:tcBorders>
              <w:right w:val="single" w:sz="8" w:color="007CBA"/>
            </w:tcBorders>
            <w:shd w:val="clear" w:color="auto" w:fill="007CBA"/>
          </w:tcPr>
          <w:p>
            <w:pPr>
              <w:spacing w:after="0"/>
              <w:rPr>
                <w:sz w:val="13"/>
                <w:szCs w:val="13"/>
                <w:color w:val="auto"/>
              </w:rPr>
            </w:pPr>
          </w:p>
        </w:tc>
      </w:tr>
      <w:tr>
        <w:trPr>
          <w:trHeight w:val="153"/>
        </w:trPr>
        <w:tc>
          <w:tcPr>
            <w:tcW w:w="1940" w:type="dxa"/>
            <w:vAlign w:val="bottom"/>
            <w:tcBorders>
              <w:bottom w:val="single" w:sz="8" w:color="007CBA"/>
              <w:right w:val="single" w:sz="8" w:color="007CBA"/>
            </w:tcBorders>
            <w:shd w:val="clear" w:color="auto" w:fill="007CBA"/>
          </w:tcPr>
          <w:p>
            <w:pPr>
              <w:spacing w:after="0"/>
              <w:rPr>
                <w:sz w:val="13"/>
                <w:szCs w:val="13"/>
                <w:color w:val="auto"/>
              </w:rPr>
            </w:pPr>
          </w:p>
        </w:tc>
        <w:tc>
          <w:tcPr>
            <w:tcW w:w="1540" w:type="dxa"/>
            <w:vAlign w:val="bottom"/>
            <w:tcBorders>
              <w:bottom w:val="single" w:sz="8" w:color="007CBA"/>
              <w:right w:val="single" w:sz="8" w:color="007CBA"/>
            </w:tcBorders>
            <w:shd w:val="clear" w:color="auto" w:fill="007CBA"/>
          </w:tcPr>
          <w:p>
            <w:pPr>
              <w:jc w:val="right"/>
              <w:ind w:right="409"/>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380" w:type="dxa"/>
            <w:vAlign w:val="bottom"/>
            <w:tcBorders>
              <w:bottom w:val="single" w:sz="8" w:color="007CBA"/>
              <w:right w:val="single" w:sz="8" w:color="007CBA"/>
            </w:tcBorders>
            <w:shd w:val="clear" w:color="auto" w:fill="007CBA"/>
          </w:tcPr>
          <w:p>
            <w:pPr>
              <w:ind w:left="240"/>
              <w:spacing w:after="0" w:line="149" w:lineRule="exact"/>
              <w:rPr>
                <w:sz w:val="20"/>
                <w:szCs w:val="20"/>
                <w:color w:val="auto"/>
              </w:rPr>
            </w:pPr>
            <w:r>
              <w:rPr>
                <w:rFonts w:ascii="Calibri" w:cs="Calibri" w:eastAsia="Calibri" w:hAnsi="Calibri"/>
                <w:sz w:val="13"/>
                <w:szCs w:val="13"/>
                <w:b w:val="1"/>
                <w:bCs w:val="1"/>
                <w:color w:val="FFFFFF"/>
              </w:rPr>
              <w:t>Grades/Qualites</w:t>
            </w:r>
          </w:p>
        </w:tc>
        <w:tc>
          <w:tcPr>
            <w:tcW w:w="1680" w:type="dxa"/>
            <w:vAlign w:val="bottom"/>
            <w:tcBorders>
              <w:bottom w:val="single" w:sz="8" w:color="007CBA"/>
              <w:right w:val="single" w:sz="8" w:color="007CBA"/>
            </w:tcBorders>
            <w:shd w:val="clear" w:color="auto" w:fill="007CBA"/>
          </w:tcPr>
          <w:p>
            <w:pPr>
              <w:jc w:val="right"/>
              <w:ind w:right="449"/>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380" w:type="dxa"/>
            <w:vAlign w:val="bottom"/>
            <w:tcBorders>
              <w:bottom w:val="single" w:sz="8" w:color="007CBA"/>
              <w:right w:val="single" w:sz="8" w:color="007CBA"/>
            </w:tcBorders>
            <w:shd w:val="clear" w:color="auto" w:fill="007CBA"/>
          </w:tcPr>
          <w:p>
            <w:pPr>
              <w:ind w:left="240"/>
              <w:spacing w:after="0" w:line="149" w:lineRule="exact"/>
              <w:rPr>
                <w:sz w:val="20"/>
                <w:szCs w:val="20"/>
                <w:color w:val="auto"/>
              </w:rPr>
            </w:pPr>
            <w:r>
              <w:rPr>
                <w:rFonts w:ascii="Calibri" w:cs="Calibri" w:eastAsia="Calibri" w:hAnsi="Calibri"/>
                <w:sz w:val="13"/>
                <w:szCs w:val="13"/>
                <w:b w:val="1"/>
                <w:bCs w:val="1"/>
                <w:color w:val="FFFFFF"/>
              </w:rPr>
              <w:t>Grades/Qualites</w:t>
            </w:r>
          </w:p>
        </w:tc>
        <w:tc>
          <w:tcPr>
            <w:tcW w:w="1860" w:type="dxa"/>
            <w:vAlign w:val="bottom"/>
            <w:tcBorders>
              <w:bottom w:val="single" w:sz="8" w:color="007CBA"/>
              <w:right w:val="single" w:sz="8" w:color="007CBA"/>
            </w:tcBorders>
            <w:shd w:val="clear" w:color="auto" w:fill="007CBA"/>
          </w:tcPr>
          <w:p>
            <w:pPr>
              <w:jc w:val="right"/>
              <w:ind w:right="549"/>
              <w:spacing w:after="0" w:line="149" w:lineRule="exact"/>
              <w:rPr>
                <w:sz w:val="20"/>
                <w:szCs w:val="20"/>
                <w:color w:val="auto"/>
              </w:rPr>
            </w:pPr>
            <w:r>
              <w:rPr>
                <w:rFonts w:ascii="Calibri" w:cs="Calibri" w:eastAsia="Calibri" w:hAnsi="Calibri"/>
                <w:sz w:val="13"/>
                <w:szCs w:val="13"/>
                <w:b w:val="1"/>
                <w:bCs w:val="1"/>
                <w:color w:val="FFFFFF"/>
              </w:rPr>
              <w:t>(in thousands)</w:t>
            </w:r>
          </w:p>
        </w:tc>
        <w:tc>
          <w:tcPr>
            <w:tcW w:w="1460" w:type="dxa"/>
            <w:vAlign w:val="bottom"/>
            <w:tcBorders>
              <w:bottom w:val="single" w:sz="8" w:color="007CBA"/>
              <w:right w:val="single" w:sz="8" w:color="007CBA"/>
            </w:tcBorders>
            <w:shd w:val="clear" w:color="auto" w:fill="007CBA"/>
          </w:tcPr>
          <w:p>
            <w:pPr>
              <w:ind w:left="280"/>
              <w:spacing w:after="0" w:line="149" w:lineRule="exact"/>
              <w:rPr>
                <w:sz w:val="20"/>
                <w:szCs w:val="20"/>
                <w:color w:val="auto"/>
              </w:rPr>
            </w:pPr>
            <w:r>
              <w:rPr>
                <w:rFonts w:ascii="Calibri" w:cs="Calibri" w:eastAsia="Calibri" w:hAnsi="Calibri"/>
                <w:sz w:val="13"/>
                <w:szCs w:val="13"/>
                <w:b w:val="1"/>
                <w:bCs w:val="1"/>
                <w:color w:val="FFFFFF"/>
              </w:rPr>
              <w:t>Grades/Qualites</w:t>
            </w:r>
          </w:p>
        </w:tc>
      </w:tr>
      <w:tr>
        <w:trPr>
          <w:trHeight w:val="183"/>
        </w:trPr>
        <w:tc>
          <w:tcPr>
            <w:tcW w:w="1940" w:type="dxa"/>
            <w:vAlign w:val="bottom"/>
            <w:tcBorders>
              <w:bottom w:val="single" w:sz="8" w:color="DEEBF7"/>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b w:val="1"/>
                <w:bCs w:val="1"/>
                <w:color w:val="auto"/>
              </w:rPr>
              <w:t>Crushed Stone</w:t>
            </w:r>
          </w:p>
        </w:tc>
        <w:tc>
          <w:tcPr>
            <w:tcW w:w="1540" w:type="dxa"/>
            <w:vAlign w:val="bottom"/>
            <w:tcBorders>
              <w:bottom w:val="single" w:sz="8" w:color="DEEBF7"/>
              <w:right w:val="single" w:sz="8" w:color="007CBA"/>
            </w:tcBorders>
            <w:shd w:val="clear" w:color="auto" w:fill="DEEBF7"/>
          </w:tcPr>
          <w:p>
            <w:pPr>
              <w:spacing w:after="0"/>
              <w:rPr>
                <w:sz w:val="15"/>
                <w:szCs w:val="15"/>
                <w:color w:val="auto"/>
              </w:rPr>
            </w:pPr>
          </w:p>
        </w:tc>
        <w:tc>
          <w:tcPr>
            <w:tcW w:w="1380" w:type="dxa"/>
            <w:vAlign w:val="bottom"/>
            <w:tcBorders>
              <w:bottom w:val="single" w:sz="8" w:color="DEEBF7"/>
              <w:right w:val="single" w:sz="8" w:color="007CBA"/>
            </w:tcBorders>
            <w:shd w:val="clear" w:color="auto" w:fill="DEEBF7"/>
          </w:tcPr>
          <w:p>
            <w:pPr>
              <w:spacing w:after="0"/>
              <w:rPr>
                <w:sz w:val="15"/>
                <w:szCs w:val="15"/>
                <w:color w:val="auto"/>
              </w:rPr>
            </w:pPr>
          </w:p>
        </w:tc>
        <w:tc>
          <w:tcPr>
            <w:tcW w:w="1680" w:type="dxa"/>
            <w:vAlign w:val="bottom"/>
            <w:tcBorders>
              <w:bottom w:val="single" w:sz="8" w:color="DEEBF7"/>
              <w:right w:val="single" w:sz="8" w:color="007CBA"/>
            </w:tcBorders>
            <w:shd w:val="clear" w:color="auto" w:fill="DEEBF7"/>
          </w:tcPr>
          <w:p>
            <w:pPr>
              <w:spacing w:after="0"/>
              <w:rPr>
                <w:sz w:val="15"/>
                <w:szCs w:val="15"/>
                <w:color w:val="auto"/>
              </w:rPr>
            </w:pPr>
          </w:p>
        </w:tc>
        <w:tc>
          <w:tcPr>
            <w:tcW w:w="1380" w:type="dxa"/>
            <w:vAlign w:val="bottom"/>
            <w:tcBorders>
              <w:bottom w:val="single" w:sz="8" w:color="DEEBF7"/>
              <w:right w:val="single" w:sz="8" w:color="007CBA"/>
            </w:tcBorders>
            <w:shd w:val="clear" w:color="auto" w:fill="DEEBF7"/>
          </w:tcPr>
          <w:p>
            <w:pPr>
              <w:spacing w:after="0"/>
              <w:rPr>
                <w:sz w:val="15"/>
                <w:szCs w:val="15"/>
                <w:color w:val="auto"/>
              </w:rPr>
            </w:pPr>
          </w:p>
        </w:tc>
        <w:tc>
          <w:tcPr>
            <w:tcW w:w="1860" w:type="dxa"/>
            <w:vAlign w:val="bottom"/>
            <w:tcBorders>
              <w:bottom w:val="single" w:sz="8" w:color="DEEBF7"/>
              <w:right w:val="single" w:sz="8" w:color="007CBA"/>
            </w:tcBorders>
            <w:shd w:val="clear" w:color="auto" w:fill="DEEBF7"/>
          </w:tcPr>
          <w:p>
            <w:pPr>
              <w:spacing w:after="0"/>
              <w:rPr>
                <w:sz w:val="15"/>
                <w:szCs w:val="15"/>
                <w:color w:val="auto"/>
              </w:rPr>
            </w:pPr>
          </w:p>
        </w:tc>
        <w:tc>
          <w:tcPr>
            <w:tcW w:w="1460" w:type="dxa"/>
            <w:vAlign w:val="bottom"/>
            <w:tcBorders>
              <w:bottom w:val="single" w:sz="8" w:color="DEEBF7"/>
              <w:right w:val="single" w:sz="8" w:color="DEEBF7"/>
            </w:tcBorders>
            <w:shd w:val="clear" w:color="auto" w:fill="DEEBF7"/>
          </w:tcPr>
          <w:p>
            <w:pPr>
              <w:spacing w:after="0"/>
              <w:rPr>
                <w:sz w:val="15"/>
                <w:szCs w:val="15"/>
                <w:color w:val="auto"/>
              </w:rPr>
            </w:pPr>
          </w:p>
        </w:tc>
      </w:tr>
      <w:tr>
        <w:trPr>
          <w:trHeight w:val="170"/>
        </w:trPr>
        <w:tc>
          <w:tcPr>
            <w:tcW w:w="194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East Division</w:t>
            </w:r>
          </w:p>
        </w:tc>
        <w:tc>
          <w:tcPr>
            <w:tcW w:w="1540" w:type="dxa"/>
            <w:vAlign w:val="bottom"/>
            <w:tcBorders>
              <w:right w:val="single" w:sz="8" w:color="007CBA"/>
            </w:tcBorders>
          </w:tcPr>
          <w:p>
            <w:pPr>
              <w:jc w:val="right"/>
              <w:ind w:right="89"/>
              <w:spacing w:after="0"/>
              <w:rPr>
                <w:sz w:val="20"/>
                <w:szCs w:val="20"/>
                <w:color w:val="auto"/>
              </w:rPr>
            </w:pPr>
            <w:r>
              <w:rPr>
                <w:rFonts w:ascii="Calibri" w:cs="Calibri" w:eastAsia="Calibri" w:hAnsi="Calibri"/>
                <w:sz w:val="14"/>
                <w:szCs w:val="14"/>
                <w:color w:val="auto"/>
              </w:rPr>
              <w:t>4,489,113</w:t>
            </w:r>
          </w:p>
        </w:tc>
        <w:tc>
          <w:tcPr>
            <w:tcW w:w="1380" w:type="dxa"/>
            <w:vAlign w:val="bottom"/>
            <w:tcBorders>
              <w:right w:val="single" w:sz="8" w:color="007CBA"/>
            </w:tcBorders>
          </w:tcPr>
          <w:p>
            <w:pPr>
              <w:ind w:left="240"/>
              <w:spacing w:after="0"/>
              <w:rPr>
                <w:sz w:val="20"/>
                <w:szCs w:val="20"/>
                <w:color w:val="auto"/>
              </w:rPr>
            </w:pPr>
            <w:r>
              <w:rPr>
                <w:rFonts w:ascii="Calibri" w:cs="Calibri" w:eastAsia="Calibri" w:hAnsi="Calibri"/>
                <w:sz w:val="14"/>
                <w:szCs w:val="14"/>
                <w:color w:val="auto"/>
              </w:rPr>
              <w:t>Crushed Stone</w:t>
            </w:r>
          </w:p>
        </w:tc>
        <w:tc>
          <w:tcPr>
            <w:tcW w:w="168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3,692,657</w:t>
            </w:r>
          </w:p>
        </w:tc>
        <w:tc>
          <w:tcPr>
            <w:tcW w:w="1380" w:type="dxa"/>
            <w:vAlign w:val="bottom"/>
            <w:tcBorders>
              <w:right w:val="single" w:sz="8" w:color="007CBA"/>
            </w:tcBorders>
          </w:tcPr>
          <w:p>
            <w:pPr>
              <w:ind w:left="240"/>
              <w:spacing w:after="0"/>
              <w:rPr>
                <w:sz w:val="20"/>
                <w:szCs w:val="20"/>
                <w:color w:val="auto"/>
              </w:rPr>
            </w:pPr>
            <w:r>
              <w:rPr>
                <w:rFonts w:ascii="Calibri" w:cs="Calibri" w:eastAsia="Calibri" w:hAnsi="Calibri"/>
                <w:sz w:val="14"/>
                <w:szCs w:val="14"/>
                <w:color w:val="auto"/>
              </w:rPr>
              <w:t>Crushed Stone</w:t>
            </w:r>
          </w:p>
        </w:tc>
        <w:tc>
          <w:tcPr>
            <w:tcW w:w="186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8,181,770</w:t>
            </w:r>
          </w:p>
        </w:tc>
        <w:tc>
          <w:tcPr>
            <w:tcW w:w="1460" w:type="dxa"/>
            <w:vAlign w:val="bottom"/>
          </w:tcPr>
          <w:p>
            <w:pPr>
              <w:ind w:left="300"/>
              <w:spacing w:after="0"/>
              <w:rPr>
                <w:sz w:val="20"/>
                <w:szCs w:val="20"/>
                <w:color w:val="auto"/>
              </w:rPr>
            </w:pPr>
            <w:r>
              <w:rPr>
                <w:rFonts w:ascii="Calibri" w:cs="Calibri" w:eastAsia="Calibri" w:hAnsi="Calibri"/>
                <w:sz w:val="14"/>
                <w:szCs w:val="14"/>
                <w:color w:val="auto"/>
              </w:rPr>
              <w:t>Crushed Stone</w:t>
            </w:r>
          </w:p>
        </w:tc>
      </w:tr>
      <w:tr>
        <w:trPr>
          <w:trHeight w:val="33"/>
        </w:trPr>
        <w:tc>
          <w:tcPr>
            <w:tcW w:w="1940" w:type="dxa"/>
            <w:vAlign w:val="bottom"/>
            <w:tcBorders>
              <w:right w:val="single" w:sz="8" w:color="007CBA"/>
            </w:tcBorders>
          </w:tcPr>
          <w:p>
            <w:pPr>
              <w:spacing w:after="0"/>
              <w:rPr>
                <w:sz w:val="2"/>
                <w:szCs w:val="2"/>
                <w:color w:val="auto"/>
              </w:rPr>
            </w:pPr>
          </w:p>
        </w:tc>
        <w:tc>
          <w:tcPr>
            <w:tcW w:w="1540" w:type="dxa"/>
            <w:vAlign w:val="bottom"/>
            <w:tcBorders>
              <w:right w:val="single" w:sz="8" w:color="007CBA"/>
            </w:tcBorders>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1680" w:type="dxa"/>
            <w:vAlign w:val="bottom"/>
            <w:tcBorders>
              <w:right w:val="single" w:sz="8" w:color="007CBA"/>
            </w:tcBorders>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1860" w:type="dxa"/>
            <w:vAlign w:val="bottom"/>
            <w:tcBorders>
              <w:right w:val="single" w:sz="8" w:color="007CBA"/>
            </w:tcBorders>
          </w:tcPr>
          <w:p>
            <w:pPr>
              <w:spacing w:after="0"/>
              <w:rPr>
                <w:sz w:val="2"/>
                <w:szCs w:val="2"/>
                <w:color w:val="auto"/>
              </w:rPr>
            </w:pPr>
          </w:p>
        </w:tc>
        <w:tc>
          <w:tcPr>
            <w:tcW w:w="1460" w:type="dxa"/>
            <w:vAlign w:val="bottom"/>
          </w:tcPr>
          <w:p>
            <w:pPr>
              <w:spacing w:after="0"/>
              <w:rPr>
                <w:sz w:val="2"/>
                <w:szCs w:val="2"/>
                <w:color w:val="auto"/>
              </w:rPr>
            </w:pPr>
          </w:p>
        </w:tc>
      </w:tr>
      <w:tr>
        <w:trPr>
          <w:trHeight w:val="183"/>
        </w:trPr>
        <w:tc>
          <w:tcPr>
            <w:tcW w:w="1940" w:type="dxa"/>
            <w:vAlign w:val="bottom"/>
            <w:tcBorders>
              <w:bottom w:val="single" w:sz="8" w:color="DEEBF7"/>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Central Division</w:t>
            </w:r>
          </w:p>
        </w:tc>
        <w:tc>
          <w:tcPr>
            <w:tcW w:w="1540" w:type="dxa"/>
            <w:vAlign w:val="bottom"/>
            <w:tcBorders>
              <w:bottom w:val="single" w:sz="8" w:color="DEEBF7"/>
              <w:right w:val="single" w:sz="8" w:color="007CBA"/>
            </w:tcBorders>
            <w:shd w:val="clear" w:color="auto" w:fill="DEEBF7"/>
          </w:tcPr>
          <w:p>
            <w:pPr>
              <w:jc w:val="right"/>
              <w:ind w:right="89"/>
              <w:spacing w:after="0"/>
              <w:rPr>
                <w:sz w:val="20"/>
                <w:szCs w:val="20"/>
                <w:color w:val="auto"/>
              </w:rPr>
            </w:pPr>
            <w:r>
              <w:rPr>
                <w:rFonts w:ascii="Calibri" w:cs="Calibri" w:eastAsia="Calibri" w:hAnsi="Calibri"/>
                <w:sz w:val="14"/>
                <w:szCs w:val="14"/>
                <w:color w:val="auto"/>
              </w:rPr>
              <w:t>1,577,555</w:t>
            </w:r>
          </w:p>
        </w:tc>
        <w:tc>
          <w:tcPr>
            <w:tcW w:w="1380" w:type="dxa"/>
            <w:vAlign w:val="bottom"/>
            <w:tcBorders>
              <w:bottom w:val="single" w:sz="8" w:color="DEEBF7"/>
              <w:right w:val="single" w:sz="8" w:color="007CBA"/>
            </w:tcBorders>
            <w:shd w:val="clear" w:color="auto" w:fill="DEEBF7"/>
          </w:tcPr>
          <w:p>
            <w:pPr>
              <w:ind w:left="240"/>
              <w:spacing w:after="0"/>
              <w:rPr>
                <w:sz w:val="20"/>
                <w:szCs w:val="20"/>
                <w:color w:val="auto"/>
              </w:rPr>
            </w:pPr>
            <w:r>
              <w:rPr>
                <w:rFonts w:ascii="Calibri" w:cs="Calibri" w:eastAsia="Calibri" w:hAnsi="Calibri"/>
                <w:sz w:val="14"/>
                <w:szCs w:val="14"/>
                <w:color w:val="auto"/>
              </w:rPr>
              <w:t>Crushed Stone</w:t>
            </w:r>
          </w:p>
        </w:tc>
        <w:tc>
          <w:tcPr>
            <w:tcW w:w="168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1,215,242</w:t>
            </w:r>
          </w:p>
        </w:tc>
        <w:tc>
          <w:tcPr>
            <w:tcW w:w="1380" w:type="dxa"/>
            <w:vAlign w:val="bottom"/>
            <w:tcBorders>
              <w:bottom w:val="single" w:sz="8" w:color="DEEBF7"/>
              <w:right w:val="single" w:sz="8" w:color="007CBA"/>
            </w:tcBorders>
            <w:shd w:val="clear" w:color="auto" w:fill="DEEBF7"/>
          </w:tcPr>
          <w:p>
            <w:pPr>
              <w:ind w:left="240"/>
              <w:spacing w:after="0"/>
              <w:rPr>
                <w:sz w:val="20"/>
                <w:szCs w:val="20"/>
                <w:color w:val="auto"/>
              </w:rPr>
            </w:pPr>
            <w:r>
              <w:rPr>
                <w:rFonts w:ascii="Calibri" w:cs="Calibri" w:eastAsia="Calibri" w:hAnsi="Calibri"/>
                <w:sz w:val="14"/>
                <w:szCs w:val="14"/>
                <w:color w:val="auto"/>
              </w:rPr>
              <w:t>Crushed Stone</w:t>
            </w:r>
          </w:p>
        </w:tc>
        <w:tc>
          <w:tcPr>
            <w:tcW w:w="186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2,792,797</w:t>
            </w:r>
          </w:p>
        </w:tc>
        <w:tc>
          <w:tcPr>
            <w:tcW w:w="1460" w:type="dxa"/>
            <w:vAlign w:val="bottom"/>
            <w:tcBorders>
              <w:bottom w:val="single" w:sz="8" w:color="DEEBF7"/>
              <w:right w:val="single" w:sz="8" w:color="DEEBF7"/>
            </w:tcBorders>
            <w:shd w:val="clear" w:color="auto" w:fill="DEEBF7"/>
          </w:tcPr>
          <w:p>
            <w:pPr>
              <w:ind w:left="300"/>
              <w:spacing w:after="0"/>
              <w:rPr>
                <w:sz w:val="20"/>
                <w:szCs w:val="20"/>
                <w:color w:val="auto"/>
              </w:rPr>
            </w:pPr>
            <w:r>
              <w:rPr>
                <w:rFonts w:ascii="Calibri" w:cs="Calibri" w:eastAsia="Calibri" w:hAnsi="Calibri"/>
                <w:sz w:val="14"/>
                <w:szCs w:val="14"/>
                <w:color w:val="auto"/>
              </w:rPr>
              <w:t>Crushed Stone</w:t>
            </w:r>
          </w:p>
        </w:tc>
      </w:tr>
      <w:tr>
        <w:trPr>
          <w:trHeight w:val="203"/>
        </w:trPr>
        <w:tc>
          <w:tcPr>
            <w:tcW w:w="194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Southwest Division</w:t>
            </w:r>
          </w:p>
        </w:tc>
        <w:tc>
          <w:tcPr>
            <w:tcW w:w="1540" w:type="dxa"/>
            <w:vAlign w:val="bottom"/>
            <w:tcBorders>
              <w:right w:val="single" w:sz="8" w:color="007CBA"/>
            </w:tcBorders>
          </w:tcPr>
          <w:p>
            <w:pPr>
              <w:jc w:val="right"/>
              <w:ind w:right="89"/>
              <w:spacing w:after="0"/>
              <w:rPr>
                <w:sz w:val="20"/>
                <w:szCs w:val="20"/>
                <w:color w:val="auto"/>
              </w:rPr>
            </w:pPr>
            <w:r>
              <w:rPr>
                <w:rFonts w:ascii="Calibri" w:cs="Calibri" w:eastAsia="Calibri" w:hAnsi="Calibri"/>
                <w:sz w:val="14"/>
                <w:szCs w:val="14"/>
                <w:color w:val="auto"/>
              </w:rPr>
              <w:t>2,212,061</w:t>
            </w:r>
          </w:p>
        </w:tc>
        <w:tc>
          <w:tcPr>
            <w:tcW w:w="1380" w:type="dxa"/>
            <w:vAlign w:val="bottom"/>
            <w:tcBorders>
              <w:right w:val="single" w:sz="8" w:color="007CBA"/>
            </w:tcBorders>
          </w:tcPr>
          <w:p>
            <w:pPr>
              <w:ind w:left="240"/>
              <w:spacing w:after="0"/>
              <w:rPr>
                <w:sz w:val="20"/>
                <w:szCs w:val="20"/>
                <w:color w:val="auto"/>
              </w:rPr>
            </w:pPr>
            <w:r>
              <w:rPr>
                <w:rFonts w:ascii="Calibri" w:cs="Calibri" w:eastAsia="Calibri" w:hAnsi="Calibri"/>
                <w:sz w:val="14"/>
                <w:szCs w:val="14"/>
                <w:color w:val="auto"/>
              </w:rPr>
              <w:t>Crushed Stone</w:t>
            </w:r>
          </w:p>
        </w:tc>
        <w:tc>
          <w:tcPr>
            <w:tcW w:w="168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1,697,084</w:t>
            </w:r>
          </w:p>
        </w:tc>
        <w:tc>
          <w:tcPr>
            <w:tcW w:w="1380" w:type="dxa"/>
            <w:vAlign w:val="bottom"/>
            <w:tcBorders>
              <w:right w:val="single" w:sz="8" w:color="007CBA"/>
            </w:tcBorders>
          </w:tcPr>
          <w:p>
            <w:pPr>
              <w:ind w:left="240"/>
              <w:spacing w:after="0"/>
              <w:rPr>
                <w:sz w:val="20"/>
                <w:szCs w:val="20"/>
                <w:color w:val="auto"/>
              </w:rPr>
            </w:pPr>
            <w:r>
              <w:rPr>
                <w:rFonts w:ascii="Calibri" w:cs="Calibri" w:eastAsia="Calibri" w:hAnsi="Calibri"/>
                <w:sz w:val="14"/>
                <w:szCs w:val="14"/>
                <w:color w:val="auto"/>
              </w:rPr>
              <w:t>Crushed Stone</w:t>
            </w:r>
          </w:p>
        </w:tc>
        <w:tc>
          <w:tcPr>
            <w:tcW w:w="186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3,909,145</w:t>
            </w:r>
          </w:p>
        </w:tc>
        <w:tc>
          <w:tcPr>
            <w:tcW w:w="1460" w:type="dxa"/>
            <w:vAlign w:val="bottom"/>
          </w:tcPr>
          <w:p>
            <w:pPr>
              <w:ind w:left="300"/>
              <w:spacing w:after="0"/>
              <w:rPr>
                <w:sz w:val="20"/>
                <w:szCs w:val="20"/>
                <w:color w:val="auto"/>
              </w:rPr>
            </w:pPr>
            <w:r>
              <w:rPr>
                <w:rFonts w:ascii="Calibri" w:cs="Calibri" w:eastAsia="Calibri" w:hAnsi="Calibri"/>
                <w:sz w:val="14"/>
                <w:szCs w:val="14"/>
                <w:color w:val="auto"/>
              </w:rPr>
              <w:t>Crushed Stone</w:t>
            </w:r>
          </w:p>
        </w:tc>
      </w:tr>
      <w:tr>
        <w:trPr>
          <w:trHeight w:val="208"/>
        </w:trPr>
        <w:tc>
          <w:tcPr>
            <w:tcW w:w="1940" w:type="dxa"/>
            <w:vAlign w:val="bottom"/>
            <w:tcBorders>
              <w:bottom w:val="single" w:sz="8" w:color="DEEBF7"/>
              <w:right w:val="single" w:sz="8" w:color="DEEBF7"/>
            </w:tcBorders>
            <w:shd w:val="clear" w:color="auto" w:fill="DEEBF7"/>
          </w:tcPr>
          <w:p>
            <w:pPr>
              <w:ind w:left="20"/>
              <w:spacing w:after="0"/>
              <w:rPr>
                <w:sz w:val="20"/>
                <w:szCs w:val="20"/>
                <w:color w:val="auto"/>
              </w:rPr>
            </w:pPr>
            <w:r>
              <w:rPr>
                <w:rFonts w:ascii="Calibri" w:cs="Calibri" w:eastAsia="Calibri" w:hAnsi="Calibri"/>
                <w:sz w:val="14"/>
                <w:szCs w:val="14"/>
                <w:color w:val="auto"/>
              </w:rPr>
              <w:t>West Division</w:t>
            </w:r>
          </w:p>
        </w:tc>
        <w:tc>
          <w:tcPr>
            <w:tcW w:w="1540" w:type="dxa"/>
            <w:vAlign w:val="bottom"/>
            <w:tcBorders>
              <w:bottom w:val="single" w:sz="8" w:color="DEEBF7"/>
              <w:right w:val="single" w:sz="8" w:color="DEEBF7"/>
            </w:tcBorders>
            <w:shd w:val="clear" w:color="auto" w:fill="DEEBF7"/>
          </w:tcPr>
          <w:p>
            <w:pPr>
              <w:jc w:val="right"/>
              <w:ind w:right="89"/>
              <w:spacing w:after="0"/>
              <w:rPr>
                <w:sz w:val="20"/>
                <w:szCs w:val="20"/>
                <w:color w:val="auto"/>
              </w:rPr>
            </w:pPr>
            <w:r>
              <w:rPr>
                <w:rFonts w:ascii="Calibri" w:cs="Calibri" w:eastAsia="Calibri" w:hAnsi="Calibri"/>
                <w:sz w:val="14"/>
                <w:szCs w:val="14"/>
                <w:color w:val="auto"/>
              </w:rPr>
              <w:t>297,904</w:t>
            </w:r>
          </w:p>
        </w:tc>
        <w:tc>
          <w:tcPr>
            <w:tcW w:w="1380" w:type="dxa"/>
            <w:vAlign w:val="bottom"/>
            <w:tcBorders>
              <w:bottom w:val="single" w:sz="8" w:color="DEEBF7"/>
              <w:right w:val="single" w:sz="8" w:color="DEEBF7"/>
            </w:tcBorders>
            <w:shd w:val="clear" w:color="auto" w:fill="DEEBF7"/>
          </w:tcPr>
          <w:p>
            <w:pPr>
              <w:ind w:left="240"/>
              <w:spacing w:after="0"/>
              <w:rPr>
                <w:sz w:val="20"/>
                <w:szCs w:val="20"/>
                <w:color w:val="auto"/>
              </w:rPr>
            </w:pPr>
            <w:r>
              <w:rPr>
                <w:rFonts w:ascii="Calibri" w:cs="Calibri" w:eastAsia="Calibri" w:hAnsi="Calibri"/>
                <w:sz w:val="14"/>
                <w:szCs w:val="14"/>
                <w:color w:val="auto"/>
              </w:rPr>
              <w:t>Crushed Stone</w:t>
            </w:r>
          </w:p>
        </w:tc>
        <w:tc>
          <w:tcPr>
            <w:tcW w:w="1680" w:type="dxa"/>
            <w:vAlign w:val="bottom"/>
            <w:tcBorders>
              <w:bottom w:val="single" w:sz="8" w:color="DEEBF7"/>
              <w:right w:val="single" w:sz="8" w:color="DEEBF7"/>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600,000</w:t>
            </w:r>
          </w:p>
        </w:tc>
        <w:tc>
          <w:tcPr>
            <w:tcW w:w="1380" w:type="dxa"/>
            <w:vAlign w:val="bottom"/>
            <w:tcBorders>
              <w:bottom w:val="single" w:sz="8" w:color="DEEBF7"/>
              <w:right w:val="single" w:sz="8" w:color="DEEBF7"/>
            </w:tcBorders>
            <w:shd w:val="clear" w:color="auto" w:fill="DEEBF7"/>
          </w:tcPr>
          <w:p>
            <w:pPr>
              <w:ind w:left="240"/>
              <w:spacing w:after="0"/>
              <w:rPr>
                <w:sz w:val="20"/>
                <w:szCs w:val="20"/>
                <w:color w:val="auto"/>
              </w:rPr>
            </w:pPr>
            <w:r>
              <w:rPr>
                <w:rFonts w:ascii="Calibri" w:cs="Calibri" w:eastAsia="Calibri" w:hAnsi="Calibri"/>
                <w:sz w:val="14"/>
                <w:szCs w:val="14"/>
                <w:color w:val="auto"/>
              </w:rPr>
              <w:t>Crushed Stone</w:t>
            </w:r>
          </w:p>
        </w:tc>
        <w:tc>
          <w:tcPr>
            <w:tcW w:w="1860" w:type="dxa"/>
            <w:vAlign w:val="bottom"/>
            <w:tcBorders>
              <w:bottom w:val="single" w:sz="8" w:color="DEEBF7"/>
              <w:right w:val="single" w:sz="8" w:color="DEEBF7"/>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897,904</w:t>
            </w:r>
          </w:p>
        </w:tc>
        <w:tc>
          <w:tcPr>
            <w:tcW w:w="1460" w:type="dxa"/>
            <w:vAlign w:val="bottom"/>
            <w:tcBorders>
              <w:bottom w:val="single" w:sz="8" w:color="DEEBF7"/>
              <w:right w:val="single" w:sz="8" w:color="DEEBF7"/>
            </w:tcBorders>
            <w:shd w:val="clear" w:color="auto" w:fill="DEEBF7"/>
          </w:tcPr>
          <w:p>
            <w:pPr>
              <w:ind w:left="300"/>
              <w:spacing w:after="0"/>
              <w:rPr>
                <w:sz w:val="20"/>
                <w:szCs w:val="20"/>
                <w:color w:val="auto"/>
              </w:rPr>
            </w:pPr>
            <w:r>
              <w:rPr>
                <w:rFonts w:ascii="Calibri" w:cs="Calibri" w:eastAsia="Calibri" w:hAnsi="Calibri"/>
                <w:sz w:val="14"/>
                <w:szCs w:val="14"/>
                <w:color w:val="auto"/>
              </w:rPr>
              <w:t>Crushed Stone</w:t>
            </w:r>
          </w:p>
        </w:tc>
      </w:tr>
      <w:tr>
        <w:trPr>
          <w:trHeight w:val="163"/>
        </w:trPr>
        <w:tc>
          <w:tcPr>
            <w:tcW w:w="194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Total crushed stone</w:t>
            </w:r>
          </w:p>
        </w:tc>
        <w:tc>
          <w:tcPr>
            <w:tcW w:w="1540" w:type="dxa"/>
            <w:vAlign w:val="bottom"/>
            <w:tcBorders>
              <w:top w:val="single" w:sz="8" w:color="auto"/>
            </w:tcBorders>
          </w:tcPr>
          <w:p>
            <w:pPr>
              <w:jc w:val="right"/>
              <w:ind w:right="89"/>
              <w:spacing w:after="0" w:line="164" w:lineRule="exact"/>
              <w:rPr>
                <w:sz w:val="20"/>
                <w:szCs w:val="20"/>
                <w:color w:val="auto"/>
              </w:rPr>
            </w:pPr>
            <w:r>
              <w:rPr>
                <w:rFonts w:ascii="Calibri" w:cs="Calibri" w:eastAsia="Calibri" w:hAnsi="Calibri"/>
                <w:sz w:val="14"/>
                <w:szCs w:val="14"/>
                <w:color w:val="auto"/>
              </w:rPr>
              <w:t>8,576,633</w:t>
            </w:r>
          </w:p>
        </w:tc>
        <w:tc>
          <w:tcPr>
            <w:tcW w:w="13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ind w:right="69"/>
              <w:spacing w:after="0" w:line="164" w:lineRule="exact"/>
              <w:rPr>
                <w:sz w:val="20"/>
                <w:szCs w:val="20"/>
                <w:color w:val="auto"/>
              </w:rPr>
            </w:pPr>
            <w:r>
              <w:rPr>
                <w:rFonts w:ascii="Calibri" w:cs="Calibri" w:eastAsia="Calibri" w:hAnsi="Calibri"/>
                <w:sz w:val="14"/>
                <w:szCs w:val="14"/>
                <w:color w:val="auto"/>
              </w:rPr>
              <w:t>7,204,983</w:t>
            </w:r>
          </w:p>
        </w:tc>
        <w:tc>
          <w:tcPr>
            <w:tcW w:w="138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jc w:val="right"/>
              <w:ind w:right="69"/>
              <w:spacing w:after="0" w:line="164" w:lineRule="exact"/>
              <w:rPr>
                <w:sz w:val="20"/>
                <w:szCs w:val="20"/>
                <w:color w:val="auto"/>
              </w:rPr>
            </w:pPr>
            <w:r>
              <w:rPr>
                <w:rFonts w:ascii="Calibri" w:cs="Calibri" w:eastAsia="Calibri" w:hAnsi="Calibri"/>
                <w:sz w:val="14"/>
                <w:szCs w:val="14"/>
                <w:color w:val="auto"/>
              </w:rPr>
              <w:t>15,781,616</w:t>
            </w:r>
          </w:p>
        </w:tc>
        <w:tc>
          <w:tcPr>
            <w:tcW w:w="1460" w:type="dxa"/>
            <w:vAlign w:val="bottom"/>
            <w:tcBorders>
              <w:top w:val="single" w:sz="8" w:color="auto"/>
            </w:tcBorders>
          </w:tcPr>
          <w:p>
            <w:pPr>
              <w:spacing w:after="0"/>
              <w:rPr>
                <w:sz w:val="14"/>
                <w:szCs w:val="14"/>
                <w:color w:val="auto"/>
              </w:rPr>
            </w:pPr>
          </w:p>
        </w:tc>
      </w:tr>
      <w:tr>
        <w:trPr>
          <w:trHeight w:val="33"/>
        </w:trPr>
        <w:tc>
          <w:tcPr>
            <w:tcW w:w="1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6"/>
        </w:trPr>
        <w:tc>
          <w:tcPr>
            <w:tcW w:w="1940" w:type="dxa"/>
            <w:vAlign w:val="bottom"/>
            <w:tcBorders>
              <w:bottom w:val="single" w:sz="8" w:color="DEEBF7"/>
              <w:right w:val="single" w:sz="8" w:color="007CBA"/>
            </w:tcBorders>
            <w:shd w:val="clear" w:color="auto" w:fill="DEEBF7"/>
          </w:tcPr>
          <w:p>
            <w:pPr>
              <w:ind w:left="20"/>
              <w:spacing w:after="0" w:line="164" w:lineRule="exact"/>
              <w:rPr>
                <w:sz w:val="20"/>
                <w:szCs w:val="20"/>
                <w:color w:val="auto"/>
              </w:rPr>
            </w:pPr>
            <w:r>
              <w:rPr>
                <w:rFonts w:ascii="Calibri" w:cs="Calibri" w:eastAsia="Calibri" w:hAnsi="Calibri"/>
                <w:sz w:val="14"/>
                <w:szCs w:val="14"/>
                <w:b w:val="1"/>
                <w:bCs w:val="1"/>
                <w:color w:val="auto"/>
              </w:rPr>
              <w:t>Sand &amp; Gravel</w:t>
            </w:r>
          </w:p>
        </w:tc>
        <w:tc>
          <w:tcPr>
            <w:tcW w:w="1540" w:type="dxa"/>
            <w:vAlign w:val="bottom"/>
            <w:tcBorders>
              <w:bottom w:val="single" w:sz="8" w:color="DEEBF7"/>
              <w:right w:val="single" w:sz="8" w:color="007CBA"/>
            </w:tcBorders>
            <w:shd w:val="clear" w:color="auto" w:fill="DEEBF7"/>
          </w:tcPr>
          <w:p>
            <w:pPr>
              <w:spacing w:after="0"/>
              <w:rPr>
                <w:sz w:val="15"/>
                <w:szCs w:val="15"/>
                <w:color w:val="auto"/>
              </w:rPr>
            </w:pPr>
          </w:p>
        </w:tc>
        <w:tc>
          <w:tcPr>
            <w:tcW w:w="1380" w:type="dxa"/>
            <w:vAlign w:val="bottom"/>
            <w:tcBorders>
              <w:bottom w:val="single" w:sz="8" w:color="DEEBF7"/>
              <w:right w:val="single" w:sz="8" w:color="007CBA"/>
            </w:tcBorders>
            <w:shd w:val="clear" w:color="auto" w:fill="DEEBF7"/>
          </w:tcPr>
          <w:p>
            <w:pPr>
              <w:spacing w:after="0"/>
              <w:rPr>
                <w:sz w:val="15"/>
                <w:szCs w:val="15"/>
                <w:color w:val="auto"/>
              </w:rPr>
            </w:pPr>
          </w:p>
        </w:tc>
        <w:tc>
          <w:tcPr>
            <w:tcW w:w="1680" w:type="dxa"/>
            <w:vAlign w:val="bottom"/>
            <w:tcBorders>
              <w:bottom w:val="single" w:sz="8" w:color="DEEBF7"/>
              <w:right w:val="single" w:sz="8" w:color="007CBA"/>
            </w:tcBorders>
            <w:shd w:val="clear" w:color="auto" w:fill="DEEBF7"/>
          </w:tcPr>
          <w:p>
            <w:pPr>
              <w:spacing w:after="0"/>
              <w:rPr>
                <w:sz w:val="15"/>
                <w:szCs w:val="15"/>
                <w:color w:val="auto"/>
              </w:rPr>
            </w:pPr>
          </w:p>
        </w:tc>
        <w:tc>
          <w:tcPr>
            <w:tcW w:w="1380" w:type="dxa"/>
            <w:vAlign w:val="bottom"/>
            <w:tcBorders>
              <w:bottom w:val="single" w:sz="8" w:color="DEEBF7"/>
              <w:right w:val="single" w:sz="8" w:color="007CBA"/>
            </w:tcBorders>
            <w:shd w:val="clear" w:color="auto" w:fill="DEEBF7"/>
          </w:tcPr>
          <w:p>
            <w:pPr>
              <w:spacing w:after="0"/>
              <w:rPr>
                <w:sz w:val="15"/>
                <w:szCs w:val="15"/>
                <w:color w:val="auto"/>
              </w:rPr>
            </w:pPr>
          </w:p>
        </w:tc>
        <w:tc>
          <w:tcPr>
            <w:tcW w:w="1860" w:type="dxa"/>
            <w:vAlign w:val="bottom"/>
            <w:tcBorders>
              <w:bottom w:val="single" w:sz="8" w:color="DEEBF7"/>
              <w:right w:val="single" w:sz="8" w:color="007CBA"/>
            </w:tcBorders>
            <w:shd w:val="clear" w:color="auto" w:fill="DEEBF7"/>
          </w:tcPr>
          <w:p>
            <w:pPr>
              <w:spacing w:after="0"/>
              <w:rPr>
                <w:sz w:val="15"/>
                <w:szCs w:val="15"/>
                <w:color w:val="auto"/>
              </w:rPr>
            </w:pPr>
          </w:p>
        </w:tc>
        <w:tc>
          <w:tcPr>
            <w:tcW w:w="1460" w:type="dxa"/>
            <w:vAlign w:val="bottom"/>
            <w:tcBorders>
              <w:bottom w:val="single" w:sz="8" w:color="DEEBF7"/>
              <w:right w:val="single" w:sz="8" w:color="DEEBF7"/>
            </w:tcBorders>
            <w:shd w:val="clear" w:color="auto" w:fill="DEEBF7"/>
          </w:tcPr>
          <w:p>
            <w:pPr>
              <w:spacing w:after="0"/>
              <w:rPr>
                <w:sz w:val="15"/>
                <w:szCs w:val="15"/>
                <w:color w:val="auto"/>
              </w:rPr>
            </w:pPr>
          </w:p>
        </w:tc>
      </w:tr>
      <w:tr>
        <w:trPr>
          <w:trHeight w:val="170"/>
        </w:trPr>
        <w:tc>
          <w:tcPr>
            <w:tcW w:w="194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East Division</w:t>
            </w:r>
          </w:p>
        </w:tc>
        <w:tc>
          <w:tcPr>
            <w:tcW w:w="1540" w:type="dxa"/>
            <w:vAlign w:val="bottom"/>
            <w:tcBorders>
              <w:right w:val="single" w:sz="8" w:color="007CBA"/>
            </w:tcBorders>
          </w:tcPr>
          <w:p>
            <w:pPr>
              <w:jc w:val="right"/>
              <w:ind w:right="89"/>
              <w:spacing w:after="0"/>
              <w:rPr>
                <w:sz w:val="20"/>
                <w:szCs w:val="20"/>
                <w:color w:val="auto"/>
              </w:rPr>
            </w:pPr>
            <w:r>
              <w:rPr>
                <w:rFonts w:ascii="Calibri" w:cs="Calibri" w:eastAsia="Calibri" w:hAnsi="Calibri"/>
                <w:sz w:val="14"/>
                <w:szCs w:val="14"/>
                <w:color w:val="auto"/>
              </w:rPr>
              <w:t>61,645</w:t>
            </w:r>
          </w:p>
        </w:tc>
        <w:tc>
          <w:tcPr>
            <w:tcW w:w="138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Sand &amp; Gravel</w:t>
            </w:r>
          </w:p>
        </w:tc>
        <w:tc>
          <w:tcPr>
            <w:tcW w:w="168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109,419</w:t>
            </w:r>
          </w:p>
        </w:tc>
        <w:tc>
          <w:tcPr>
            <w:tcW w:w="138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Sand &amp; Gravel</w:t>
            </w:r>
          </w:p>
        </w:tc>
        <w:tc>
          <w:tcPr>
            <w:tcW w:w="186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171,064</w:t>
            </w:r>
          </w:p>
        </w:tc>
        <w:tc>
          <w:tcPr>
            <w:tcW w:w="1460" w:type="dxa"/>
            <w:vAlign w:val="bottom"/>
            <w:tcBorders>
              <w:right w:val="single" w:sz="8" w:color="007CBA"/>
            </w:tcBorders>
          </w:tcPr>
          <w:p>
            <w:pPr>
              <w:ind w:left="300"/>
              <w:spacing w:after="0"/>
              <w:rPr>
                <w:sz w:val="20"/>
                <w:szCs w:val="20"/>
                <w:color w:val="auto"/>
              </w:rPr>
            </w:pPr>
            <w:r>
              <w:rPr>
                <w:rFonts w:ascii="Calibri" w:cs="Calibri" w:eastAsia="Calibri" w:hAnsi="Calibri"/>
                <w:sz w:val="14"/>
                <w:szCs w:val="14"/>
                <w:color w:val="auto"/>
              </w:rPr>
              <w:t>Sand &amp; Gravel</w:t>
            </w:r>
          </w:p>
        </w:tc>
      </w:tr>
      <w:tr>
        <w:trPr>
          <w:trHeight w:val="33"/>
        </w:trPr>
        <w:tc>
          <w:tcPr>
            <w:tcW w:w="1940" w:type="dxa"/>
            <w:vAlign w:val="bottom"/>
            <w:tcBorders>
              <w:right w:val="single" w:sz="8" w:color="007CBA"/>
            </w:tcBorders>
          </w:tcPr>
          <w:p>
            <w:pPr>
              <w:spacing w:after="0"/>
              <w:rPr>
                <w:sz w:val="2"/>
                <w:szCs w:val="2"/>
                <w:color w:val="auto"/>
              </w:rPr>
            </w:pPr>
          </w:p>
        </w:tc>
        <w:tc>
          <w:tcPr>
            <w:tcW w:w="1540" w:type="dxa"/>
            <w:vAlign w:val="bottom"/>
            <w:tcBorders>
              <w:right w:val="single" w:sz="8" w:color="007CBA"/>
            </w:tcBorders>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1680" w:type="dxa"/>
            <w:vAlign w:val="bottom"/>
            <w:tcBorders>
              <w:right w:val="single" w:sz="8" w:color="007CBA"/>
            </w:tcBorders>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1860" w:type="dxa"/>
            <w:vAlign w:val="bottom"/>
            <w:tcBorders>
              <w:right w:val="single" w:sz="8" w:color="007CBA"/>
            </w:tcBorders>
          </w:tcPr>
          <w:p>
            <w:pPr>
              <w:spacing w:after="0"/>
              <w:rPr>
                <w:sz w:val="2"/>
                <w:szCs w:val="2"/>
                <w:color w:val="auto"/>
              </w:rPr>
            </w:pPr>
          </w:p>
        </w:tc>
        <w:tc>
          <w:tcPr>
            <w:tcW w:w="1460" w:type="dxa"/>
            <w:vAlign w:val="bottom"/>
            <w:tcBorders>
              <w:right w:val="single" w:sz="8" w:color="007CBA"/>
            </w:tcBorders>
          </w:tcPr>
          <w:p>
            <w:pPr>
              <w:spacing w:after="0"/>
              <w:rPr>
                <w:sz w:val="2"/>
                <w:szCs w:val="2"/>
                <w:color w:val="auto"/>
              </w:rPr>
            </w:pPr>
          </w:p>
        </w:tc>
      </w:tr>
      <w:tr>
        <w:trPr>
          <w:trHeight w:val="183"/>
        </w:trPr>
        <w:tc>
          <w:tcPr>
            <w:tcW w:w="1940" w:type="dxa"/>
            <w:vAlign w:val="bottom"/>
            <w:tcBorders>
              <w:bottom w:val="single" w:sz="8" w:color="DEEBF7"/>
              <w:right w:val="single" w:sz="8" w:color="007CBA"/>
            </w:tcBorders>
            <w:shd w:val="clear" w:color="auto" w:fill="DEEBF7"/>
          </w:tcPr>
          <w:p>
            <w:pPr>
              <w:ind w:left="20"/>
              <w:spacing w:after="0"/>
              <w:rPr>
                <w:sz w:val="20"/>
                <w:szCs w:val="20"/>
                <w:color w:val="auto"/>
              </w:rPr>
            </w:pPr>
            <w:r>
              <w:rPr>
                <w:rFonts w:ascii="Calibri" w:cs="Calibri" w:eastAsia="Calibri" w:hAnsi="Calibri"/>
                <w:sz w:val="14"/>
                <w:szCs w:val="14"/>
                <w:color w:val="auto"/>
              </w:rPr>
              <w:t>Central Division</w:t>
            </w:r>
          </w:p>
        </w:tc>
        <w:tc>
          <w:tcPr>
            <w:tcW w:w="1540" w:type="dxa"/>
            <w:vAlign w:val="bottom"/>
            <w:tcBorders>
              <w:bottom w:val="single" w:sz="8" w:color="DEEBF7"/>
              <w:right w:val="single" w:sz="8" w:color="007CBA"/>
            </w:tcBorders>
            <w:shd w:val="clear" w:color="auto" w:fill="DEEBF7"/>
          </w:tcPr>
          <w:p>
            <w:pPr>
              <w:jc w:val="right"/>
              <w:ind w:right="89"/>
              <w:spacing w:after="0"/>
              <w:rPr>
                <w:sz w:val="20"/>
                <w:szCs w:val="20"/>
                <w:color w:val="auto"/>
              </w:rPr>
            </w:pPr>
            <w:r>
              <w:rPr>
                <w:rFonts w:ascii="Calibri" w:cs="Calibri" w:eastAsia="Calibri" w:hAnsi="Calibri"/>
                <w:sz w:val="14"/>
                <w:szCs w:val="14"/>
                <w:color w:val="auto"/>
              </w:rPr>
              <w:t>214,628</w:t>
            </w:r>
          </w:p>
        </w:tc>
        <w:tc>
          <w:tcPr>
            <w:tcW w:w="1380" w:type="dxa"/>
            <w:vAlign w:val="bottom"/>
            <w:tcBorders>
              <w:bottom w:val="single" w:sz="8" w:color="DEEBF7"/>
              <w:right w:val="single" w:sz="8" w:color="007CBA"/>
            </w:tcBorders>
            <w:shd w:val="clear" w:color="auto" w:fill="DEEBF7"/>
          </w:tcPr>
          <w:p>
            <w:pPr>
              <w:ind w:left="260"/>
              <w:spacing w:after="0"/>
              <w:rPr>
                <w:sz w:val="20"/>
                <w:szCs w:val="20"/>
                <w:color w:val="auto"/>
              </w:rPr>
            </w:pPr>
            <w:r>
              <w:rPr>
                <w:rFonts w:ascii="Calibri" w:cs="Calibri" w:eastAsia="Calibri" w:hAnsi="Calibri"/>
                <w:sz w:val="14"/>
                <w:szCs w:val="14"/>
                <w:color w:val="auto"/>
              </w:rPr>
              <w:t>Sand &amp; Gravel</w:t>
            </w:r>
          </w:p>
        </w:tc>
        <w:tc>
          <w:tcPr>
            <w:tcW w:w="168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68,654</w:t>
            </w:r>
          </w:p>
        </w:tc>
        <w:tc>
          <w:tcPr>
            <w:tcW w:w="1380" w:type="dxa"/>
            <w:vAlign w:val="bottom"/>
            <w:tcBorders>
              <w:bottom w:val="single" w:sz="8" w:color="DEEBF7"/>
              <w:right w:val="single" w:sz="8" w:color="007CBA"/>
            </w:tcBorders>
            <w:shd w:val="clear" w:color="auto" w:fill="DEEBF7"/>
          </w:tcPr>
          <w:p>
            <w:pPr>
              <w:ind w:left="260"/>
              <w:spacing w:after="0"/>
              <w:rPr>
                <w:sz w:val="20"/>
                <w:szCs w:val="20"/>
                <w:color w:val="auto"/>
              </w:rPr>
            </w:pPr>
            <w:r>
              <w:rPr>
                <w:rFonts w:ascii="Calibri" w:cs="Calibri" w:eastAsia="Calibri" w:hAnsi="Calibri"/>
                <w:sz w:val="14"/>
                <w:szCs w:val="14"/>
                <w:color w:val="auto"/>
              </w:rPr>
              <w:t>Sand &amp; Gravel</w:t>
            </w:r>
          </w:p>
        </w:tc>
        <w:tc>
          <w:tcPr>
            <w:tcW w:w="1860" w:type="dxa"/>
            <w:vAlign w:val="bottom"/>
            <w:tcBorders>
              <w:bottom w:val="single" w:sz="8" w:color="DEEBF7"/>
              <w:right w:val="single" w:sz="8" w:color="007CBA"/>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283,282</w:t>
            </w:r>
          </w:p>
        </w:tc>
        <w:tc>
          <w:tcPr>
            <w:tcW w:w="1460" w:type="dxa"/>
            <w:vAlign w:val="bottom"/>
            <w:tcBorders>
              <w:bottom w:val="single" w:sz="8" w:color="DEEBF7"/>
              <w:right w:val="single" w:sz="8" w:color="007CBA"/>
            </w:tcBorders>
            <w:shd w:val="clear" w:color="auto" w:fill="DEEBF7"/>
          </w:tcPr>
          <w:p>
            <w:pPr>
              <w:ind w:left="300"/>
              <w:spacing w:after="0"/>
              <w:rPr>
                <w:sz w:val="20"/>
                <w:szCs w:val="20"/>
                <w:color w:val="auto"/>
              </w:rPr>
            </w:pPr>
            <w:r>
              <w:rPr>
                <w:rFonts w:ascii="Calibri" w:cs="Calibri" w:eastAsia="Calibri" w:hAnsi="Calibri"/>
                <w:sz w:val="14"/>
                <w:szCs w:val="14"/>
                <w:color w:val="auto"/>
              </w:rPr>
              <w:t>Sand &amp; Gravel</w:t>
            </w:r>
          </w:p>
        </w:tc>
      </w:tr>
      <w:tr>
        <w:trPr>
          <w:trHeight w:val="203"/>
        </w:trPr>
        <w:tc>
          <w:tcPr>
            <w:tcW w:w="1940" w:type="dxa"/>
            <w:vAlign w:val="bottom"/>
            <w:tcBorders>
              <w:right w:val="single" w:sz="8" w:color="007CBA"/>
            </w:tcBorders>
          </w:tcPr>
          <w:p>
            <w:pPr>
              <w:ind w:left="20"/>
              <w:spacing w:after="0"/>
              <w:rPr>
                <w:sz w:val="20"/>
                <w:szCs w:val="20"/>
                <w:color w:val="auto"/>
              </w:rPr>
            </w:pPr>
            <w:r>
              <w:rPr>
                <w:rFonts w:ascii="Calibri" w:cs="Calibri" w:eastAsia="Calibri" w:hAnsi="Calibri"/>
                <w:sz w:val="14"/>
                <w:szCs w:val="14"/>
                <w:color w:val="auto"/>
              </w:rPr>
              <w:t>Southwest Division</w:t>
            </w:r>
          </w:p>
        </w:tc>
        <w:tc>
          <w:tcPr>
            <w:tcW w:w="1540" w:type="dxa"/>
            <w:vAlign w:val="bottom"/>
            <w:tcBorders>
              <w:right w:val="single" w:sz="8" w:color="007CBA"/>
            </w:tcBorders>
          </w:tcPr>
          <w:p>
            <w:pPr>
              <w:jc w:val="right"/>
              <w:ind w:right="89"/>
              <w:spacing w:after="0"/>
              <w:rPr>
                <w:sz w:val="20"/>
                <w:szCs w:val="20"/>
                <w:color w:val="auto"/>
              </w:rPr>
            </w:pPr>
            <w:r>
              <w:rPr>
                <w:rFonts w:ascii="Calibri" w:cs="Calibri" w:eastAsia="Calibri" w:hAnsi="Calibri"/>
                <w:sz w:val="14"/>
                <w:szCs w:val="14"/>
                <w:color w:val="auto"/>
              </w:rPr>
              <w:t>53,741</w:t>
            </w:r>
          </w:p>
        </w:tc>
        <w:tc>
          <w:tcPr>
            <w:tcW w:w="138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Sand &amp; Gravel</w:t>
            </w:r>
          </w:p>
        </w:tc>
        <w:tc>
          <w:tcPr>
            <w:tcW w:w="168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75,111</w:t>
            </w:r>
          </w:p>
        </w:tc>
        <w:tc>
          <w:tcPr>
            <w:tcW w:w="138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Sand &amp; Gravel</w:t>
            </w:r>
          </w:p>
        </w:tc>
        <w:tc>
          <w:tcPr>
            <w:tcW w:w="1860" w:type="dxa"/>
            <w:vAlign w:val="bottom"/>
            <w:tcBorders>
              <w:right w:val="single" w:sz="8" w:color="007CBA"/>
            </w:tcBorders>
          </w:tcPr>
          <w:p>
            <w:pPr>
              <w:jc w:val="right"/>
              <w:ind w:right="69"/>
              <w:spacing w:after="0"/>
              <w:rPr>
                <w:sz w:val="20"/>
                <w:szCs w:val="20"/>
                <w:color w:val="auto"/>
              </w:rPr>
            </w:pPr>
            <w:r>
              <w:rPr>
                <w:rFonts w:ascii="Calibri" w:cs="Calibri" w:eastAsia="Calibri" w:hAnsi="Calibri"/>
                <w:sz w:val="14"/>
                <w:szCs w:val="14"/>
                <w:color w:val="auto"/>
              </w:rPr>
              <w:t>128,852</w:t>
            </w:r>
          </w:p>
        </w:tc>
        <w:tc>
          <w:tcPr>
            <w:tcW w:w="1460" w:type="dxa"/>
            <w:vAlign w:val="bottom"/>
            <w:tcBorders>
              <w:right w:val="single" w:sz="8" w:color="007CBA"/>
            </w:tcBorders>
          </w:tcPr>
          <w:p>
            <w:pPr>
              <w:ind w:left="300"/>
              <w:spacing w:after="0"/>
              <w:rPr>
                <w:sz w:val="20"/>
                <w:szCs w:val="20"/>
                <w:color w:val="auto"/>
              </w:rPr>
            </w:pPr>
            <w:r>
              <w:rPr>
                <w:rFonts w:ascii="Calibri" w:cs="Calibri" w:eastAsia="Calibri" w:hAnsi="Calibri"/>
                <w:sz w:val="14"/>
                <w:szCs w:val="14"/>
                <w:color w:val="auto"/>
              </w:rPr>
              <w:t>Sand &amp; Gravel</w:t>
            </w:r>
          </w:p>
        </w:tc>
      </w:tr>
      <w:tr>
        <w:trPr>
          <w:trHeight w:val="208"/>
        </w:trPr>
        <w:tc>
          <w:tcPr>
            <w:tcW w:w="1940" w:type="dxa"/>
            <w:vAlign w:val="bottom"/>
            <w:tcBorders>
              <w:bottom w:val="single" w:sz="8" w:color="DEEBF7"/>
              <w:right w:val="single" w:sz="8" w:color="DEEBF7"/>
            </w:tcBorders>
            <w:shd w:val="clear" w:color="auto" w:fill="DEEBF7"/>
          </w:tcPr>
          <w:p>
            <w:pPr>
              <w:ind w:left="20"/>
              <w:spacing w:after="0"/>
              <w:rPr>
                <w:sz w:val="20"/>
                <w:szCs w:val="20"/>
                <w:color w:val="auto"/>
              </w:rPr>
            </w:pPr>
            <w:r>
              <w:rPr>
                <w:rFonts w:ascii="Calibri" w:cs="Calibri" w:eastAsia="Calibri" w:hAnsi="Calibri"/>
                <w:sz w:val="14"/>
                <w:szCs w:val="14"/>
                <w:color w:val="auto"/>
              </w:rPr>
              <w:t>West Division</w:t>
            </w:r>
          </w:p>
        </w:tc>
        <w:tc>
          <w:tcPr>
            <w:tcW w:w="1540" w:type="dxa"/>
            <w:vAlign w:val="bottom"/>
            <w:tcBorders>
              <w:bottom w:val="single" w:sz="8" w:color="DEEBF7"/>
              <w:right w:val="single" w:sz="8" w:color="DEEBF7"/>
            </w:tcBorders>
            <w:shd w:val="clear" w:color="auto" w:fill="DEEBF7"/>
          </w:tcPr>
          <w:p>
            <w:pPr>
              <w:jc w:val="right"/>
              <w:ind w:right="89"/>
              <w:spacing w:after="0"/>
              <w:rPr>
                <w:sz w:val="20"/>
                <w:szCs w:val="20"/>
                <w:color w:val="auto"/>
              </w:rPr>
            </w:pPr>
            <w:r>
              <w:rPr>
                <w:rFonts w:ascii="Calibri" w:cs="Calibri" w:eastAsia="Calibri" w:hAnsi="Calibri"/>
                <w:sz w:val="14"/>
                <w:szCs w:val="14"/>
                <w:color w:val="auto"/>
              </w:rPr>
              <w:t>175,393</w:t>
            </w:r>
          </w:p>
        </w:tc>
        <w:tc>
          <w:tcPr>
            <w:tcW w:w="1380" w:type="dxa"/>
            <w:vAlign w:val="bottom"/>
            <w:tcBorders>
              <w:bottom w:val="single" w:sz="8" w:color="DEEBF7"/>
              <w:right w:val="single" w:sz="8" w:color="DEEBF7"/>
            </w:tcBorders>
            <w:shd w:val="clear" w:color="auto" w:fill="DEEBF7"/>
          </w:tcPr>
          <w:p>
            <w:pPr>
              <w:ind w:left="260"/>
              <w:spacing w:after="0"/>
              <w:rPr>
                <w:sz w:val="20"/>
                <w:szCs w:val="20"/>
                <w:color w:val="auto"/>
              </w:rPr>
            </w:pPr>
            <w:r>
              <w:rPr>
                <w:rFonts w:ascii="Calibri" w:cs="Calibri" w:eastAsia="Calibri" w:hAnsi="Calibri"/>
                <w:sz w:val="14"/>
                <w:szCs w:val="14"/>
                <w:color w:val="auto"/>
              </w:rPr>
              <w:t>Sand &amp; Gravel</w:t>
            </w:r>
          </w:p>
        </w:tc>
        <w:tc>
          <w:tcPr>
            <w:tcW w:w="1680" w:type="dxa"/>
            <w:vAlign w:val="bottom"/>
            <w:tcBorders>
              <w:bottom w:val="single" w:sz="8" w:color="DEEBF7"/>
              <w:right w:val="single" w:sz="8" w:color="DEEBF7"/>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21,114</w:t>
            </w:r>
          </w:p>
        </w:tc>
        <w:tc>
          <w:tcPr>
            <w:tcW w:w="1380" w:type="dxa"/>
            <w:vAlign w:val="bottom"/>
            <w:tcBorders>
              <w:bottom w:val="single" w:sz="8" w:color="DEEBF7"/>
              <w:right w:val="single" w:sz="8" w:color="DEEBF7"/>
            </w:tcBorders>
            <w:shd w:val="clear" w:color="auto" w:fill="DEEBF7"/>
          </w:tcPr>
          <w:p>
            <w:pPr>
              <w:ind w:left="260"/>
              <w:spacing w:after="0"/>
              <w:rPr>
                <w:sz w:val="20"/>
                <w:szCs w:val="20"/>
                <w:color w:val="auto"/>
              </w:rPr>
            </w:pPr>
            <w:r>
              <w:rPr>
                <w:rFonts w:ascii="Calibri" w:cs="Calibri" w:eastAsia="Calibri" w:hAnsi="Calibri"/>
                <w:sz w:val="14"/>
                <w:szCs w:val="14"/>
                <w:color w:val="auto"/>
              </w:rPr>
              <w:t>Sand &amp; Gravel</w:t>
            </w:r>
          </w:p>
        </w:tc>
        <w:tc>
          <w:tcPr>
            <w:tcW w:w="1860" w:type="dxa"/>
            <w:vAlign w:val="bottom"/>
            <w:tcBorders>
              <w:bottom w:val="single" w:sz="8" w:color="DEEBF7"/>
              <w:right w:val="single" w:sz="8" w:color="DEEBF7"/>
            </w:tcBorders>
            <w:shd w:val="clear" w:color="auto" w:fill="DEEBF7"/>
          </w:tcPr>
          <w:p>
            <w:pPr>
              <w:jc w:val="right"/>
              <w:ind w:right="69"/>
              <w:spacing w:after="0"/>
              <w:rPr>
                <w:sz w:val="20"/>
                <w:szCs w:val="20"/>
                <w:color w:val="auto"/>
              </w:rPr>
            </w:pPr>
            <w:r>
              <w:rPr>
                <w:rFonts w:ascii="Calibri" w:cs="Calibri" w:eastAsia="Calibri" w:hAnsi="Calibri"/>
                <w:sz w:val="14"/>
                <w:szCs w:val="14"/>
                <w:color w:val="auto"/>
              </w:rPr>
              <w:t>196,507</w:t>
            </w:r>
          </w:p>
        </w:tc>
        <w:tc>
          <w:tcPr>
            <w:tcW w:w="1460" w:type="dxa"/>
            <w:vAlign w:val="bottom"/>
            <w:tcBorders>
              <w:bottom w:val="single" w:sz="8" w:color="DEEBF7"/>
              <w:right w:val="single" w:sz="8" w:color="DEEBF7"/>
            </w:tcBorders>
            <w:shd w:val="clear" w:color="auto" w:fill="DEEBF7"/>
          </w:tcPr>
          <w:p>
            <w:pPr>
              <w:ind w:left="300"/>
              <w:spacing w:after="0"/>
              <w:rPr>
                <w:sz w:val="20"/>
                <w:szCs w:val="20"/>
                <w:color w:val="auto"/>
              </w:rPr>
            </w:pPr>
            <w:r>
              <w:rPr>
                <w:rFonts w:ascii="Calibri" w:cs="Calibri" w:eastAsia="Calibri" w:hAnsi="Calibri"/>
                <w:sz w:val="14"/>
                <w:szCs w:val="14"/>
                <w:color w:val="auto"/>
              </w:rPr>
              <w:t>Sand &amp; Gravel</w:t>
            </w:r>
          </w:p>
        </w:tc>
      </w:tr>
      <w:tr>
        <w:trPr>
          <w:trHeight w:val="163"/>
        </w:trPr>
        <w:tc>
          <w:tcPr>
            <w:tcW w:w="1940" w:type="dxa"/>
            <w:vAlign w:val="bottom"/>
            <w:tcBorders>
              <w:top w:val="single" w:sz="8" w:color="auto"/>
            </w:tcBorders>
          </w:tcPr>
          <w:p>
            <w:pPr>
              <w:ind w:left="20"/>
              <w:spacing w:after="0" w:line="164" w:lineRule="exact"/>
              <w:rPr>
                <w:sz w:val="20"/>
                <w:szCs w:val="20"/>
                <w:color w:val="auto"/>
              </w:rPr>
            </w:pPr>
            <w:r>
              <w:rPr>
                <w:rFonts w:ascii="Calibri" w:cs="Calibri" w:eastAsia="Calibri" w:hAnsi="Calibri"/>
                <w:sz w:val="14"/>
                <w:szCs w:val="14"/>
                <w:color w:val="auto"/>
              </w:rPr>
              <w:t>Total sand &amp; gravel</w:t>
            </w:r>
          </w:p>
        </w:tc>
        <w:tc>
          <w:tcPr>
            <w:tcW w:w="1540" w:type="dxa"/>
            <w:vAlign w:val="bottom"/>
            <w:tcBorders>
              <w:top w:val="single" w:sz="8" w:color="auto"/>
            </w:tcBorders>
          </w:tcPr>
          <w:p>
            <w:pPr>
              <w:jc w:val="right"/>
              <w:ind w:right="89"/>
              <w:spacing w:after="0" w:line="164" w:lineRule="exact"/>
              <w:rPr>
                <w:sz w:val="20"/>
                <w:szCs w:val="20"/>
                <w:color w:val="auto"/>
              </w:rPr>
            </w:pPr>
            <w:r>
              <w:rPr>
                <w:rFonts w:ascii="Calibri" w:cs="Calibri" w:eastAsia="Calibri" w:hAnsi="Calibri"/>
                <w:sz w:val="14"/>
                <w:szCs w:val="14"/>
                <w:color w:val="auto"/>
              </w:rPr>
              <w:t>505,407</w:t>
            </w:r>
          </w:p>
        </w:tc>
        <w:tc>
          <w:tcPr>
            <w:tcW w:w="13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ind w:right="69"/>
              <w:spacing w:after="0" w:line="164" w:lineRule="exact"/>
              <w:rPr>
                <w:sz w:val="20"/>
                <w:szCs w:val="20"/>
                <w:color w:val="auto"/>
              </w:rPr>
            </w:pPr>
            <w:r>
              <w:rPr>
                <w:rFonts w:ascii="Calibri" w:cs="Calibri" w:eastAsia="Calibri" w:hAnsi="Calibri"/>
                <w:sz w:val="14"/>
                <w:szCs w:val="14"/>
                <w:color w:val="auto"/>
              </w:rPr>
              <w:t>274,298</w:t>
            </w:r>
          </w:p>
        </w:tc>
        <w:tc>
          <w:tcPr>
            <w:tcW w:w="138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jc w:val="right"/>
              <w:ind w:right="69"/>
              <w:spacing w:after="0" w:line="164" w:lineRule="exact"/>
              <w:rPr>
                <w:sz w:val="20"/>
                <w:szCs w:val="20"/>
                <w:color w:val="auto"/>
              </w:rPr>
            </w:pPr>
            <w:r>
              <w:rPr>
                <w:rFonts w:ascii="Calibri" w:cs="Calibri" w:eastAsia="Calibri" w:hAnsi="Calibri"/>
                <w:sz w:val="14"/>
                <w:szCs w:val="14"/>
                <w:color w:val="auto"/>
              </w:rPr>
              <w:t>779,705</w:t>
            </w:r>
          </w:p>
        </w:tc>
        <w:tc>
          <w:tcPr>
            <w:tcW w:w="1460" w:type="dxa"/>
            <w:vAlign w:val="bottom"/>
            <w:tcBorders>
              <w:top w:val="single" w:sz="8" w:color="auto"/>
            </w:tcBorders>
          </w:tcPr>
          <w:p>
            <w:pPr>
              <w:spacing w:after="0"/>
              <w:rPr>
                <w:sz w:val="14"/>
                <w:szCs w:val="14"/>
                <w:color w:val="auto"/>
              </w:rPr>
            </w:pPr>
          </w:p>
        </w:tc>
      </w:tr>
      <w:tr>
        <w:trPr>
          <w:trHeight w:val="33"/>
        </w:trPr>
        <w:tc>
          <w:tcPr>
            <w:tcW w:w="19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-1075055</wp:posOffset>
            </wp:positionV>
            <wp:extent cx="33655" cy="2997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-1075055</wp:posOffset>
            </wp:positionV>
            <wp:extent cx="34290" cy="2997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-1075055</wp:posOffset>
            </wp:positionV>
            <wp:extent cx="34290" cy="2997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-1075055</wp:posOffset>
            </wp:positionV>
            <wp:extent cx="33655" cy="2997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-1075055</wp:posOffset>
            </wp:positionV>
            <wp:extent cx="34290" cy="2997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-1075055</wp:posOffset>
            </wp:positionV>
            <wp:extent cx="34290" cy="2997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-286385</wp:posOffset>
            </wp:positionV>
            <wp:extent cx="33655"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162560"/>
                    </a:xfrm>
                    <a:prstGeom prst="rect">
                      <a:avLst/>
                    </a:prstGeom>
                    <a:noFill/>
                  </pic:spPr>
                </pic:pic>
              </a:graphicData>
            </a:graphic>
          </wp:anchor>
        </w:drawing>
        <w:drawing>
          <wp:anchor simplePos="0" relativeHeight="251657728" behindDoc="1" locked="0" layoutInCell="0" allowOverlap="1">
            <wp:simplePos x="0" y="0"/>
            <wp:positionH relativeFrom="column">
              <wp:posOffset>1200785</wp:posOffset>
            </wp:positionH>
            <wp:positionV relativeFrom="paragraph">
              <wp:posOffset>-286385</wp:posOffset>
            </wp:positionV>
            <wp:extent cx="33655" cy="2997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-286385</wp:posOffset>
            </wp:positionV>
            <wp:extent cx="34290" cy="2997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-286385</wp:posOffset>
            </wp:positionV>
            <wp:extent cx="34290" cy="2997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-286385</wp:posOffset>
            </wp:positionV>
            <wp:extent cx="33655" cy="2997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299720"/>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-286385</wp:posOffset>
            </wp:positionV>
            <wp:extent cx="34290" cy="2997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299720"/>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-286385</wp:posOffset>
            </wp:positionV>
            <wp:extent cx="34290" cy="2997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299720"/>
                    </a:xfrm>
                    <a:prstGeom prst="rect">
                      <a:avLst/>
                    </a:prstGeom>
                    <a:noFill/>
                  </pic:spPr>
                </pic:pic>
              </a:graphicData>
            </a:graphic>
          </wp:anchor>
        </w:drawing>
      </w:r>
    </w:p>
    <w:p>
      <w:pPr>
        <w:spacing w:after="0" w:line="128" w:lineRule="exact"/>
        <w:rPr>
          <w:sz w:val="20"/>
          <w:szCs w:val="20"/>
          <w:color w:val="auto"/>
        </w:rPr>
      </w:pPr>
    </w:p>
    <w:p>
      <w:pPr>
        <w:jc w:val="both"/>
        <w:ind w:left="800" w:hanging="401"/>
        <w:spacing w:after="0"/>
        <w:tabs>
          <w:tab w:leader="none" w:pos="800" w:val="left"/>
        </w:tabs>
        <w:numPr>
          <w:ilvl w:val="0"/>
          <w:numId w:val="11"/>
        </w:numPr>
        <w:rPr>
          <w:rFonts w:ascii="Calibri" w:cs="Calibri" w:eastAsia="Calibri" w:hAnsi="Calibri"/>
          <w:sz w:val="19"/>
          <w:szCs w:val="19"/>
          <w:color w:val="auto"/>
          <w:vertAlign w:val="superscript"/>
        </w:rPr>
      </w:pPr>
      <w:r>
        <w:rPr>
          <w:rFonts w:ascii="Calibri" w:cs="Calibri" w:eastAsia="Calibri" w:hAnsi="Calibri"/>
          <w:sz w:val="14"/>
          <w:szCs w:val="14"/>
          <w:color w:val="auto"/>
        </w:rPr>
        <w:t>The tons presented were determined to be economically mineable using the 2022 average selling price per ton for that product category in that geographic division. There is a range of selling prices for each product category and each geography that depend on the type of product, whether it is washed or not, and its end use. The average selling price per ton used for crushed stone for the East Division, Central Division, Southwest Division and West Division was $17.22, $15.57, $11.88 and $14.02, respectvely. The average selling price per ton used for sand and gravel for the East Division, Central Division, Southwest Division and West Division was $11.33, $11.54, $14.08 and $16.23, respectvely. These prices exclude any porton of revenues allocated to freight, including internal freight to ship products from a producing quarry to a distributon terminal and third-party freight to deliver product to a customer.</w:t>
      </w:r>
    </w:p>
    <w:p>
      <w:pPr>
        <w:spacing w:after="0" w:line="191" w:lineRule="exact"/>
        <w:rPr>
          <w:rFonts w:ascii="Calibri" w:cs="Calibri" w:eastAsia="Calibri" w:hAnsi="Calibri"/>
          <w:sz w:val="19"/>
          <w:szCs w:val="19"/>
          <w:color w:val="auto"/>
          <w:vertAlign w:val="superscript"/>
        </w:rPr>
      </w:pPr>
    </w:p>
    <w:p>
      <w:pPr>
        <w:jc w:val="both"/>
        <w:ind w:left="800" w:hanging="401"/>
        <w:spacing w:after="0" w:line="217" w:lineRule="auto"/>
        <w:tabs>
          <w:tab w:leader="none" w:pos="800" w:val="left"/>
        </w:tabs>
        <w:numPr>
          <w:ilvl w:val="0"/>
          <w:numId w:val="11"/>
        </w:numPr>
        <w:rPr>
          <w:rFonts w:ascii="Calibri" w:cs="Calibri" w:eastAsia="Calibri" w:hAnsi="Calibri"/>
          <w:sz w:val="19"/>
          <w:szCs w:val="19"/>
          <w:color w:val="auto"/>
          <w:vertAlign w:val="superscript"/>
        </w:rPr>
      </w:pPr>
      <w:r>
        <w:rPr>
          <w:rFonts w:ascii="Calibri" w:cs="Calibri" w:eastAsia="Calibri" w:hAnsi="Calibri"/>
          <w:sz w:val="14"/>
          <w:szCs w:val="14"/>
          <w:color w:val="auto"/>
        </w:rPr>
        <w:t>For the purposes of this table, the Company calculates its mineral reserves based on land that has been zoned for quarrying and land for which the Company has determined zoning is not required. The Company's reserves presented in the Central Division include dolomitc limestone reserves used in the Magnesia Specialtes business. The Company's reserves presented in the Southwest Division include limestone reserves used in the cement product line.</w:t>
      </w:r>
    </w:p>
    <w:p>
      <w:pPr>
        <w:spacing w:after="0" w:line="10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presents the Company’s total annual producton for the last three years shown on a product line-by-product line basis.</w:t>
      </w:r>
    </w:p>
    <w:p>
      <w:pPr>
        <w:spacing w:after="0" w:line="130" w:lineRule="exact"/>
        <w:rPr>
          <w:sz w:val="20"/>
          <w:szCs w:val="20"/>
          <w:color w:val="auto"/>
        </w:rPr>
      </w:pPr>
    </w:p>
    <w:p>
      <w:pPr>
        <w:jc w:val="center"/>
        <w:ind w:left="5340"/>
        <w:spacing w:after="0"/>
        <w:rPr>
          <w:sz w:val="20"/>
          <w:szCs w:val="20"/>
          <w:color w:val="auto"/>
        </w:rPr>
      </w:pPr>
      <w:r>
        <w:rPr>
          <w:rFonts w:ascii="Calibri" w:cs="Calibri" w:eastAsia="Calibri" w:hAnsi="Calibri"/>
          <w:sz w:val="14"/>
          <w:szCs w:val="14"/>
          <w:b w:val="1"/>
          <w:bCs w:val="1"/>
          <w:color w:val="FFFFFF"/>
        </w:rPr>
        <w:t>Total Annual Producton (tons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771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jc w:val="center"/>
        <w:ind w:left="5340"/>
        <w:spacing w:after="0"/>
        <w:rPr>
          <w:sz w:val="20"/>
          <w:szCs w:val="20"/>
          <w:color w:val="auto"/>
        </w:rPr>
      </w:pPr>
      <w:r>
        <w:rPr>
          <w:rFonts w:ascii="Calibri" w:cs="Calibri" w:eastAsia="Calibri" w:hAnsi="Calibri"/>
          <w:sz w:val="14"/>
          <w:szCs w:val="14"/>
          <w:i w:val="1"/>
          <w:iCs w:val="1"/>
          <w:color w:val="FFFFFF"/>
        </w:rPr>
        <w:t>For year ended December 31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1340" w:type="dxa"/>
            <w:vAlign w:val="bottom"/>
            <w:shd w:val="clear" w:color="auto" w:fill="007CBA"/>
          </w:tcPr>
          <w:p>
            <w:pPr>
              <w:jc w:val="right"/>
              <w:ind w:right="88"/>
              <w:spacing w:after="0"/>
              <w:rPr>
                <w:sz w:val="20"/>
                <w:szCs w:val="20"/>
                <w:color w:val="auto"/>
              </w:rPr>
            </w:pPr>
            <w:r>
              <w:rPr>
                <w:rFonts w:ascii="Calibri" w:cs="Calibri" w:eastAsia="Calibri" w:hAnsi="Calibri"/>
                <w:sz w:val="14"/>
                <w:szCs w:val="14"/>
                <w:b w:val="1"/>
                <w:bCs w:val="1"/>
                <w:color w:val="FFFFFF"/>
              </w:rPr>
              <w:t>2023</w:t>
            </w:r>
          </w:p>
        </w:tc>
        <w:tc>
          <w:tcPr>
            <w:tcW w:w="2000" w:type="dxa"/>
            <w:vAlign w:val="bottom"/>
            <w:gridSpan w:val="2"/>
            <w:shd w:val="clear" w:color="auto" w:fill="007CBA"/>
          </w:tcPr>
          <w:p>
            <w:pPr>
              <w:jc w:val="right"/>
              <w:ind w:right="160"/>
              <w:spacing w:after="0"/>
              <w:rPr>
                <w:sz w:val="20"/>
                <w:szCs w:val="20"/>
                <w:color w:val="auto"/>
              </w:rPr>
            </w:pPr>
            <w:r>
              <w:rPr>
                <w:rFonts w:ascii="Calibri" w:cs="Calibri" w:eastAsia="Calibri" w:hAnsi="Calibri"/>
                <w:sz w:val="14"/>
                <w:szCs w:val="14"/>
                <w:b w:val="1"/>
                <w:bCs w:val="1"/>
                <w:color w:val="FFFFFF"/>
              </w:rPr>
              <w:t>2022</w:t>
            </w:r>
          </w:p>
        </w:tc>
        <w:tc>
          <w:tcPr>
            <w:tcW w:w="640" w:type="dxa"/>
            <w:vAlign w:val="bottom"/>
            <w:tcBorders>
              <w:right w:val="single" w:sz="8" w:color="007CBA"/>
            </w:tcBorders>
            <w:shd w:val="clear" w:color="auto" w:fill="007CBA"/>
          </w:tcPr>
          <w:p>
            <w:pPr>
              <w:spacing w:after="0"/>
              <w:rPr>
                <w:sz w:val="17"/>
                <w:szCs w:val="17"/>
                <w:color w:val="auto"/>
              </w:rPr>
            </w:pPr>
          </w:p>
        </w:tc>
        <w:tc>
          <w:tcPr>
            <w:tcW w:w="1960" w:type="dxa"/>
            <w:vAlign w:val="bottom"/>
            <w:tcBorders>
              <w:right w:val="single" w:sz="8" w:color="007CBA"/>
            </w:tcBorders>
            <w:shd w:val="clear" w:color="auto" w:fill="007CBA"/>
          </w:tcPr>
          <w:p>
            <w:pPr>
              <w:jc w:val="right"/>
              <w:ind w:right="741"/>
              <w:spacing w:after="0"/>
              <w:rPr>
                <w:sz w:val="20"/>
                <w:szCs w:val="20"/>
                <w:color w:val="auto"/>
              </w:rPr>
            </w:pPr>
            <w:r>
              <w:rPr>
                <w:rFonts w:ascii="Calibri" w:cs="Calibri" w:eastAsia="Calibri" w:hAnsi="Calibri"/>
                <w:sz w:val="14"/>
                <w:szCs w:val="14"/>
                <w:b w:val="1"/>
                <w:bCs w:val="1"/>
                <w:color w:val="FFFFFF"/>
              </w:rPr>
              <w:t>2021</w:t>
            </w:r>
          </w:p>
        </w:tc>
      </w:tr>
      <w:tr>
        <w:trPr>
          <w:trHeight w:val="210"/>
        </w:trPr>
        <w:tc>
          <w:tcPr>
            <w:tcW w:w="530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Aggregates</w:t>
            </w:r>
          </w:p>
        </w:tc>
        <w:tc>
          <w:tcPr>
            <w:tcW w:w="1340" w:type="dxa"/>
            <w:vAlign w:val="bottom"/>
            <w:tcBorders>
              <w:bottom w:val="single" w:sz="8" w:color="E5F1F8"/>
            </w:tcBorders>
            <w:shd w:val="clear" w:color="auto" w:fill="E5F1F8"/>
          </w:tcPr>
          <w:p>
            <w:pPr>
              <w:spacing w:after="0"/>
              <w:rPr>
                <w:sz w:val="18"/>
                <w:szCs w:val="18"/>
                <w:color w:val="auto"/>
              </w:rPr>
            </w:pPr>
          </w:p>
        </w:tc>
        <w:tc>
          <w:tcPr>
            <w:tcW w:w="680" w:type="dxa"/>
            <w:vAlign w:val="bottom"/>
            <w:tcBorders>
              <w:bottom w:val="single" w:sz="8" w:color="E5F1F8"/>
              <w:right w:val="single" w:sz="8" w:color="007CBA"/>
            </w:tcBorders>
            <w:shd w:val="clear" w:color="auto" w:fill="E5F1F8"/>
          </w:tcPr>
          <w:p>
            <w:pPr>
              <w:jc w:val="right"/>
              <w:ind w:right="61"/>
              <w:spacing w:after="0" w:line="193" w:lineRule="exact"/>
              <w:rPr>
                <w:sz w:val="20"/>
                <w:szCs w:val="20"/>
                <w:color w:val="auto"/>
              </w:rPr>
            </w:pPr>
            <w:r>
              <w:rPr>
                <w:rFonts w:ascii="Calibri" w:cs="Calibri" w:eastAsia="Calibri" w:hAnsi="Calibri"/>
                <w:sz w:val="16"/>
                <w:szCs w:val="16"/>
                <w:b w:val="1"/>
                <w:bCs w:val="1"/>
                <w:color w:val="auto"/>
              </w:rPr>
              <w:t>208.5</w:t>
            </w:r>
          </w:p>
        </w:tc>
        <w:tc>
          <w:tcPr>
            <w:tcW w:w="1320" w:type="dxa"/>
            <w:vAlign w:val="bottom"/>
            <w:tcBorders>
              <w:bottom w:val="single" w:sz="8" w:color="E5F1F8"/>
            </w:tcBorders>
            <w:shd w:val="clear" w:color="auto" w:fill="E5F1F8"/>
          </w:tcPr>
          <w:p>
            <w:pPr>
              <w:spacing w:after="0"/>
              <w:rPr>
                <w:sz w:val="18"/>
                <w:szCs w:val="18"/>
                <w:color w:val="auto"/>
              </w:rPr>
            </w:pPr>
          </w:p>
        </w:tc>
        <w:tc>
          <w:tcPr>
            <w:tcW w:w="640" w:type="dxa"/>
            <w:vAlign w:val="bottom"/>
            <w:tcBorders>
              <w:bottom w:val="single" w:sz="8" w:color="E5F1F8"/>
              <w:right w:val="single" w:sz="8" w:color="007CBA"/>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214.5</w:t>
            </w:r>
          </w:p>
        </w:tc>
        <w:tc>
          <w:tcPr>
            <w:tcW w:w="1960" w:type="dxa"/>
            <w:vAlign w:val="bottom"/>
            <w:tcBorders>
              <w:bottom w:val="single" w:sz="8" w:color="E5F1F8"/>
              <w:right w:val="single" w:sz="8" w:color="007CBA"/>
            </w:tcBorders>
            <w:shd w:val="clear" w:color="auto" w:fill="E5F1F8"/>
          </w:tcPr>
          <w:p>
            <w:pPr>
              <w:jc w:val="right"/>
              <w:ind w:right="41"/>
              <w:spacing w:after="0" w:line="193" w:lineRule="exact"/>
              <w:rPr>
                <w:sz w:val="20"/>
                <w:szCs w:val="20"/>
                <w:color w:val="auto"/>
              </w:rPr>
            </w:pPr>
            <w:r>
              <w:rPr>
                <w:rFonts w:ascii="Calibri" w:cs="Calibri" w:eastAsia="Calibri" w:hAnsi="Calibri"/>
                <w:sz w:val="16"/>
                <w:szCs w:val="16"/>
                <w:color w:val="auto"/>
              </w:rPr>
              <w:t>199.6</w:t>
            </w:r>
          </w:p>
        </w:tc>
      </w:tr>
      <w:tr>
        <w:trPr>
          <w:trHeight w:val="230"/>
        </w:trPr>
        <w:tc>
          <w:tcPr>
            <w:tcW w:w="530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Cement limestone</w:t>
            </w:r>
          </w:p>
        </w:tc>
        <w:tc>
          <w:tcPr>
            <w:tcW w:w="1340" w:type="dxa"/>
            <w:vAlign w:val="bottom"/>
          </w:tcPr>
          <w:p>
            <w:pPr>
              <w:spacing w:after="0"/>
              <w:rPr>
                <w:sz w:val="19"/>
                <w:szCs w:val="19"/>
                <w:color w:val="auto"/>
              </w:rPr>
            </w:pPr>
          </w:p>
        </w:tc>
        <w:tc>
          <w:tcPr>
            <w:tcW w:w="680" w:type="dxa"/>
            <w:vAlign w:val="bottom"/>
            <w:tcBorders>
              <w:right w:val="single" w:sz="8" w:color="007CBA"/>
            </w:tcBorders>
          </w:tcPr>
          <w:p>
            <w:pPr>
              <w:jc w:val="right"/>
              <w:ind w:right="61"/>
              <w:spacing w:after="0" w:line="193" w:lineRule="exact"/>
              <w:rPr>
                <w:sz w:val="20"/>
                <w:szCs w:val="20"/>
                <w:color w:val="auto"/>
              </w:rPr>
            </w:pPr>
            <w:r>
              <w:rPr>
                <w:rFonts w:ascii="Calibri" w:cs="Calibri" w:eastAsia="Calibri" w:hAnsi="Calibri"/>
                <w:sz w:val="16"/>
                <w:szCs w:val="16"/>
                <w:b w:val="1"/>
                <w:bCs w:val="1"/>
                <w:color w:val="auto"/>
              </w:rPr>
              <w:t>6.1</w:t>
            </w:r>
          </w:p>
        </w:tc>
        <w:tc>
          <w:tcPr>
            <w:tcW w:w="1320" w:type="dxa"/>
            <w:vAlign w:val="bottom"/>
          </w:tcPr>
          <w:p>
            <w:pPr>
              <w:spacing w:after="0"/>
              <w:rPr>
                <w:sz w:val="19"/>
                <w:szCs w:val="19"/>
                <w:color w:val="auto"/>
              </w:rPr>
            </w:pPr>
          </w:p>
        </w:tc>
        <w:tc>
          <w:tcPr>
            <w:tcW w:w="640" w:type="dxa"/>
            <w:vAlign w:val="bottom"/>
            <w:tcBorders>
              <w:right w:val="single" w:sz="8" w:color="007CBA"/>
            </w:tcBorders>
          </w:tcPr>
          <w:p>
            <w:pPr>
              <w:jc w:val="right"/>
              <w:ind w:right="39"/>
              <w:spacing w:after="0" w:line="193" w:lineRule="exact"/>
              <w:rPr>
                <w:sz w:val="20"/>
                <w:szCs w:val="20"/>
                <w:color w:val="auto"/>
              </w:rPr>
            </w:pPr>
            <w:r>
              <w:rPr>
                <w:rFonts w:ascii="Calibri" w:cs="Calibri" w:eastAsia="Calibri" w:hAnsi="Calibri"/>
                <w:sz w:val="16"/>
                <w:szCs w:val="16"/>
                <w:color w:val="auto"/>
              </w:rPr>
              <w:t>6.6</w:t>
            </w:r>
          </w:p>
        </w:tc>
        <w:tc>
          <w:tcPr>
            <w:tcW w:w="1960" w:type="dxa"/>
            <w:vAlign w:val="bottom"/>
            <w:tcBorders>
              <w:right w:val="single" w:sz="8" w:color="007CBA"/>
            </w:tcBorders>
          </w:tcPr>
          <w:p>
            <w:pPr>
              <w:jc w:val="right"/>
              <w:ind w:right="41"/>
              <w:spacing w:after="0" w:line="193" w:lineRule="exact"/>
              <w:rPr>
                <w:sz w:val="20"/>
                <w:szCs w:val="20"/>
                <w:color w:val="auto"/>
              </w:rPr>
            </w:pPr>
            <w:r>
              <w:rPr>
                <w:rFonts w:ascii="Calibri" w:cs="Calibri" w:eastAsia="Calibri" w:hAnsi="Calibri"/>
                <w:sz w:val="16"/>
                <w:szCs w:val="16"/>
                <w:color w:val="auto"/>
              </w:rPr>
              <w:t>5.4</w:t>
            </w:r>
          </w:p>
        </w:tc>
      </w:tr>
      <w:tr>
        <w:trPr>
          <w:trHeight w:val="235"/>
        </w:trPr>
        <w:tc>
          <w:tcPr>
            <w:tcW w:w="6640" w:type="dxa"/>
            <w:vAlign w:val="bottom"/>
            <w:tcBorders>
              <w:bottom w:val="single" w:sz="8" w:color="E5F1F8"/>
            </w:tcBorders>
            <w:gridSpan w:val="2"/>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Magnesia Specialtes limestone</w:t>
            </w:r>
          </w:p>
        </w:tc>
        <w:tc>
          <w:tcPr>
            <w:tcW w:w="680" w:type="dxa"/>
            <w:vAlign w:val="bottom"/>
            <w:tcBorders>
              <w:bottom w:val="single" w:sz="8" w:color="E5F1F8"/>
              <w:right w:val="single" w:sz="8" w:color="E5F1F8"/>
            </w:tcBorders>
            <w:shd w:val="clear" w:color="auto" w:fill="E5F1F8"/>
          </w:tcPr>
          <w:p>
            <w:pPr>
              <w:jc w:val="right"/>
              <w:ind w:right="61"/>
              <w:spacing w:after="0" w:line="193" w:lineRule="exact"/>
              <w:rPr>
                <w:sz w:val="20"/>
                <w:szCs w:val="20"/>
                <w:color w:val="auto"/>
              </w:rPr>
            </w:pPr>
            <w:r>
              <w:rPr>
                <w:rFonts w:ascii="Calibri" w:cs="Calibri" w:eastAsia="Calibri" w:hAnsi="Calibri"/>
                <w:sz w:val="16"/>
                <w:szCs w:val="16"/>
                <w:b w:val="1"/>
                <w:bCs w:val="1"/>
                <w:color w:val="auto"/>
              </w:rPr>
              <w:t>3.5</w:t>
            </w:r>
          </w:p>
        </w:tc>
        <w:tc>
          <w:tcPr>
            <w:tcW w:w="1320" w:type="dxa"/>
            <w:vAlign w:val="bottom"/>
            <w:tcBorders>
              <w:bottom w:val="single" w:sz="8" w:color="E5F1F8"/>
            </w:tcBorders>
            <w:shd w:val="clear" w:color="auto" w:fill="E5F1F8"/>
          </w:tcPr>
          <w:p>
            <w:pPr>
              <w:spacing w:after="0"/>
              <w:rPr>
                <w:sz w:val="19"/>
                <w:szCs w:val="19"/>
                <w:color w:val="auto"/>
              </w:rPr>
            </w:pPr>
          </w:p>
        </w:tc>
        <w:tc>
          <w:tcPr>
            <w:tcW w:w="640" w:type="dxa"/>
            <w:vAlign w:val="bottom"/>
            <w:tcBorders>
              <w:bottom w:val="single" w:sz="8" w:color="E5F1F8"/>
              <w:right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2.9</w:t>
            </w:r>
          </w:p>
        </w:tc>
        <w:tc>
          <w:tcPr>
            <w:tcW w:w="1960" w:type="dxa"/>
            <w:vAlign w:val="bottom"/>
            <w:tcBorders>
              <w:bottom w:val="single" w:sz="8" w:color="E5F1F8"/>
              <w:right w:val="single" w:sz="8" w:color="E5F1F8"/>
            </w:tcBorders>
            <w:shd w:val="clear" w:color="auto" w:fill="E5F1F8"/>
          </w:tcPr>
          <w:p>
            <w:pPr>
              <w:jc w:val="right"/>
              <w:ind w:right="41"/>
              <w:spacing w:after="0" w:line="193" w:lineRule="exact"/>
              <w:rPr>
                <w:sz w:val="20"/>
                <w:szCs w:val="20"/>
                <w:color w:val="auto"/>
              </w:rPr>
            </w:pPr>
            <w:r>
              <w:rPr>
                <w:rFonts w:ascii="Calibri" w:cs="Calibri" w:eastAsia="Calibri" w:hAnsi="Calibri"/>
                <w:sz w:val="16"/>
                <w:szCs w:val="16"/>
                <w:color w:val="auto"/>
              </w:rPr>
              <w:t>3.0</w:t>
            </w:r>
          </w:p>
        </w:tc>
      </w:tr>
      <w:tr>
        <w:trPr>
          <w:trHeight w:val="187"/>
        </w:trPr>
        <w:tc>
          <w:tcPr>
            <w:tcW w:w="6640" w:type="dxa"/>
            <w:vAlign w:val="bottom"/>
            <w:tcBorders>
              <w:top w:val="single" w:sz="8" w:color="auto"/>
            </w:tcBorders>
            <w:gridSpan w:val="2"/>
          </w:tcPr>
          <w:p>
            <w:pPr>
              <w:ind w:left="120"/>
              <w:spacing w:after="0" w:line="187" w:lineRule="exact"/>
              <w:rPr>
                <w:sz w:val="20"/>
                <w:szCs w:val="20"/>
                <w:color w:val="auto"/>
              </w:rPr>
            </w:pPr>
            <w:r>
              <w:rPr>
                <w:rFonts w:ascii="Calibri" w:cs="Calibri" w:eastAsia="Calibri" w:hAnsi="Calibri"/>
                <w:sz w:val="16"/>
                <w:szCs w:val="16"/>
                <w:color w:val="auto"/>
              </w:rPr>
              <w:t>Total</w:t>
            </w:r>
          </w:p>
        </w:tc>
        <w:tc>
          <w:tcPr>
            <w:tcW w:w="680" w:type="dxa"/>
            <w:vAlign w:val="bottom"/>
            <w:tcBorders>
              <w:top w:val="single" w:sz="8" w:color="auto"/>
            </w:tcBorders>
          </w:tcPr>
          <w:p>
            <w:pPr>
              <w:jc w:val="right"/>
              <w:ind w:right="61"/>
              <w:spacing w:after="0" w:line="187" w:lineRule="exact"/>
              <w:rPr>
                <w:sz w:val="20"/>
                <w:szCs w:val="20"/>
                <w:color w:val="auto"/>
              </w:rPr>
            </w:pPr>
            <w:r>
              <w:rPr>
                <w:rFonts w:ascii="Calibri" w:cs="Calibri" w:eastAsia="Calibri" w:hAnsi="Calibri"/>
                <w:sz w:val="16"/>
                <w:szCs w:val="16"/>
                <w:b w:val="1"/>
                <w:bCs w:val="1"/>
                <w:color w:val="auto"/>
              </w:rPr>
              <w:t>218.1</w:t>
            </w:r>
          </w:p>
        </w:tc>
        <w:tc>
          <w:tcPr>
            <w:tcW w:w="13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9"/>
              <w:spacing w:after="0" w:line="187" w:lineRule="exact"/>
              <w:rPr>
                <w:sz w:val="20"/>
                <w:szCs w:val="20"/>
                <w:color w:val="auto"/>
              </w:rPr>
            </w:pPr>
            <w:r>
              <w:rPr>
                <w:rFonts w:ascii="Calibri" w:cs="Calibri" w:eastAsia="Calibri" w:hAnsi="Calibri"/>
                <w:sz w:val="16"/>
                <w:szCs w:val="16"/>
                <w:color w:val="auto"/>
              </w:rPr>
              <w:t>224.0</w:t>
            </w:r>
          </w:p>
        </w:tc>
        <w:tc>
          <w:tcPr>
            <w:tcW w:w="1960" w:type="dxa"/>
            <w:vAlign w:val="bottom"/>
            <w:tcBorders>
              <w:top w:val="single" w:sz="8" w:color="auto"/>
            </w:tcBorders>
          </w:tcPr>
          <w:p>
            <w:pPr>
              <w:jc w:val="right"/>
              <w:ind w:right="41"/>
              <w:spacing w:after="0" w:line="187" w:lineRule="exact"/>
              <w:rPr>
                <w:sz w:val="20"/>
                <w:szCs w:val="20"/>
                <w:color w:val="auto"/>
              </w:rPr>
            </w:pPr>
            <w:r>
              <w:rPr>
                <w:rFonts w:ascii="Calibri" w:cs="Calibri" w:eastAsia="Calibri" w:hAnsi="Calibri"/>
                <w:sz w:val="16"/>
                <w:szCs w:val="16"/>
                <w:color w:val="auto"/>
              </w:rPr>
              <w:t>208.0</w:t>
            </w:r>
          </w:p>
        </w:tc>
      </w:tr>
      <w:tr>
        <w:trPr>
          <w:trHeight w:val="36"/>
        </w:trPr>
        <w:tc>
          <w:tcPr>
            <w:tcW w:w="53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-320675</wp:posOffset>
            </wp:positionV>
            <wp:extent cx="33655"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179705"/>
                    </a:xfrm>
                    <a:prstGeom prst="rect">
                      <a:avLst/>
                    </a:prstGeom>
                    <a:noFill/>
                  </pic:spPr>
                </pic:pic>
              </a:graphicData>
            </a:graphic>
          </wp:anchor>
        </w:drawing>
        <w:drawing>
          <wp:anchor simplePos="0" relativeHeight="251657728" behindDoc="1" locked="0" layoutInCell="0" allowOverlap="1">
            <wp:simplePos x="0" y="0"/>
            <wp:positionH relativeFrom="column">
              <wp:posOffset>3343910</wp:posOffset>
            </wp:positionH>
            <wp:positionV relativeFrom="paragraph">
              <wp:posOffset>-320675</wp:posOffset>
            </wp:positionV>
            <wp:extent cx="33655" cy="3340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4621530</wp:posOffset>
            </wp:positionH>
            <wp:positionV relativeFrom="paragraph">
              <wp:posOffset>-320675</wp:posOffset>
            </wp:positionV>
            <wp:extent cx="33655" cy="3340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5873115</wp:posOffset>
            </wp:positionH>
            <wp:positionV relativeFrom="paragraph">
              <wp:posOffset>-320675</wp:posOffset>
            </wp:positionV>
            <wp:extent cx="33655" cy="3340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33401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214630</wp:posOffset>
            </wp:positionV>
            <wp:extent cx="325755" cy="196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3" w:name="page34"/>
    <w:bookmarkEnd w:id="33"/>
    <w:p>
      <w:pPr>
        <w:jc w:val="right"/>
        <w:spacing w:after="0"/>
        <w:rPr>
          <w:sz w:val="20"/>
          <w:szCs w:val="20"/>
          <w:color w:val="auto"/>
        </w:rPr>
      </w:pPr>
      <w:r>
        <w:rPr>
          <w:rFonts w:ascii="Calibri" w:cs="Calibri" w:eastAsia="Calibri" w:hAnsi="Calibri"/>
          <w:sz w:val="18"/>
          <w:szCs w:val="18"/>
          <w:color w:val="auto"/>
        </w:rPr>
        <w:t xml:space="preserve">Part I </w:t>
      </w:r>
      <w:r>
        <w:rPr>
          <w:rFonts w:ascii="Arial" w:cs="Arial" w:eastAsia="Arial" w:hAnsi="Arial"/>
          <w:sz w:val="23"/>
          <w:szCs w:val="23"/>
          <w:color w:val="0070C0"/>
        </w:rPr>
        <w:t>♦</w:t>
      </w:r>
      <w:r>
        <w:rPr>
          <w:rFonts w:ascii="Calibri" w:cs="Calibri" w:eastAsia="Calibri" w:hAnsi="Calibri"/>
          <w:sz w:val="18"/>
          <w:szCs w:val="18"/>
          <w:color w:val="auto"/>
        </w:rPr>
        <w:t xml:space="preserve"> Item 2 – Propertes</w:t>
      </w:r>
    </w:p>
    <w:p>
      <w:pPr>
        <w:spacing w:after="0" w:line="16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Cement</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2023, the Company processed or shipped cement from seven propertes, of which six are located on land owned by the Company free of major encumbrances and one is located on land owned in part and leased in part. The Company’s cement operatons in 2023 included producton facilites located at two sites in Texas: Midlothian, Texas, south of Dallas/Fort Worth; and New Braunfels, Texas, north of San Antonio. The Hunter cement plant in New Braunfels, Texas, is classifed as held for sale as of December 31, 2023. The following table summarizes certain informaton about the Company’s cement manufacturing facilites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3867150</wp:posOffset>
            </wp:positionH>
            <wp:positionV relativeFrom="paragraph">
              <wp:posOffset>73025</wp:posOffset>
            </wp:positionV>
            <wp:extent cx="128270" cy="6172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270" cy="61722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20" w:type="dxa"/>
            <w:vAlign w:val="bottom"/>
            <w:tcBorders>
              <w:right w:val="single" w:sz="8" w:color="007CBA"/>
            </w:tcBorders>
            <w:shd w:val="clear" w:color="auto" w:fill="007CBA"/>
          </w:tcPr>
          <w:p>
            <w:pPr>
              <w:spacing w:after="0"/>
              <w:rPr>
                <w:sz w:val="16"/>
                <w:szCs w:val="16"/>
                <w:color w:val="auto"/>
              </w:rPr>
            </w:pPr>
          </w:p>
        </w:tc>
        <w:tc>
          <w:tcPr>
            <w:tcW w:w="120" w:type="dxa"/>
            <w:vAlign w:val="bottom"/>
            <w:shd w:val="clear" w:color="auto" w:fill="007CBA"/>
          </w:tcPr>
          <w:p>
            <w:pPr>
              <w:spacing w:after="0"/>
              <w:rPr>
                <w:sz w:val="16"/>
                <w:szCs w:val="16"/>
                <w:color w:val="auto"/>
              </w:rPr>
            </w:pPr>
          </w:p>
        </w:tc>
        <w:tc>
          <w:tcPr>
            <w:tcW w:w="1100" w:type="dxa"/>
            <w:vAlign w:val="bottom"/>
            <w:shd w:val="clear" w:color="auto" w:fill="007CBA"/>
          </w:tcPr>
          <w:p>
            <w:pPr>
              <w:jc w:val="center"/>
              <w:ind w:left="188"/>
              <w:spacing w:after="0"/>
              <w:rPr>
                <w:sz w:val="20"/>
                <w:szCs w:val="20"/>
                <w:color w:val="auto"/>
              </w:rPr>
            </w:pPr>
            <w:r>
              <w:rPr>
                <w:rFonts w:ascii="Calibri" w:cs="Calibri" w:eastAsia="Calibri" w:hAnsi="Calibri"/>
                <w:sz w:val="14"/>
                <w:szCs w:val="14"/>
                <w:b w:val="1"/>
                <w:bCs w:val="1"/>
                <w:color w:val="FFFFFF"/>
              </w:rPr>
              <w:t>Rated Annual</w:t>
            </w:r>
          </w:p>
        </w:tc>
        <w:tc>
          <w:tcPr>
            <w:tcW w:w="380" w:type="dxa"/>
            <w:vAlign w:val="bottom"/>
            <w:tcBorders>
              <w:right w:val="single" w:sz="8" w:color="007CBA"/>
            </w:tcBorders>
            <w:shd w:val="clear" w:color="auto" w:fill="007CBA"/>
          </w:tcPr>
          <w:p>
            <w:pPr>
              <w:spacing w:after="0"/>
              <w:rPr>
                <w:sz w:val="16"/>
                <w:szCs w:val="16"/>
                <w:color w:val="auto"/>
              </w:rPr>
            </w:pPr>
          </w:p>
        </w:tc>
        <w:tc>
          <w:tcPr>
            <w:tcW w:w="1560" w:type="dxa"/>
            <w:vAlign w:val="bottom"/>
            <w:tcBorders>
              <w:right w:val="single" w:sz="8" w:color="007CBA"/>
            </w:tcBorders>
            <w:shd w:val="clear" w:color="auto" w:fill="007CBA"/>
          </w:tcPr>
          <w:p>
            <w:pPr>
              <w:spacing w:after="0"/>
              <w:rPr>
                <w:sz w:val="16"/>
                <w:szCs w:val="16"/>
                <w:color w:val="auto"/>
              </w:rPr>
            </w:pPr>
          </w:p>
        </w:tc>
        <w:tc>
          <w:tcPr>
            <w:tcW w:w="1820" w:type="dxa"/>
            <w:vAlign w:val="bottom"/>
            <w:tcBorders>
              <w:right w:val="single" w:sz="8" w:color="007CBA"/>
            </w:tcBorders>
            <w:shd w:val="clear" w:color="auto" w:fill="007CBA"/>
          </w:tcPr>
          <w:p>
            <w:pPr>
              <w:spacing w:after="0"/>
              <w:rPr>
                <w:sz w:val="16"/>
                <w:szCs w:val="16"/>
                <w:color w:val="auto"/>
              </w:rPr>
            </w:pPr>
          </w:p>
        </w:tc>
        <w:tc>
          <w:tcPr>
            <w:tcW w:w="1740" w:type="dxa"/>
            <w:vAlign w:val="bottom"/>
            <w:shd w:val="clear" w:color="auto" w:fill="007CBA"/>
          </w:tcPr>
          <w:p>
            <w:pPr>
              <w:spacing w:after="0"/>
              <w:rPr>
                <w:sz w:val="16"/>
                <w:szCs w:val="16"/>
                <w:color w:val="auto"/>
              </w:rPr>
            </w:pPr>
          </w:p>
        </w:tc>
      </w:tr>
      <w:tr>
        <w:trPr>
          <w:trHeight w:val="170"/>
        </w:trPr>
        <w:tc>
          <w:tcPr>
            <w:tcW w:w="4520" w:type="dxa"/>
            <w:vAlign w:val="bottom"/>
            <w:tcBorders>
              <w:right w:val="single" w:sz="8" w:color="007CBA"/>
            </w:tcBorders>
            <w:shd w:val="clear" w:color="auto" w:fill="007CBA"/>
          </w:tcPr>
          <w:p>
            <w:pPr>
              <w:spacing w:after="0"/>
              <w:rPr>
                <w:sz w:val="14"/>
                <w:szCs w:val="14"/>
                <w:color w:val="auto"/>
              </w:rPr>
            </w:pPr>
          </w:p>
        </w:tc>
        <w:tc>
          <w:tcPr>
            <w:tcW w:w="120" w:type="dxa"/>
            <w:vAlign w:val="bottom"/>
            <w:shd w:val="clear" w:color="auto" w:fill="007CBA"/>
          </w:tcPr>
          <w:p>
            <w:pPr>
              <w:spacing w:after="0"/>
              <w:rPr>
                <w:sz w:val="14"/>
                <w:szCs w:val="14"/>
                <w:color w:val="auto"/>
              </w:rPr>
            </w:pPr>
          </w:p>
        </w:tc>
        <w:tc>
          <w:tcPr>
            <w:tcW w:w="1100" w:type="dxa"/>
            <w:vAlign w:val="bottom"/>
            <w:shd w:val="clear" w:color="auto" w:fill="007CBA"/>
          </w:tcPr>
          <w:p>
            <w:pPr>
              <w:jc w:val="center"/>
              <w:ind w:left="188"/>
              <w:spacing w:after="0"/>
              <w:rPr>
                <w:sz w:val="20"/>
                <w:szCs w:val="20"/>
                <w:color w:val="auto"/>
              </w:rPr>
            </w:pPr>
            <w:r>
              <w:rPr>
                <w:rFonts w:ascii="Calibri" w:cs="Calibri" w:eastAsia="Calibri" w:hAnsi="Calibri"/>
                <w:sz w:val="14"/>
                <w:szCs w:val="14"/>
                <w:b w:val="1"/>
                <w:bCs w:val="1"/>
                <w:color w:val="FFFFFF"/>
              </w:rPr>
              <w:t>Productve</w:t>
            </w:r>
          </w:p>
        </w:tc>
        <w:tc>
          <w:tcPr>
            <w:tcW w:w="380" w:type="dxa"/>
            <w:vAlign w:val="bottom"/>
            <w:tcBorders>
              <w:right w:val="single" w:sz="8" w:color="007CBA"/>
            </w:tcBorders>
            <w:shd w:val="clear" w:color="auto" w:fill="007CBA"/>
          </w:tcPr>
          <w:p>
            <w:pPr>
              <w:spacing w:after="0"/>
              <w:rPr>
                <w:sz w:val="14"/>
                <w:szCs w:val="14"/>
                <w:color w:val="auto"/>
              </w:rPr>
            </w:pPr>
          </w:p>
        </w:tc>
        <w:tc>
          <w:tcPr>
            <w:tcW w:w="1560" w:type="dxa"/>
            <w:vAlign w:val="bottom"/>
            <w:tcBorders>
              <w:right w:val="single" w:sz="8" w:color="007CBA"/>
            </w:tcBorders>
            <w:shd w:val="clear" w:color="auto" w:fill="007CBA"/>
          </w:tcPr>
          <w:p>
            <w:pPr>
              <w:spacing w:after="0"/>
              <w:rPr>
                <w:sz w:val="14"/>
                <w:szCs w:val="14"/>
                <w:color w:val="auto"/>
              </w:rPr>
            </w:pPr>
          </w:p>
        </w:tc>
        <w:tc>
          <w:tcPr>
            <w:tcW w:w="1820" w:type="dxa"/>
            <w:vAlign w:val="bottom"/>
            <w:tcBorders>
              <w:right w:val="single" w:sz="8" w:color="007CBA"/>
            </w:tcBorders>
            <w:shd w:val="clear" w:color="auto" w:fill="007CBA"/>
          </w:tcPr>
          <w:p>
            <w:pPr>
              <w:spacing w:after="0"/>
              <w:rPr>
                <w:sz w:val="14"/>
                <w:szCs w:val="14"/>
                <w:color w:val="auto"/>
              </w:rPr>
            </w:pPr>
          </w:p>
        </w:tc>
        <w:tc>
          <w:tcPr>
            <w:tcW w:w="1740" w:type="dxa"/>
            <w:vAlign w:val="bottom"/>
            <w:shd w:val="clear" w:color="auto" w:fill="007CBA"/>
          </w:tcPr>
          <w:p>
            <w:pPr>
              <w:spacing w:after="0"/>
              <w:rPr>
                <w:sz w:val="14"/>
                <w:szCs w:val="14"/>
                <w:color w:val="auto"/>
              </w:rPr>
            </w:pPr>
          </w:p>
        </w:tc>
      </w:tr>
      <w:tr>
        <w:trPr>
          <w:trHeight w:val="181"/>
        </w:trPr>
        <w:tc>
          <w:tcPr>
            <w:tcW w:w="4520" w:type="dxa"/>
            <w:vAlign w:val="bottom"/>
            <w:tcBorders>
              <w:right w:val="single" w:sz="8" w:color="007CBA"/>
            </w:tcBorders>
            <w:shd w:val="clear" w:color="auto" w:fill="007CBA"/>
          </w:tcPr>
          <w:p>
            <w:pPr>
              <w:spacing w:after="0"/>
              <w:rPr>
                <w:sz w:val="15"/>
                <w:szCs w:val="15"/>
                <w:color w:val="auto"/>
              </w:rPr>
            </w:pPr>
          </w:p>
        </w:tc>
        <w:tc>
          <w:tcPr>
            <w:tcW w:w="120" w:type="dxa"/>
            <w:vAlign w:val="bottom"/>
            <w:shd w:val="clear" w:color="auto" w:fill="007CBA"/>
          </w:tcPr>
          <w:p>
            <w:pPr>
              <w:spacing w:after="0"/>
              <w:rPr>
                <w:sz w:val="15"/>
                <w:szCs w:val="15"/>
                <w:color w:val="auto"/>
              </w:rPr>
            </w:pPr>
          </w:p>
        </w:tc>
        <w:tc>
          <w:tcPr>
            <w:tcW w:w="1100" w:type="dxa"/>
            <w:vAlign w:val="bottom"/>
            <w:shd w:val="clear" w:color="auto" w:fill="007CBA"/>
          </w:tcPr>
          <w:p>
            <w:pPr>
              <w:jc w:val="center"/>
              <w:ind w:left="168"/>
              <w:spacing w:after="0"/>
              <w:rPr>
                <w:sz w:val="20"/>
                <w:szCs w:val="20"/>
                <w:color w:val="auto"/>
              </w:rPr>
            </w:pPr>
            <w:r>
              <w:rPr>
                <w:rFonts w:ascii="Calibri" w:cs="Calibri" w:eastAsia="Calibri" w:hAnsi="Calibri"/>
                <w:sz w:val="14"/>
                <w:szCs w:val="14"/>
                <w:b w:val="1"/>
                <w:bCs w:val="1"/>
                <w:color w:val="FFFFFF"/>
              </w:rPr>
              <w:t>Capacity-Tons</w:t>
            </w:r>
          </w:p>
        </w:tc>
        <w:tc>
          <w:tcPr>
            <w:tcW w:w="380" w:type="dxa"/>
            <w:vAlign w:val="bottom"/>
            <w:tcBorders>
              <w:right w:val="single" w:sz="8" w:color="007CBA"/>
            </w:tcBorders>
            <w:shd w:val="clear" w:color="auto" w:fill="007CBA"/>
          </w:tcPr>
          <w:p>
            <w:pPr>
              <w:spacing w:after="0"/>
              <w:rPr>
                <w:sz w:val="15"/>
                <w:szCs w:val="15"/>
                <w:color w:val="auto"/>
              </w:rPr>
            </w:pPr>
          </w:p>
        </w:tc>
        <w:tc>
          <w:tcPr>
            <w:tcW w:w="1560" w:type="dxa"/>
            <w:vAlign w:val="bottom"/>
            <w:tcBorders>
              <w:right w:val="single" w:sz="8" w:color="007CBA"/>
            </w:tcBorders>
            <w:shd w:val="clear" w:color="auto" w:fill="007CBA"/>
          </w:tcPr>
          <w:p>
            <w:pPr>
              <w:spacing w:after="0"/>
              <w:rPr>
                <w:sz w:val="15"/>
                <w:szCs w:val="15"/>
                <w:color w:val="auto"/>
              </w:rPr>
            </w:pPr>
          </w:p>
        </w:tc>
        <w:tc>
          <w:tcPr>
            <w:tcW w:w="182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Internally</w:t>
            </w:r>
          </w:p>
        </w:tc>
      </w:tr>
      <w:tr>
        <w:trPr>
          <w:trHeight w:val="176"/>
        </w:trPr>
        <w:tc>
          <w:tcPr>
            <w:tcW w:w="4520" w:type="dxa"/>
            <w:vAlign w:val="bottom"/>
            <w:tcBorders>
              <w:right w:val="single" w:sz="8" w:color="007CBA"/>
            </w:tcBorders>
            <w:shd w:val="clear" w:color="auto" w:fill="007CBA"/>
          </w:tcPr>
          <w:p>
            <w:pPr>
              <w:spacing w:after="0"/>
              <w:rPr>
                <w:sz w:val="15"/>
                <w:szCs w:val="15"/>
                <w:color w:val="auto"/>
              </w:rPr>
            </w:pPr>
          </w:p>
        </w:tc>
        <w:tc>
          <w:tcPr>
            <w:tcW w:w="120" w:type="dxa"/>
            <w:vAlign w:val="bottom"/>
            <w:shd w:val="clear" w:color="auto" w:fill="007CBA"/>
          </w:tcPr>
          <w:p>
            <w:pPr>
              <w:spacing w:after="0"/>
              <w:rPr>
                <w:sz w:val="15"/>
                <w:szCs w:val="15"/>
                <w:color w:val="auto"/>
              </w:rPr>
            </w:pPr>
          </w:p>
        </w:tc>
        <w:tc>
          <w:tcPr>
            <w:tcW w:w="1100" w:type="dxa"/>
            <w:vAlign w:val="bottom"/>
            <w:shd w:val="clear" w:color="auto" w:fill="007CBA"/>
          </w:tcPr>
          <w:p>
            <w:pPr>
              <w:jc w:val="center"/>
              <w:ind w:left="168"/>
              <w:spacing w:after="0"/>
              <w:rPr>
                <w:sz w:val="20"/>
                <w:szCs w:val="20"/>
                <w:color w:val="auto"/>
              </w:rPr>
            </w:pPr>
            <w:r>
              <w:rPr>
                <w:rFonts w:ascii="Calibri" w:cs="Calibri" w:eastAsia="Calibri" w:hAnsi="Calibri"/>
                <w:sz w:val="14"/>
                <w:szCs w:val="14"/>
                <w:b w:val="1"/>
                <w:bCs w:val="1"/>
                <w:color w:val="FFFFFF"/>
              </w:rPr>
              <w:t>of Clinker</w:t>
            </w:r>
          </w:p>
        </w:tc>
        <w:tc>
          <w:tcPr>
            <w:tcW w:w="380" w:type="dxa"/>
            <w:vAlign w:val="bottom"/>
            <w:tcBorders>
              <w:right w:val="single" w:sz="8" w:color="007CBA"/>
            </w:tcBorders>
            <w:shd w:val="clear" w:color="auto" w:fill="007CBA"/>
          </w:tcPr>
          <w:p>
            <w:pPr>
              <w:spacing w:after="0"/>
              <w:rPr>
                <w:sz w:val="15"/>
                <w:szCs w:val="15"/>
                <w:color w:val="auto"/>
              </w:rPr>
            </w:pPr>
          </w:p>
        </w:tc>
        <w:tc>
          <w:tcPr>
            <w:tcW w:w="1560" w:type="dxa"/>
            <w:vAlign w:val="bottom"/>
            <w:tcBorders>
              <w:right w:val="single" w:sz="8" w:color="007CBA"/>
            </w:tcBorders>
            <w:shd w:val="clear" w:color="auto" w:fill="007CBA"/>
          </w:tcPr>
          <w:p>
            <w:pPr>
              <w:jc w:val="center"/>
              <w:ind w:left="84"/>
              <w:spacing w:after="0"/>
              <w:rPr>
                <w:sz w:val="20"/>
                <w:szCs w:val="20"/>
                <w:color w:val="auto"/>
              </w:rPr>
            </w:pPr>
            <w:r>
              <w:rPr>
                <w:rFonts w:ascii="Calibri" w:cs="Calibri" w:eastAsia="Calibri" w:hAnsi="Calibri"/>
                <w:sz w:val="14"/>
                <w:szCs w:val="14"/>
                <w:b w:val="1"/>
                <w:bCs w:val="1"/>
                <w:color w:val="FFFFFF"/>
              </w:rPr>
              <w:t>Manufacturing</w:t>
            </w:r>
          </w:p>
        </w:tc>
        <w:tc>
          <w:tcPr>
            <w:tcW w:w="182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Estmated</w:t>
            </w:r>
          </w:p>
        </w:tc>
      </w:tr>
      <w:tr>
        <w:trPr>
          <w:trHeight w:val="197"/>
        </w:trPr>
        <w:tc>
          <w:tcPr>
            <w:tcW w:w="4640" w:type="dxa"/>
            <w:vAlign w:val="bottom"/>
            <w:tcBorders>
              <w:bottom w:val="single" w:sz="8" w:color="007CBA"/>
            </w:tcBorders>
            <w:gridSpan w:val="2"/>
            <w:shd w:val="clear" w:color="auto" w:fill="007CBA"/>
          </w:tcPr>
          <w:p>
            <w:pPr>
              <w:ind w:left="100"/>
              <w:spacing w:after="0"/>
              <w:rPr>
                <w:sz w:val="20"/>
                <w:szCs w:val="20"/>
                <w:color w:val="auto"/>
              </w:rPr>
            </w:pPr>
            <w:r>
              <w:rPr>
                <w:rFonts w:ascii="Calibri" w:cs="Calibri" w:eastAsia="Calibri" w:hAnsi="Calibri"/>
                <w:sz w:val="14"/>
                <w:szCs w:val="14"/>
                <w:b w:val="1"/>
                <w:bCs w:val="1"/>
                <w:color w:val="FFFFFF"/>
              </w:rPr>
              <w:t>Plant</w:t>
            </w:r>
          </w:p>
        </w:tc>
        <w:tc>
          <w:tcPr>
            <w:tcW w:w="1100" w:type="dxa"/>
            <w:vAlign w:val="bottom"/>
            <w:tcBorders>
              <w:bottom w:val="single" w:sz="8" w:color="007CBA"/>
            </w:tcBorders>
            <w:shd w:val="clear" w:color="auto" w:fill="007CBA"/>
          </w:tcPr>
          <w:p>
            <w:pPr>
              <w:jc w:val="center"/>
              <w:ind w:left="168"/>
              <w:spacing w:after="0"/>
              <w:rPr>
                <w:sz w:val="20"/>
                <w:szCs w:val="20"/>
                <w:color w:val="auto"/>
              </w:rPr>
            </w:pPr>
            <w:r>
              <w:rPr>
                <w:rFonts w:ascii="Calibri" w:cs="Calibri" w:eastAsia="Calibri" w:hAnsi="Calibri"/>
                <w:sz w:val="14"/>
                <w:szCs w:val="14"/>
                <w:b w:val="1"/>
                <w:bCs w:val="1"/>
                <w:color w:val="FFFFFF"/>
              </w:rPr>
              <w:t>(in millions)</w:t>
            </w:r>
          </w:p>
        </w:tc>
        <w:tc>
          <w:tcPr>
            <w:tcW w:w="380" w:type="dxa"/>
            <w:vAlign w:val="bottom"/>
            <w:tcBorders>
              <w:bottom w:val="single" w:sz="8" w:color="007CBA"/>
              <w:right w:val="single" w:sz="8" w:color="007CBA"/>
            </w:tcBorders>
            <w:shd w:val="clear" w:color="auto" w:fill="007CBA"/>
          </w:tcPr>
          <w:p>
            <w:pPr>
              <w:spacing w:after="0"/>
              <w:rPr>
                <w:sz w:val="17"/>
                <w:szCs w:val="17"/>
                <w:color w:val="auto"/>
              </w:rPr>
            </w:pPr>
          </w:p>
        </w:tc>
        <w:tc>
          <w:tcPr>
            <w:tcW w:w="1560" w:type="dxa"/>
            <w:vAlign w:val="bottom"/>
            <w:tcBorders>
              <w:bottom w:val="single" w:sz="8" w:color="007CBA"/>
              <w:right w:val="single" w:sz="8" w:color="007CBA"/>
            </w:tcBorders>
            <w:shd w:val="clear" w:color="auto" w:fill="007CBA"/>
          </w:tcPr>
          <w:p>
            <w:pPr>
              <w:jc w:val="center"/>
              <w:ind w:left="64"/>
              <w:spacing w:after="0"/>
              <w:rPr>
                <w:sz w:val="20"/>
                <w:szCs w:val="20"/>
                <w:color w:val="auto"/>
              </w:rPr>
            </w:pPr>
            <w:r>
              <w:rPr>
                <w:rFonts w:ascii="Calibri" w:cs="Calibri" w:eastAsia="Calibri" w:hAnsi="Calibri"/>
                <w:sz w:val="14"/>
                <w:szCs w:val="14"/>
                <w:b w:val="1"/>
                <w:bCs w:val="1"/>
                <w:color w:val="FFFFFF"/>
              </w:rPr>
              <w:t>Process</w:t>
            </w:r>
          </w:p>
        </w:tc>
        <w:tc>
          <w:tcPr>
            <w:tcW w:w="1820" w:type="dxa"/>
            <w:vAlign w:val="bottom"/>
            <w:tcBorders>
              <w:bottom w:val="single" w:sz="8" w:color="007CBA"/>
              <w:right w:val="single" w:sz="8" w:color="007CBA"/>
            </w:tcBorders>
            <w:shd w:val="clear" w:color="auto" w:fill="007CBA"/>
          </w:tcPr>
          <w:p>
            <w:pPr>
              <w:ind w:left="620"/>
              <w:spacing w:after="0"/>
              <w:rPr>
                <w:sz w:val="20"/>
                <w:szCs w:val="20"/>
                <w:color w:val="auto"/>
              </w:rPr>
            </w:pPr>
            <w:r>
              <w:rPr>
                <w:rFonts w:ascii="Calibri" w:cs="Calibri" w:eastAsia="Calibri" w:hAnsi="Calibri"/>
                <w:sz w:val="14"/>
                <w:szCs w:val="14"/>
                <w:b w:val="1"/>
                <w:bCs w:val="1"/>
                <w:color w:val="FFFFFF"/>
              </w:rPr>
              <w:t>Service Date</w:t>
            </w:r>
          </w:p>
        </w:tc>
        <w:tc>
          <w:tcPr>
            <w:tcW w:w="1740" w:type="dxa"/>
            <w:vAlign w:val="bottom"/>
            <w:tcBorders>
              <w:bottom w:val="single" w:sz="8" w:color="007CBA"/>
            </w:tcBorders>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Reserves—Years</w:t>
            </w:r>
          </w:p>
        </w:tc>
      </w:tr>
      <w:tr>
        <w:trPr>
          <w:trHeight w:val="229"/>
        </w:trPr>
        <w:tc>
          <w:tcPr>
            <w:tcW w:w="452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Midlothian, TX</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2.4</w:t>
            </w:r>
          </w:p>
        </w:tc>
        <w:tc>
          <w:tcPr>
            <w:tcW w:w="1560" w:type="dxa"/>
            <w:vAlign w:val="bottom"/>
            <w:tcBorders>
              <w:right w:val="single" w:sz="8" w:color="007CBA"/>
            </w:tcBorders>
          </w:tcPr>
          <w:p>
            <w:pPr>
              <w:jc w:val="center"/>
              <w:ind w:left="64"/>
              <w:spacing w:after="0" w:line="193" w:lineRule="exact"/>
              <w:rPr>
                <w:sz w:val="20"/>
                <w:szCs w:val="20"/>
                <w:color w:val="auto"/>
              </w:rPr>
            </w:pPr>
            <w:r>
              <w:rPr>
                <w:rFonts w:ascii="Calibri" w:cs="Calibri" w:eastAsia="Calibri" w:hAnsi="Calibri"/>
                <w:sz w:val="16"/>
                <w:szCs w:val="16"/>
                <w:color w:val="auto"/>
                <w:w w:val="96"/>
              </w:rPr>
              <w:t>Dry</w:t>
            </w:r>
          </w:p>
        </w:tc>
        <w:tc>
          <w:tcPr>
            <w:tcW w:w="1820" w:type="dxa"/>
            <w:vAlign w:val="bottom"/>
            <w:tcBorders>
              <w:right w:val="single" w:sz="8" w:color="007CBA"/>
            </w:tcBorders>
          </w:tcPr>
          <w:p>
            <w:pPr>
              <w:jc w:val="right"/>
              <w:ind w:right="602"/>
              <w:spacing w:after="0" w:line="193" w:lineRule="exact"/>
              <w:rPr>
                <w:sz w:val="20"/>
                <w:szCs w:val="20"/>
                <w:color w:val="auto"/>
              </w:rPr>
            </w:pPr>
            <w:r>
              <w:rPr>
                <w:rFonts w:ascii="Calibri" w:cs="Calibri" w:eastAsia="Calibri" w:hAnsi="Calibri"/>
                <w:sz w:val="16"/>
                <w:szCs w:val="16"/>
                <w:color w:val="auto"/>
              </w:rPr>
              <w:t>2001</w:t>
            </w:r>
          </w:p>
        </w:tc>
        <w:tc>
          <w:tcPr>
            <w:tcW w:w="1740" w:type="dxa"/>
            <w:vAlign w:val="bottom"/>
          </w:tcPr>
          <w:p>
            <w:pPr>
              <w:jc w:val="right"/>
              <w:ind w:right="44"/>
              <w:spacing w:after="0" w:line="193" w:lineRule="exact"/>
              <w:rPr>
                <w:sz w:val="20"/>
                <w:szCs w:val="20"/>
                <w:color w:val="auto"/>
              </w:rPr>
            </w:pPr>
            <w:r>
              <w:rPr>
                <w:rFonts w:ascii="Calibri" w:cs="Calibri" w:eastAsia="Calibri" w:hAnsi="Calibri"/>
                <w:sz w:val="16"/>
                <w:szCs w:val="16"/>
                <w:color w:val="auto"/>
              </w:rPr>
              <w:t>60</w:t>
            </w:r>
          </w:p>
        </w:tc>
      </w:tr>
      <w:tr>
        <w:trPr>
          <w:trHeight w:val="235"/>
        </w:trPr>
        <w:tc>
          <w:tcPr>
            <w:tcW w:w="4640" w:type="dxa"/>
            <w:vAlign w:val="bottom"/>
            <w:tcBorders>
              <w:bottom w:val="single" w:sz="8" w:color="E5F1F8"/>
            </w:tcBorders>
            <w:gridSpan w:val="2"/>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Hunter, TX</w:t>
            </w:r>
          </w:p>
        </w:tc>
        <w:tc>
          <w:tcPr>
            <w:tcW w:w="1100" w:type="dxa"/>
            <w:vAlign w:val="bottom"/>
            <w:tcBorders>
              <w:bottom w:val="single" w:sz="8" w:color="E5F1F8"/>
            </w:tcBorders>
            <w:shd w:val="clear" w:color="auto" w:fill="E5F1F8"/>
          </w:tcPr>
          <w:p>
            <w:pPr>
              <w:spacing w:after="0"/>
              <w:rPr>
                <w:sz w:val="19"/>
                <w:szCs w:val="19"/>
                <w:color w:val="auto"/>
              </w:rPr>
            </w:pPr>
          </w:p>
        </w:tc>
        <w:tc>
          <w:tcPr>
            <w:tcW w:w="380" w:type="dxa"/>
            <w:vAlign w:val="bottom"/>
            <w:tcBorders>
              <w:bottom w:val="single" w:sz="8" w:color="E5F1F8"/>
              <w:right w:val="single" w:sz="8" w:color="E5F1F8"/>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2.1</w:t>
            </w:r>
          </w:p>
        </w:tc>
        <w:tc>
          <w:tcPr>
            <w:tcW w:w="1560" w:type="dxa"/>
            <w:vAlign w:val="bottom"/>
            <w:tcBorders>
              <w:bottom w:val="single" w:sz="8" w:color="E5F1F8"/>
              <w:right w:val="single" w:sz="8" w:color="007CBA"/>
            </w:tcBorders>
            <w:shd w:val="clear" w:color="auto" w:fill="E5F1F8"/>
          </w:tcPr>
          <w:p>
            <w:pPr>
              <w:jc w:val="center"/>
              <w:ind w:left="64"/>
              <w:spacing w:after="0"/>
              <w:rPr>
                <w:sz w:val="20"/>
                <w:szCs w:val="20"/>
                <w:color w:val="auto"/>
              </w:rPr>
            </w:pPr>
            <w:r>
              <w:rPr>
                <w:rFonts w:ascii="Calibri" w:cs="Calibri" w:eastAsia="Calibri" w:hAnsi="Calibri"/>
                <w:sz w:val="16"/>
                <w:szCs w:val="16"/>
                <w:color w:val="auto"/>
                <w:w w:val="96"/>
              </w:rPr>
              <w:t>Dry</w:t>
            </w:r>
          </w:p>
        </w:tc>
        <w:tc>
          <w:tcPr>
            <w:tcW w:w="1820" w:type="dxa"/>
            <w:vAlign w:val="bottom"/>
            <w:tcBorders>
              <w:bottom w:val="single" w:sz="8" w:color="E5F1F8"/>
              <w:right w:val="single" w:sz="8" w:color="007CBA"/>
            </w:tcBorders>
            <w:shd w:val="clear" w:color="auto" w:fill="E5F1F8"/>
          </w:tcPr>
          <w:p>
            <w:pPr>
              <w:jc w:val="right"/>
              <w:ind w:right="402"/>
              <w:spacing w:after="0"/>
              <w:rPr>
                <w:sz w:val="20"/>
                <w:szCs w:val="20"/>
                <w:color w:val="auto"/>
              </w:rPr>
            </w:pPr>
            <w:r>
              <w:rPr>
                <w:rFonts w:ascii="Calibri" w:cs="Calibri" w:eastAsia="Calibri" w:hAnsi="Calibri"/>
                <w:sz w:val="16"/>
                <w:szCs w:val="16"/>
                <w:color w:val="auto"/>
              </w:rPr>
              <w:t>2013, 1981</w:t>
            </w:r>
          </w:p>
        </w:tc>
        <w:tc>
          <w:tcPr>
            <w:tcW w:w="1740" w:type="dxa"/>
            <w:vAlign w:val="bottom"/>
            <w:tcBorders>
              <w:bottom w:val="single" w:sz="8" w:color="E5F1F8"/>
            </w:tcBorders>
            <w:shd w:val="clear" w:color="auto" w:fill="E5F1F8"/>
          </w:tcPr>
          <w:p>
            <w:pPr>
              <w:jc w:val="right"/>
              <w:ind w:right="44"/>
              <w:spacing w:after="0"/>
              <w:rPr>
                <w:sz w:val="20"/>
                <w:szCs w:val="20"/>
                <w:color w:val="auto"/>
              </w:rPr>
            </w:pPr>
            <w:r>
              <w:rPr>
                <w:rFonts w:ascii="Calibri" w:cs="Calibri" w:eastAsia="Calibri" w:hAnsi="Calibri"/>
                <w:sz w:val="16"/>
                <w:szCs w:val="16"/>
                <w:color w:val="auto"/>
              </w:rPr>
              <w:t>140</w:t>
            </w:r>
          </w:p>
        </w:tc>
      </w:tr>
      <w:tr>
        <w:trPr>
          <w:trHeight w:val="187"/>
        </w:trPr>
        <w:tc>
          <w:tcPr>
            <w:tcW w:w="4640" w:type="dxa"/>
            <w:vAlign w:val="bottom"/>
            <w:tcBorders>
              <w:top w:val="single" w:sz="8" w:color="auto"/>
            </w:tcBorders>
            <w:gridSpan w:val="2"/>
          </w:tcPr>
          <w:p>
            <w:pPr>
              <w:ind w:left="120"/>
              <w:spacing w:after="0" w:line="187" w:lineRule="exact"/>
              <w:rPr>
                <w:sz w:val="20"/>
                <w:szCs w:val="20"/>
                <w:color w:val="auto"/>
              </w:rPr>
            </w:pPr>
            <w:r>
              <w:rPr>
                <w:rFonts w:ascii="Calibri" w:cs="Calibri" w:eastAsia="Calibri" w:hAnsi="Calibri"/>
                <w:sz w:val="16"/>
                <w:szCs w:val="16"/>
                <w:color w:val="auto"/>
              </w:rPr>
              <w:t>Total</w:t>
            </w:r>
          </w:p>
        </w:tc>
        <w:tc>
          <w:tcPr>
            <w:tcW w:w="1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rPr>
              <w:t>4.5</w:t>
            </w:r>
          </w:p>
        </w:tc>
        <w:tc>
          <w:tcPr>
            <w:tcW w:w="1560" w:type="dxa"/>
            <w:vAlign w:val="bottom"/>
            <w:tcBorders>
              <w:top w:val="single" w:sz="8" w:color="E5F1F8"/>
            </w:tcBorders>
          </w:tcPr>
          <w:p>
            <w:pPr>
              <w:spacing w:after="0"/>
              <w:rPr>
                <w:sz w:val="16"/>
                <w:szCs w:val="16"/>
                <w:color w:val="auto"/>
              </w:rPr>
            </w:pPr>
          </w:p>
        </w:tc>
        <w:tc>
          <w:tcPr>
            <w:tcW w:w="1820" w:type="dxa"/>
            <w:vAlign w:val="bottom"/>
            <w:tcBorders>
              <w:top w:val="single" w:sz="8" w:color="E5F1F8"/>
            </w:tcBorders>
          </w:tcPr>
          <w:p>
            <w:pPr>
              <w:spacing w:after="0"/>
              <w:rPr>
                <w:sz w:val="16"/>
                <w:szCs w:val="16"/>
                <w:color w:val="auto"/>
              </w:rPr>
            </w:pPr>
          </w:p>
        </w:tc>
        <w:tc>
          <w:tcPr>
            <w:tcW w:w="1740" w:type="dxa"/>
            <w:vAlign w:val="bottom"/>
            <w:tcBorders>
              <w:top w:val="single" w:sz="8" w:color="E5F1F8"/>
            </w:tcBorders>
          </w:tcPr>
          <w:p>
            <w:pPr>
              <w:spacing w:after="0"/>
              <w:rPr>
                <w:sz w:val="16"/>
                <w:szCs w:val="16"/>
                <w:color w:val="auto"/>
              </w:rPr>
            </w:pPr>
          </w:p>
        </w:tc>
      </w:tr>
      <w:tr>
        <w:trPr>
          <w:trHeight w:val="36"/>
        </w:trPr>
        <w:tc>
          <w:tcPr>
            <w:tcW w:w="4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-320675</wp:posOffset>
            </wp:positionV>
            <wp:extent cx="34290" cy="3340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334010"/>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-320675</wp:posOffset>
            </wp:positionV>
            <wp:extent cx="124460" cy="3340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4460" cy="334010"/>
                    </a:xfrm>
                    <a:prstGeom prst="rect">
                      <a:avLst/>
                    </a:prstGeom>
                    <a:noFill/>
                  </pic:spPr>
                </pic:pic>
              </a:graphicData>
            </a:graphic>
          </wp:anchor>
        </w:drawing>
        <w:drawing>
          <wp:anchor simplePos="0" relativeHeight="251657728" behindDoc="1" locked="0" layoutInCell="0" allowOverlap="1">
            <wp:simplePos x="0" y="0"/>
            <wp:positionH relativeFrom="column">
              <wp:posOffset>4852670</wp:posOffset>
            </wp:positionH>
            <wp:positionV relativeFrom="paragraph">
              <wp:posOffset>-166370</wp:posOffset>
            </wp:positionV>
            <wp:extent cx="33655"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17970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-166370</wp:posOffset>
            </wp:positionV>
            <wp:extent cx="3429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17970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Reserves identfed with the facilites shown above are contained on approximately 3,000 acres of land owned by the Company. As of December 31, 2023, the Company estmated its total proven and probable limestone reserves on such land to be approximately 667 million tons, which are included in the Summary Mineral Reserves table.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cement manufacturing facilites include kilns, crushers, pre-heaters/calciners, coolers, fnish mills and other equipment used to process limestone and other raw materials into cement, as well as equipment used to extract and transport the limestone from the adjacent quarries. These cement manufacturing facilites are served by rail and truck.</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2023, the Company also operated, directly or through third partes, 5 cement distributon terminals, of which 3 are classifed as assets held for sale.</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Magnesia Specialtes Business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Magnesia Specialtes business currently operates major manufacturing facilites in Manistee, Michigan, and Woodville, Ohio. Both of these facilites are owned.</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Other Propertes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principal corporate ofce, which it leases, is located in Raleigh, North Carolina. The Company owns and leases various administratve ofces for its fve operatng business segments.</w:t>
      </w:r>
    </w:p>
    <w:p>
      <w:pPr>
        <w:spacing w:after="0" w:line="186"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Conditon and Utlizaton</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principal propertes, which are of varying ages and constructon types, are believed to be generally in good conditon, are generally well maintained, and are generally suitable and adequate for the purposes for which they are used.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2023, the principal propertes of the aggregates operatons were believed to be utlized at average productve capacites of approximately 75% and were capable of supportng a higher level of market demand. The Company adjusts its producton schedules to meet volume demand for its products.</w:t>
      </w:r>
    </w:p>
    <w:p>
      <w:pPr>
        <w:spacing w:after="0" w:line="110"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During 2023, the Texas cement kilns operated on average at 71% utlizaton. The cement business’ leadership, in collaboraton with the aggregates and ready mixed concrete teams, has developed strategic plans regarding inter-plant efciencies, as well as tactcal plans addressing plant utlizaton and efciency.</w:t>
      </w:r>
    </w:p>
    <w:p>
      <w:pPr>
        <w:spacing w:after="0" w:line="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Magnesia Specialtes business expects future organic proft growth to result from increased pricing, commercializaton of new products, entry into new or adjacent markets and optmizaton of overall product mix. In the current operatng environment, where monthly steel utlizaton ranged between 70% and 76% in 2023, any unplanned change in costs or customers introduces volatlity to the earnings of the Magnesia Specialtes segment. The dolomitc lime business of the Magnesia Specialtes segment operated at 77% utlizaton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74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4" w:name="page35"/>
    <w:bookmarkEnd w:id="34"/>
    <w:p>
      <w:pPr>
        <w:ind w:left="8120"/>
        <w:spacing w:after="0"/>
        <w:rPr>
          <w:sz w:val="20"/>
          <w:szCs w:val="20"/>
          <w:color w:val="auto"/>
        </w:rPr>
      </w:pPr>
      <w:r>
        <w:rPr>
          <w:rFonts w:ascii="Arial" w:cs="Arial" w:eastAsia="Arial" w:hAnsi="Arial"/>
          <w:sz w:val="23"/>
          <w:szCs w:val="23"/>
          <w:color w:val="0070C0"/>
        </w:rPr>
        <w:t xml:space="preserve">♦ </w:t>
      </w:r>
      <w:r>
        <w:rPr>
          <w:rFonts w:ascii="Calibri" w:cs="Calibri" w:eastAsia="Calibri" w:hAnsi="Calibri"/>
          <w:sz w:val="17"/>
          <w:szCs w:val="17"/>
          <w:color w:val="000000"/>
        </w:rPr>
        <w:t>Informaton About Our Executve Ofcers</w:t>
      </w:r>
    </w:p>
    <w:p>
      <w:pPr>
        <w:spacing w:after="0" w:line="226"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3 – LEGAL PROCEEDINGS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tme to tme, claims of various types are asserted against the Company arising out of its operatons in the normal course of business, including claims relatng to land use and permits, safety, health, and environmental maters (such as noise abatement, blastng, vibratons, air emissions and water discharges). Such maters are subject to many uncertaintes, and it is not possible to determine the probable outcome of, or the amount of liability, if any, from these maters. In the opinion of management of the Company (which opinion is based in part upon consideraton of the opinion of counsel), based upon currently-available facts, it is remote that the ultmate outcome of any litgaton and other proceedings will have a material adverse efect on the overall results of the Company's operatons, its cash fows or its fnancial conditon. However, management cannot assure that an adverse outcome in any of such litgaton would not have a material adverse efect on the Company or its operatng segments.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was not required to pay any penaltes in 2023 for failure to disclose certain “reportable transactons” under Secton 6707A of the Internal Revenue Code.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See also “</w:t>
      </w:r>
      <w:r>
        <w:rPr>
          <w:rFonts w:ascii="Calibri" w:cs="Calibri" w:eastAsia="Calibri" w:hAnsi="Calibri"/>
          <w:sz w:val="18"/>
          <w:szCs w:val="18"/>
          <w:u w:val="single" w:color="auto"/>
          <w:color w:val="0563C1"/>
        </w:rPr>
        <w:t>Note N: Commitments and Contngencies</w:t>
      </w:r>
      <w:r>
        <w:rPr>
          <w:rFonts w:ascii="Calibri" w:cs="Calibri" w:eastAsia="Calibri" w:hAnsi="Calibri"/>
          <w:sz w:val="18"/>
          <w:szCs w:val="18"/>
          <w:color w:val="auto"/>
        </w:rPr>
        <w:t>” of the “</w:t>
      </w:r>
      <w:r>
        <w:rPr>
          <w:rFonts w:ascii="Calibri" w:cs="Calibri" w:eastAsia="Calibri" w:hAnsi="Calibri"/>
          <w:sz w:val="18"/>
          <w:szCs w:val="18"/>
          <w:u w:val="single" w:color="auto"/>
          <w:color w:val="007DC6"/>
        </w:rPr>
        <w:t>Notes to Financial Statements</w:t>
      </w:r>
      <w:r>
        <w:rPr>
          <w:rFonts w:ascii="Calibri" w:cs="Calibri" w:eastAsia="Calibri" w:hAnsi="Calibri"/>
          <w:sz w:val="18"/>
          <w:szCs w:val="18"/>
          <w:color w:val="auto"/>
        </w:rPr>
        <w:t xml:space="preserve">” of the Company’s consolidated fnancial statements included under </w:t>
      </w:r>
      <w:r>
        <w:rPr>
          <w:rFonts w:ascii="Calibri" w:cs="Calibri" w:eastAsia="Calibri" w:hAnsi="Calibri"/>
          <w:sz w:val="18"/>
          <w:szCs w:val="18"/>
          <w:u w:val="single" w:color="auto"/>
          <w:color w:val="007DC6"/>
        </w:rPr>
        <w:t>Item 8, “Financial Statements and Supplemental Data,”</w:t>
      </w:r>
      <w:r>
        <w:rPr>
          <w:rFonts w:ascii="Calibri" w:cs="Calibri" w:eastAsia="Calibri" w:hAnsi="Calibri"/>
          <w:sz w:val="18"/>
          <w:szCs w:val="18"/>
          <w:color w:val="auto"/>
        </w:rPr>
        <w:t xml:space="preserve"> of this Form 10-K and the “</w:t>
      </w:r>
      <w:r>
        <w:rPr>
          <w:rFonts w:ascii="Calibri" w:cs="Calibri" w:eastAsia="Calibri" w:hAnsi="Calibri"/>
          <w:sz w:val="18"/>
          <w:szCs w:val="18"/>
          <w:u w:val="single" w:color="auto"/>
          <w:color w:val="007DC6"/>
        </w:rPr>
        <w:t>Environmental Regulaton and Litgaton</w:t>
      </w:r>
      <w:r>
        <w:rPr>
          <w:rFonts w:ascii="Calibri" w:cs="Calibri" w:eastAsia="Calibri" w:hAnsi="Calibri"/>
          <w:sz w:val="18"/>
          <w:szCs w:val="18"/>
          <w:color w:val="auto"/>
        </w:rPr>
        <w:t xml:space="preserve">” secton included under </w:t>
      </w:r>
      <w:r>
        <w:rPr>
          <w:rFonts w:ascii="Calibri" w:cs="Calibri" w:eastAsia="Calibri" w:hAnsi="Calibri"/>
          <w:sz w:val="18"/>
          <w:szCs w:val="18"/>
          <w:u w:val="single" w:color="auto"/>
          <w:color w:val="007DC6"/>
        </w:rPr>
        <w:t>Item 7, “Management’s Discussion and Analysis of Financial Conditon and Results of Operatons,”</w:t>
      </w:r>
      <w:r>
        <w:rPr>
          <w:rFonts w:ascii="Calibri" w:cs="Calibri" w:eastAsia="Calibri" w:hAnsi="Calibri"/>
          <w:sz w:val="18"/>
          <w:szCs w:val="18"/>
          <w:color w:val="007DC6"/>
        </w:rPr>
        <w:t xml:space="preserve"> </w:t>
      </w:r>
      <w:r>
        <w:rPr>
          <w:rFonts w:ascii="Calibri" w:cs="Calibri" w:eastAsia="Calibri" w:hAnsi="Calibri"/>
          <w:sz w:val="18"/>
          <w:szCs w:val="18"/>
          <w:color w:val="000000"/>
        </w:rPr>
        <w:t>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-292100</wp:posOffset>
            </wp:positionV>
            <wp:extent cx="37528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752850" cy="8255"/>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-154940</wp:posOffset>
            </wp:positionV>
            <wp:extent cx="56851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85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44094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40944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4 – MINE SAFETY DISCLOSURES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informaton concerning mine safety violatons or other regulatory maters required by Secton 1503(a) of the Dodd-Frank Wall Street Reform and Consumer Protecton Act and Item 104 of Regulaton S-K (17 CFR 229.104) is included in </w:t>
      </w:r>
      <w:r>
        <w:rPr>
          <w:rFonts w:ascii="Calibri" w:cs="Calibri" w:eastAsia="Calibri" w:hAnsi="Calibri"/>
          <w:sz w:val="18"/>
          <w:szCs w:val="18"/>
          <w:u w:val="single" w:color="auto"/>
          <w:color w:val="0563C1"/>
        </w:rPr>
        <w:t>Exhibit 95</w:t>
      </w:r>
      <w:r>
        <w:rPr>
          <w:rFonts w:ascii="Calibri" w:cs="Calibri" w:eastAsia="Calibri" w:hAnsi="Calibri"/>
          <w:sz w:val="18"/>
          <w:szCs w:val="18"/>
          <w:color w:val="auto"/>
        </w:rPr>
        <w:t xml:space="preserve">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3991610</wp:posOffset>
            </wp:positionH>
            <wp:positionV relativeFrom="paragraph">
              <wp:posOffset>-18415</wp:posOffset>
            </wp:positionV>
            <wp:extent cx="4464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4640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Informaton about our Executve Ofcers</w:t>
      </w:r>
    </w:p>
    <w:p>
      <w:pPr>
        <w:spacing w:after="0" w:line="59"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sets forth certain informaton regarding the executve ofcers of Martn Marieta as of February 23,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820" w:type="dxa"/>
            <w:vAlign w:val="bottom"/>
            <w:tcBorders>
              <w:right w:val="single" w:sz="8" w:color="007CBA"/>
            </w:tcBorders>
            <w:shd w:val="clear" w:color="auto" w:fill="007CBA"/>
          </w:tcPr>
          <w:p>
            <w:pPr>
              <w:spacing w:after="0"/>
              <w:rPr>
                <w:sz w:val="17"/>
                <w:szCs w:val="17"/>
                <w:color w:val="auto"/>
              </w:rPr>
            </w:pPr>
          </w:p>
        </w:tc>
        <w:tc>
          <w:tcPr>
            <w:tcW w:w="680" w:type="dxa"/>
            <w:vAlign w:val="bottom"/>
            <w:tcBorders>
              <w:right w:val="single" w:sz="8" w:color="007CBA"/>
            </w:tcBorders>
            <w:shd w:val="clear" w:color="auto" w:fill="007CBA"/>
          </w:tcPr>
          <w:p>
            <w:pPr>
              <w:spacing w:after="0"/>
              <w:rPr>
                <w:sz w:val="17"/>
                <w:szCs w:val="17"/>
                <w:color w:val="auto"/>
              </w:rPr>
            </w:pPr>
          </w:p>
        </w:tc>
        <w:tc>
          <w:tcPr>
            <w:tcW w:w="2580" w:type="dxa"/>
            <w:vAlign w:val="bottom"/>
            <w:tcBorders>
              <w:right w:val="single" w:sz="8" w:color="007CBA"/>
            </w:tcBorders>
            <w:shd w:val="clear" w:color="auto" w:fill="007CBA"/>
          </w:tcPr>
          <w:p>
            <w:pPr>
              <w:spacing w:after="0"/>
              <w:rPr>
                <w:sz w:val="17"/>
                <w:szCs w:val="17"/>
                <w:color w:val="auto"/>
              </w:rPr>
            </w:pPr>
          </w:p>
        </w:tc>
        <w:tc>
          <w:tcPr>
            <w:tcW w:w="1460" w:type="dxa"/>
            <w:vAlign w:val="bottom"/>
            <w:tcBorders>
              <w:right w:val="single" w:sz="8" w:color="007CBA"/>
            </w:tcBorders>
            <w:shd w:val="clear" w:color="auto" w:fill="007CBA"/>
          </w:tcPr>
          <w:p>
            <w:pPr>
              <w:jc w:val="center"/>
              <w:spacing w:after="0"/>
              <w:rPr>
                <w:sz w:val="20"/>
                <w:szCs w:val="20"/>
                <w:color w:val="auto"/>
              </w:rPr>
            </w:pPr>
            <w:r>
              <w:rPr>
                <w:rFonts w:ascii="Calibri" w:cs="Calibri" w:eastAsia="Calibri" w:hAnsi="Calibri"/>
                <w:sz w:val="16"/>
                <w:szCs w:val="16"/>
                <w:b w:val="1"/>
                <w:bCs w:val="1"/>
                <w:color w:val="FFFFFF"/>
                <w:w w:val="99"/>
              </w:rPr>
              <w:t>Year Assumed</w:t>
            </w:r>
          </w:p>
        </w:tc>
        <w:tc>
          <w:tcPr>
            <w:tcW w:w="4700" w:type="dxa"/>
            <w:vAlign w:val="bottom"/>
            <w:shd w:val="clear" w:color="auto" w:fill="007CBA"/>
          </w:tcPr>
          <w:p>
            <w:pPr>
              <w:ind w:left="1160"/>
              <w:spacing w:after="0"/>
              <w:rPr>
                <w:sz w:val="20"/>
                <w:szCs w:val="20"/>
                <w:color w:val="auto"/>
              </w:rPr>
            </w:pPr>
            <w:r>
              <w:rPr>
                <w:rFonts w:ascii="Calibri" w:cs="Calibri" w:eastAsia="Calibri" w:hAnsi="Calibri"/>
                <w:sz w:val="16"/>
                <w:szCs w:val="16"/>
                <w:b w:val="1"/>
                <w:bCs w:val="1"/>
                <w:color w:val="FFFFFF"/>
              </w:rPr>
              <w:t>Other Positons and Other Business</w:t>
            </w:r>
          </w:p>
        </w:tc>
      </w:tr>
      <w:tr>
        <w:trPr>
          <w:trHeight w:val="214"/>
        </w:trPr>
        <w:tc>
          <w:tcPr>
            <w:tcW w:w="1820" w:type="dxa"/>
            <w:vAlign w:val="bottom"/>
            <w:tcBorders>
              <w:bottom w:val="single" w:sz="8" w:color="007CBA"/>
              <w:right w:val="single" w:sz="8" w:color="007CBA"/>
            </w:tcBorders>
            <w:shd w:val="clear" w:color="auto" w:fill="007CBA"/>
          </w:tcPr>
          <w:p>
            <w:pPr>
              <w:ind w:left="760"/>
              <w:spacing w:after="0" w:line="193" w:lineRule="exact"/>
              <w:rPr>
                <w:sz w:val="20"/>
                <w:szCs w:val="20"/>
                <w:color w:val="auto"/>
              </w:rPr>
            </w:pPr>
            <w:r>
              <w:rPr>
                <w:rFonts w:ascii="Calibri" w:cs="Calibri" w:eastAsia="Calibri" w:hAnsi="Calibri"/>
                <w:sz w:val="16"/>
                <w:szCs w:val="16"/>
                <w:b w:val="1"/>
                <w:bCs w:val="1"/>
                <w:color w:val="FFFFFF"/>
              </w:rPr>
              <w:t>Name</w:t>
            </w:r>
          </w:p>
        </w:tc>
        <w:tc>
          <w:tcPr>
            <w:tcW w:w="680" w:type="dxa"/>
            <w:vAlign w:val="bottom"/>
            <w:tcBorders>
              <w:bottom w:val="single" w:sz="8" w:color="007CBA"/>
              <w:right w:val="single" w:sz="8" w:color="007CBA"/>
            </w:tcBorders>
            <w:shd w:val="clear" w:color="auto" w:fill="007CBA"/>
          </w:tcPr>
          <w:p>
            <w:pPr>
              <w:jc w:val="center"/>
              <w:spacing w:after="0" w:line="193" w:lineRule="exact"/>
              <w:rPr>
                <w:sz w:val="20"/>
                <w:szCs w:val="20"/>
                <w:color w:val="auto"/>
              </w:rPr>
            </w:pPr>
            <w:r>
              <w:rPr>
                <w:rFonts w:ascii="Calibri" w:cs="Calibri" w:eastAsia="Calibri" w:hAnsi="Calibri"/>
                <w:sz w:val="16"/>
                <w:szCs w:val="16"/>
                <w:b w:val="1"/>
                <w:bCs w:val="1"/>
                <w:color w:val="FFFFFF"/>
              </w:rPr>
              <w:t>Age</w:t>
            </w:r>
          </w:p>
        </w:tc>
        <w:tc>
          <w:tcPr>
            <w:tcW w:w="2580" w:type="dxa"/>
            <w:vAlign w:val="bottom"/>
            <w:tcBorders>
              <w:bottom w:val="single" w:sz="8" w:color="007CBA"/>
              <w:right w:val="single" w:sz="8" w:color="007CBA"/>
            </w:tcBorders>
            <w:shd w:val="clear" w:color="auto" w:fill="007CBA"/>
          </w:tcPr>
          <w:p>
            <w:pPr>
              <w:ind w:left="740"/>
              <w:spacing w:after="0" w:line="193" w:lineRule="exact"/>
              <w:rPr>
                <w:sz w:val="20"/>
                <w:szCs w:val="20"/>
                <w:color w:val="auto"/>
              </w:rPr>
            </w:pPr>
            <w:r>
              <w:rPr>
                <w:rFonts w:ascii="Calibri" w:cs="Calibri" w:eastAsia="Calibri" w:hAnsi="Calibri"/>
                <w:sz w:val="16"/>
                <w:szCs w:val="16"/>
                <w:b w:val="1"/>
                <w:bCs w:val="1"/>
                <w:color w:val="FFFFFF"/>
              </w:rPr>
              <w:t>Present Positon</w:t>
            </w:r>
          </w:p>
        </w:tc>
        <w:tc>
          <w:tcPr>
            <w:tcW w:w="1460" w:type="dxa"/>
            <w:vAlign w:val="bottom"/>
            <w:tcBorders>
              <w:bottom w:val="single" w:sz="8" w:color="007CBA"/>
              <w:right w:val="single" w:sz="8" w:color="007CBA"/>
            </w:tcBorders>
            <w:shd w:val="clear" w:color="auto" w:fill="007CBA"/>
          </w:tcPr>
          <w:p>
            <w:pPr>
              <w:jc w:val="center"/>
              <w:spacing w:after="0" w:line="193" w:lineRule="exact"/>
              <w:rPr>
                <w:sz w:val="20"/>
                <w:szCs w:val="20"/>
                <w:color w:val="auto"/>
              </w:rPr>
            </w:pPr>
            <w:r>
              <w:rPr>
                <w:rFonts w:ascii="Calibri" w:cs="Calibri" w:eastAsia="Calibri" w:hAnsi="Calibri"/>
                <w:sz w:val="16"/>
                <w:szCs w:val="16"/>
                <w:b w:val="1"/>
                <w:bCs w:val="1"/>
                <w:color w:val="FFFFFF"/>
              </w:rPr>
              <w:t>Present Positon</w:t>
            </w:r>
          </w:p>
        </w:tc>
        <w:tc>
          <w:tcPr>
            <w:tcW w:w="4700" w:type="dxa"/>
            <w:vAlign w:val="bottom"/>
            <w:tcBorders>
              <w:bottom w:val="single" w:sz="8" w:color="007CBA"/>
            </w:tcBorders>
            <w:shd w:val="clear" w:color="auto" w:fill="007CBA"/>
          </w:tcPr>
          <w:p>
            <w:pPr>
              <w:ind w:left="1100"/>
              <w:spacing w:after="0" w:line="193" w:lineRule="exact"/>
              <w:rPr>
                <w:sz w:val="20"/>
                <w:szCs w:val="20"/>
                <w:color w:val="auto"/>
              </w:rPr>
            </w:pPr>
            <w:r>
              <w:rPr>
                <w:rFonts w:ascii="Calibri" w:cs="Calibri" w:eastAsia="Calibri" w:hAnsi="Calibri"/>
                <w:sz w:val="16"/>
                <w:szCs w:val="16"/>
                <w:b w:val="1"/>
                <w:bCs w:val="1"/>
                <w:color w:val="FFFFFF"/>
              </w:rPr>
              <w:t>Experience Within the Last Five Years</w:t>
            </w:r>
          </w:p>
        </w:tc>
      </w:tr>
      <w:tr>
        <w:trPr>
          <w:trHeight w:val="194"/>
        </w:trPr>
        <w:tc>
          <w:tcPr>
            <w:tcW w:w="1820" w:type="dxa"/>
            <w:vAlign w:val="bottom"/>
            <w:tcBorders>
              <w:right w:val="single" w:sz="8" w:color="007CBA"/>
            </w:tcBorders>
            <w:shd w:val="clear" w:color="auto" w:fill="E5F1F8"/>
          </w:tcPr>
          <w:p>
            <w:pPr>
              <w:ind w:left="100"/>
              <w:spacing w:after="0" w:line="193" w:lineRule="exact"/>
              <w:rPr>
                <w:sz w:val="20"/>
                <w:szCs w:val="20"/>
                <w:color w:val="auto"/>
              </w:rPr>
            </w:pPr>
            <w:r>
              <w:rPr>
                <w:rFonts w:ascii="Calibri" w:cs="Calibri" w:eastAsia="Calibri" w:hAnsi="Calibri"/>
                <w:sz w:val="16"/>
                <w:szCs w:val="16"/>
                <w:color w:val="auto"/>
              </w:rPr>
              <w:t>C. Howard Nye</w:t>
            </w:r>
          </w:p>
        </w:tc>
        <w:tc>
          <w:tcPr>
            <w:tcW w:w="68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61</w:t>
            </w:r>
          </w:p>
        </w:tc>
        <w:tc>
          <w:tcPr>
            <w:tcW w:w="2580" w:type="dxa"/>
            <w:vAlign w:val="bottom"/>
            <w:tcBorders>
              <w:right w:val="single" w:sz="8" w:color="007CBA"/>
            </w:tcBorders>
            <w:shd w:val="clear" w:color="auto" w:fill="E5F1F8"/>
          </w:tcPr>
          <w:p>
            <w:pPr>
              <w:ind w:left="60"/>
              <w:spacing w:after="0" w:line="193" w:lineRule="exact"/>
              <w:rPr>
                <w:sz w:val="20"/>
                <w:szCs w:val="20"/>
                <w:color w:val="auto"/>
              </w:rPr>
            </w:pPr>
            <w:r>
              <w:rPr>
                <w:rFonts w:ascii="Calibri" w:cs="Calibri" w:eastAsia="Calibri" w:hAnsi="Calibri"/>
                <w:sz w:val="16"/>
                <w:szCs w:val="16"/>
                <w:color w:val="auto"/>
              </w:rPr>
              <w:t>Chairman of the Board;</w:t>
            </w:r>
          </w:p>
        </w:tc>
        <w:tc>
          <w:tcPr>
            <w:tcW w:w="146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rPr>
              <w:t>2014</w:t>
            </w:r>
          </w:p>
        </w:tc>
        <w:tc>
          <w:tcPr>
            <w:tcW w:w="4700" w:type="dxa"/>
            <w:vAlign w:val="bottom"/>
            <w:shd w:val="clear" w:color="auto" w:fill="E5F1F8"/>
          </w:tcPr>
          <w:p>
            <w:pPr>
              <w:spacing w:after="0"/>
              <w:rPr>
                <w:sz w:val="16"/>
                <w:szCs w:val="16"/>
                <w:color w:val="auto"/>
              </w:rPr>
            </w:pPr>
          </w:p>
        </w:tc>
      </w:tr>
      <w:tr>
        <w:trPr>
          <w:trHeight w:val="224"/>
        </w:trPr>
        <w:tc>
          <w:tcPr>
            <w:tcW w:w="1820" w:type="dxa"/>
            <w:vAlign w:val="bottom"/>
            <w:tcBorders>
              <w:right w:val="single" w:sz="8" w:color="007CBA"/>
            </w:tcBorders>
            <w:shd w:val="clear" w:color="auto" w:fill="E5F1F8"/>
          </w:tcPr>
          <w:p>
            <w:pPr>
              <w:spacing w:after="0"/>
              <w:rPr>
                <w:sz w:val="19"/>
                <w:szCs w:val="19"/>
                <w:color w:val="auto"/>
              </w:rPr>
            </w:pPr>
          </w:p>
        </w:tc>
        <w:tc>
          <w:tcPr>
            <w:tcW w:w="680" w:type="dxa"/>
            <w:vAlign w:val="bottom"/>
            <w:tcBorders>
              <w:right w:val="single" w:sz="8" w:color="007CBA"/>
            </w:tcBorders>
            <w:shd w:val="clear" w:color="auto" w:fill="E5F1F8"/>
          </w:tcPr>
          <w:p>
            <w:pPr>
              <w:spacing w:after="0"/>
              <w:rPr>
                <w:sz w:val="19"/>
                <w:szCs w:val="19"/>
                <w:color w:val="auto"/>
              </w:rPr>
            </w:pPr>
          </w:p>
        </w:tc>
        <w:tc>
          <w:tcPr>
            <w:tcW w:w="2580" w:type="dxa"/>
            <w:vAlign w:val="bottom"/>
            <w:tcBorders>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Chief Executve Ofcer;</w:t>
            </w:r>
          </w:p>
        </w:tc>
        <w:tc>
          <w:tcPr>
            <w:tcW w:w="1460" w:type="dxa"/>
            <w:vAlign w:val="bottom"/>
            <w:tcBorders>
              <w:right w:val="single" w:sz="8" w:color="007CBA"/>
            </w:tcBorders>
            <w:shd w:val="clear" w:color="auto" w:fill="E5F1F8"/>
          </w:tcPr>
          <w:p>
            <w:pPr>
              <w:jc w:val="center"/>
              <w:spacing w:after="0"/>
              <w:rPr>
                <w:sz w:val="20"/>
                <w:szCs w:val="20"/>
                <w:color w:val="auto"/>
              </w:rPr>
            </w:pPr>
            <w:r>
              <w:rPr>
                <w:rFonts w:ascii="Calibri" w:cs="Calibri" w:eastAsia="Calibri" w:hAnsi="Calibri"/>
                <w:sz w:val="16"/>
                <w:szCs w:val="16"/>
                <w:color w:val="auto"/>
              </w:rPr>
              <w:t>2010</w:t>
            </w:r>
          </w:p>
        </w:tc>
        <w:tc>
          <w:tcPr>
            <w:tcW w:w="4700" w:type="dxa"/>
            <w:vAlign w:val="bottom"/>
            <w:shd w:val="clear" w:color="auto" w:fill="E5F1F8"/>
          </w:tcPr>
          <w:p>
            <w:pPr>
              <w:spacing w:after="0"/>
              <w:rPr>
                <w:sz w:val="19"/>
                <w:szCs w:val="19"/>
                <w:color w:val="auto"/>
              </w:rPr>
            </w:pPr>
          </w:p>
        </w:tc>
      </w:tr>
      <w:tr>
        <w:trPr>
          <w:trHeight w:val="243"/>
        </w:trPr>
        <w:tc>
          <w:tcPr>
            <w:tcW w:w="1820" w:type="dxa"/>
            <w:vAlign w:val="bottom"/>
            <w:tcBorders>
              <w:right w:val="single" w:sz="8" w:color="007CBA"/>
            </w:tcBorders>
            <w:shd w:val="clear" w:color="auto" w:fill="E5F1F8"/>
          </w:tcPr>
          <w:p>
            <w:pPr>
              <w:spacing w:after="0"/>
              <w:rPr>
                <w:sz w:val="21"/>
                <w:szCs w:val="21"/>
                <w:color w:val="auto"/>
              </w:rPr>
            </w:pPr>
          </w:p>
        </w:tc>
        <w:tc>
          <w:tcPr>
            <w:tcW w:w="680" w:type="dxa"/>
            <w:vAlign w:val="bottom"/>
            <w:tcBorders>
              <w:right w:val="single" w:sz="8" w:color="007CBA"/>
            </w:tcBorders>
            <w:shd w:val="clear" w:color="auto" w:fill="E5F1F8"/>
          </w:tcPr>
          <w:p>
            <w:pPr>
              <w:spacing w:after="0"/>
              <w:rPr>
                <w:sz w:val="21"/>
                <w:szCs w:val="21"/>
                <w:color w:val="auto"/>
              </w:rPr>
            </w:pPr>
          </w:p>
        </w:tc>
        <w:tc>
          <w:tcPr>
            <w:tcW w:w="2580" w:type="dxa"/>
            <w:vAlign w:val="bottom"/>
            <w:tcBorders>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President;</w:t>
            </w:r>
          </w:p>
        </w:tc>
        <w:tc>
          <w:tcPr>
            <w:tcW w:w="1460" w:type="dxa"/>
            <w:vAlign w:val="bottom"/>
            <w:tcBorders>
              <w:right w:val="single" w:sz="8" w:color="007CBA"/>
            </w:tcBorders>
            <w:shd w:val="clear" w:color="auto" w:fill="E5F1F8"/>
          </w:tcPr>
          <w:p>
            <w:pPr>
              <w:jc w:val="center"/>
              <w:spacing w:after="0"/>
              <w:rPr>
                <w:sz w:val="20"/>
                <w:szCs w:val="20"/>
                <w:color w:val="auto"/>
              </w:rPr>
            </w:pPr>
            <w:r>
              <w:rPr>
                <w:rFonts w:ascii="Calibri" w:cs="Calibri" w:eastAsia="Calibri" w:hAnsi="Calibri"/>
                <w:sz w:val="16"/>
                <w:szCs w:val="16"/>
                <w:color w:val="auto"/>
              </w:rPr>
              <w:t>2006</w:t>
            </w:r>
          </w:p>
        </w:tc>
        <w:tc>
          <w:tcPr>
            <w:tcW w:w="4700" w:type="dxa"/>
            <w:vAlign w:val="bottom"/>
            <w:shd w:val="clear" w:color="auto" w:fill="E5F1F8"/>
          </w:tcPr>
          <w:p>
            <w:pPr>
              <w:spacing w:after="0"/>
              <w:rPr>
                <w:sz w:val="21"/>
                <w:szCs w:val="21"/>
                <w:color w:val="auto"/>
              </w:rPr>
            </w:pPr>
          </w:p>
        </w:tc>
      </w:tr>
      <w:tr>
        <w:trPr>
          <w:trHeight w:val="243"/>
        </w:trPr>
        <w:tc>
          <w:tcPr>
            <w:tcW w:w="1820" w:type="dxa"/>
            <w:vAlign w:val="bottom"/>
            <w:tcBorders>
              <w:right w:val="single" w:sz="8" w:color="007CBA"/>
            </w:tcBorders>
            <w:shd w:val="clear" w:color="auto" w:fill="E5F1F8"/>
          </w:tcPr>
          <w:p>
            <w:pPr>
              <w:spacing w:after="0"/>
              <w:rPr>
                <w:sz w:val="21"/>
                <w:szCs w:val="21"/>
                <w:color w:val="auto"/>
              </w:rPr>
            </w:pPr>
          </w:p>
        </w:tc>
        <w:tc>
          <w:tcPr>
            <w:tcW w:w="680" w:type="dxa"/>
            <w:vAlign w:val="bottom"/>
            <w:tcBorders>
              <w:right w:val="single" w:sz="8" w:color="007CBA"/>
            </w:tcBorders>
            <w:shd w:val="clear" w:color="auto" w:fill="E5F1F8"/>
          </w:tcPr>
          <w:p>
            <w:pPr>
              <w:spacing w:after="0"/>
              <w:rPr>
                <w:sz w:val="21"/>
                <w:szCs w:val="21"/>
                <w:color w:val="auto"/>
              </w:rPr>
            </w:pPr>
          </w:p>
        </w:tc>
        <w:tc>
          <w:tcPr>
            <w:tcW w:w="2580" w:type="dxa"/>
            <w:vAlign w:val="bottom"/>
            <w:tcBorders>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President of Aggregates</w:t>
            </w:r>
          </w:p>
        </w:tc>
        <w:tc>
          <w:tcPr>
            <w:tcW w:w="1460" w:type="dxa"/>
            <w:vAlign w:val="bottom"/>
            <w:tcBorders>
              <w:right w:val="single" w:sz="8" w:color="007CBA"/>
            </w:tcBorders>
            <w:shd w:val="clear" w:color="auto" w:fill="E5F1F8"/>
          </w:tcPr>
          <w:p>
            <w:pPr>
              <w:jc w:val="center"/>
              <w:spacing w:after="0"/>
              <w:rPr>
                <w:sz w:val="20"/>
                <w:szCs w:val="20"/>
                <w:color w:val="auto"/>
              </w:rPr>
            </w:pPr>
            <w:r>
              <w:rPr>
                <w:rFonts w:ascii="Calibri" w:cs="Calibri" w:eastAsia="Calibri" w:hAnsi="Calibri"/>
                <w:sz w:val="16"/>
                <w:szCs w:val="16"/>
                <w:color w:val="auto"/>
              </w:rPr>
              <w:t>2010</w:t>
            </w:r>
          </w:p>
        </w:tc>
        <w:tc>
          <w:tcPr>
            <w:tcW w:w="4700" w:type="dxa"/>
            <w:vAlign w:val="bottom"/>
            <w:shd w:val="clear" w:color="auto" w:fill="E5F1F8"/>
          </w:tcPr>
          <w:p>
            <w:pPr>
              <w:spacing w:after="0"/>
              <w:rPr>
                <w:sz w:val="21"/>
                <w:szCs w:val="21"/>
                <w:color w:val="auto"/>
              </w:rPr>
            </w:pPr>
          </w:p>
        </w:tc>
      </w:tr>
      <w:tr>
        <w:trPr>
          <w:trHeight w:val="203"/>
        </w:trPr>
        <w:tc>
          <w:tcPr>
            <w:tcW w:w="1820" w:type="dxa"/>
            <w:vAlign w:val="bottom"/>
            <w:tcBorders>
              <w:right w:val="single" w:sz="8" w:color="007CBA"/>
            </w:tcBorders>
            <w:shd w:val="clear" w:color="auto" w:fill="E5F1F8"/>
          </w:tcPr>
          <w:p>
            <w:pPr>
              <w:spacing w:after="0"/>
              <w:rPr>
                <w:sz w:val="17"/>
                <w:szCs w:val="17"/>
                <w:color w:val="auto"/>
              </w:rPr>
            </w:pPr>
          </w:p>
        </w:tc>
        <w:tc>
          <w:tcPr>
            <w:tcW w:w="680" w:type="dxa"/>
            <w:vAlign w:val="bottom"/>
            <w:tcBorders>
              <w:right w:val="single" w:sz="8" w:color="007CBA"/>
            </w:tcBorders>
            <w:shd w:val="clear" w:color="auto" w:fill="E5F1F8"/>
          </w:tcPr>
          <w:p>
            <w:pPr>
              <w:spacing w:after="0"/>
              <w:rPr>
                <w:sz w:val="17"/>
                <w:szCs w:val="17"/>
                <w:color w:val="auto"/>
              </w:rPr>
            </w:pPr>
          </w:p>
        </w:tc>
        <w:tc>
          <w:tcPr>
            <w:tcW w:w="2580" w:type="dxa"/>
            <w:vAlign w:val="bottom"/>
            <w:tcBorders>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Business;</w:t>
            </w:r>
          </w:p>
        </w:tc>
        <w:tc>
          <w:tcPr>
            <w:tcW w:w="1460" w:type="dxa"/>
            <w:vAlign w:val="bottom"/>
            <w:tcBorders>
              <w:right w:val="single" w:sz="8" w:color="007CBA"/>
            </w:tcBorders>
            <w:shd w:val="clear" w:color="auto" w:fill="E5F1F8"/>
          </w:tcPr>
          <w:p>
            <w:pPr>
              <w:spacing w:after="0"/>
              <w:rPr>
                <w:sz w:val="17"/>
                <w:szCs w:val="17"/>
                <w:color w:val="auto"/>
              </w:rPr>
            </w:pPr>
          </w:p>
        </w:tc>
        <w:tc>
          <w:tcPr>
            <w:tcW w:w="4700" w:type="dxa"/>
            <w:vAlign w:val="bottom"/>
            <w:shd w:val="clear" w:color="auto" w:fill="E5F1F8"/>
          </w:tcPr>
          <w:p>
            <w:pPr>
              <w:spacing w:after="0"/>
              <w:rPr>
                <w:sz w:val="17"/>
                <w:szCs w:val="17"/>
                <w:color w:val="auto"/>
              </w:rPr>
            </w:pPr>
          </w:p>
        </w:tc>
      </w:tr>
      <w:tr>
        <w:trPr>
          <w:trHeight w:val="230"/>
        </w:trPr>
        <w:tc>
          <w:tcPr>
            <w:tcW w:w="1820" w:type="dxa"/>
            <w:vAlign w:val="bottom"/>
            <w:tcBorders>
              <w:right w:val="single" w:sz="8" w:color="007CBA"/>
            </w:tcBorders>
            <w:shd w:val="clear" w:color="auto" w:fill="E5F1F8"/>
          </w:tcPr>
          <w:p>
            <w:pPr>
              <w:spacing w:after="0"/>
              <w:rPr>
                <w:sz w:val="19"/>
                <w:szCs w:val="19"/>
                <w:color w:val="auto"/>
              </w:rPr>
            </w:pPr>
          </w:p>
        </w:tc>
        <w:tc>
          <w:tcPr>
            <w:tcW w:w="680" w:type="dxa"/>
            <w:vAlign w:val="bottom"/>
            <w:tcBorders>
              <w:right w:val="single" w:sz="8" w:color="007CBA"/>
            </w:tcBorders>
            <w:shd w:val="clear" w:color="auto" w:fill="E5F1F8"/>
          </w:tcPr>
          <w:p>
            <w:pPr>
              <w:spacing w:after="0"/>
              <w:rPr>
                <w:sz w:val="19"/>
                <w:szCs w:val="19"/>
                <w:color w:val="auto"/>
              </w:rPr>
            </w:pPr>
          </w:p>
        </w:tc>
        <w:tc>
          <w:tcPr>
            <w:tcW w:w="2580" w:type="dxa"/>
            <w:vAlign w:val="bottom"/>
            <w:tcBorders>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Chairman of Magnesia</w:t>
            </w:r>
          </w:p>
        </w:tc>
        <w:tc>
          <w:tcPr>
            <w:tcW w:w="1460" w:type="dxa"/>
            <w:vAlign w:val="bottom"/>
            <w:tcBorders>
              <w:right w:val="single" w:sz="8" w:color="007CBA"/>
            </w:tcBorders>
            <w:shd w:val="clear" w:color="auto" w:fill="E5F1F8"/>
          </w:tcPr>
          <w:p>
            <w:pPr>
              <w:jc w:val="center"/>
              <w:spacing w:after="0"/>
              <w:rPr>
                <w:sz w:val="20"/>
                <w:szCs w:val="20"/>
                <w:color w:val="auto"/>
              </w:rPr>
            </w:pPr>
            <w:r>
              <w:rPr>
                <w:rFonts w:ascii="Calibri" w:cs="Calibri" w:eastAsia="Calibri" w:hAnsi="Calibri"/>
                <w:sz w:val="16"/>
                <w:szCs w:val="16"/>
                <w:color w:val="auto"/>
              </w:rPr>
              <w:t>2007</w:t>
            </w:r>
          </w:p>
        </w:tc>
        <w:tc>
          <w:tcPr>
            <w:tcW w:w="4700" w:type="dxa"/>
            <w:vAlign w:val="bottom"/>
            <w:shd w:val="clear" w:color="auto" w:fill="E5F1F8"/>
          </w:tcPr>
          <w:p>
            <w:pPr>
              <w:spacing w:after="0"/>
              <w:rPr>
                <w:sz w:val="19"/>
                <w:szCs w:val="19"/>
                <w:color w:val="auto"/>
              </w:rPr>
            </w:pPr>
          </w:p>
        </w:tc>
      </w:tr>
      <w:tr>
        <w:trPr>
          <w:trHeight w:val="223"/>
        </w:trPr>
        <w:tc>
          <w:tcPr>
            <w:tcW w:w="1820" w:type="dxa"/>
            <w:vAlign w:val="bottom"/>
            <w:tcBorders>
              <w:bottom w:val="single" w:sz="8" w:color="E5F1F8"/>
              <w:right w:val="single" w:sz="8" w:color="007CBA"/>
            </w:tcBorders>
            <w:shd w:val="clear" w:color="auto" w:fill="E5F1F8"/>
          </w:tcPr>
          <w:p>
            <w:pPr>
              <w:spacing w:after="0"/>
              <w:rPr>
                <w:sz w:val="19"/>
                <w:szCs w:val="19"/>
                <w:color w:val="auto"/>
              </w:rPr>
            </w:pPr>
          </w:p>
        </w:tc>
        <w:tc>
          <w:tcPr>
            <w:tcW w:w="680" w:type="dxa"/>
            <w:vAlign w:val="bottom"/>
            <w:tcBorders>
              <w:bottom w:val="single" w:sz="8" w:color="E5F1F8"/>
              <w:right w:val="single" w:sz="8" w:color="007CBA"/>
            </w:tcBorders>
            <w:shd w:val="clear" w:color="auto" w:fill="E5F1F8"/>
          </w:tcPr>
          <w:p>
            <w:pPr>
              <w:spacing w:after="0"/>
              <w:rPr>
                <w:sz w:val="19"/>
                <w:szCs w:val="19"/>
                <w:color w:val="auto"/>
              </w:rPr>
            </w:pPr>
          </w:p>
        </w:tc>
        <w:tc>
          <w:tcPr>
            <w:tcW w:w="258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Specialtes Business</w:t>
            </w:r>
          </w:p>
        </w:tc>
        <w:tc>
          <w:tcPr>
            <w:tcW w:w="1460" w:type="dxa"/>
            <w:vAlign w:val="bottom"/>
            <w:tcBorders>
              <w:bottom w:val="single" w:sz="8" w:color="E5F1F8"/>
              <w:right w:val="single" w:sz="8" w:color="007CBA"/>
            </w:tcBorders>
            <w:shd w:val="clear" w:color="auto" w:fill="E5F1F8"/>
          </w:tcPr>
          <w:p>
            <w:pPr>
              <w:spacing w:after="0"/>
              <w:rPr>
                <w:sz w:val="19"/>
                <w:szCs w:val="19"/>
                <w:color w:val="auto"/>
              </w:rPr>
            </w:pPr>
          </w:p>
        </w:tc>
        <w:tc>
          <w:tcPr>
            <w:tcW w:w="4700" w:type="dxa"/>
            <w:vAlign w:val="bottom"/>
            <w:tcBorders>
              <w:bottom w:val="single" w:sz="8" w:color="E5F1F8"/>
            </w:tcBorders>
            <w:shd w:val="clear" w:color="auto" w:fill="E5F1F8"/>
          </w:tcPr>
          <w:p>
            <w:pPr>
              <w:spacing w:after="0"/>
              <w:rPr>
                <w:sz w:val="19"/>
                <w:szCs w:val="19"/>
                <w:color w:val="auto"/>
              </w:rPr>
            </w:pPr>
          </w:p>
        </w:tc>
      </w:tr>
      <w:tr>
        <w:trPr>
          <w:trHeight w:val="193"/>
        </w:trPr>
        <w:tc>
          <w:tcPr>
            <w:tcW w:w="1820" w:type="dxa"/>
            <w:vAlign w:val="bottom"/>
            <w:tcBorders>
              <w:right w:val="single" w:sz="8" w:color="007CBA"/>
            </w:tcBorders>
          </w:tcPr>
          <w:p>
            <w:pPr>
              <w:ind w:left="100"/>
              <w:spacing w:after="0" w:line="193" w:lineRule="exact"/>
              <w:rPr>
                <w:sz w:val="20"/>
                <w:szCs w:val="20"/>
                <w:color w:val="auto"/>
              </w:rPr>
            </w:pPr>
            <w:r>
              <w:rPr>
                <w:rFonts w:ascii="Calibri" w:cs="Calibri" w:eastAsia="Calibri" w:hAnsi="Calibri"/>
                <w:sz w:val="16"/>
                <w:szCs w:val="16"/>
                <w:color w:val="auto"/>
              </w:rPr>
              <w:t>James A. J. Nickolas</w:t>
            </w:r>
          </w:p>
        </w:tc>
        <w:tc>
          <w:tcPr>
            <w:tcW w:w="680" w:type="dxa"/>
            <w:vAlign w:val="bottom"/>
            <w:tcBorders>
              <w:right w:val="single" w:sz="8" w:color="007CBA"/>
            </w:tcBorders>
          </w:tcPr>
          <w:p>
            <w:pPr>
              <w:jc w:val="center"/>
              <w:spacing w:after="0" w:line="193" w:lineRule="exact"/>
              <w:rPr>
                <w:sz w:val="20"/>
                <w:szCs w:val="20"/>
                <w:color w:val="auto"/>
              </w:rPr>
            </w:pPr>
            <w:r>
              <w:rPr>
                <w:rFonts w:ascii="Calibri" w:cs="Calibri" w:eastAsia="Calibri" w:hAnsi="Calibri"/>
                <w:sz w:val="16"/>
                <w:szCs w:val="16"/>
                <w:color w:val="auto"/>
                <w:w w:val="98"/>
              </w:rPr>
              <w:t>53</w:t>
            </w:r>
          </w:p>
        </w:tc>
        <w:tc>
          <w:tcPr>
            <w:tcW w:w="2580" w:type="dxa"/>
            <w:vAlign w:val="bottom"/>
            <w:tcBorders>
              <w:right w:val="single" w:sz="8" w:color="007CBA"/>
            </w:tcBorders>
          </w:tcPr>
          <w:p>
            <w:pPr>
              <w:ind w:left="60"/>
              <w:spacing w:after="0" w:line="193" w:lineRule="exact"/>
              <w:rPr>
                <w:sz w:val="20"/>
                <w:szCs w:val="20"/>
                <w:color w:val="auto"/>
              </w:rPr>
            </w:pPr>
            <w:r>
              <w:rPr>
                <w:rFonts w:ascii="Calibri" w:cs="Calibri" w:eastAsia="Calibri" w:hAnsi="Calibri"/>
                <w:sz w:val="16"/>
                <w:szCs w:val="16"/>
                <w:color w:val="auto"/>
              </w:rPr>
              <w:t>Executve Vice President, Chief</w:t>
            </w:r>
          </w:p>
        </w:tc>
        <w:tc>
          <w:tcPr>
            <w:tcW w:w="1460" w:type="dxa"/>
            <w:vAlign w:val="bottom"/>
            <w:tcBorders>
              <w:right w:val="single" w:sz="8" w:color="007CBA"/>
            </w:tcBorders>
          </w:tcPr>
          <w:p>
            <w:pPr>
              <w:jc w:val="center"/>
              <w:spacing w:after="0" w:line="193" w:lineRule="exact"/>
              <w:rPr>
                <w:sz w:val="20"/>
                <w:szCs w:val="20"/>
                <w:color w:val="auto"/>
              </w:rPr>
            </w:pPr>
            <w:r>
              <w:rPr>
                <w:rFonts w:ascii="Calibri" w:cs="Calibri" w:eastAsia="Calibri" w:hAnsi="Calibri"/>
                <w:sz w:val="16"/>
                <w:szCs w:val="16"/>
                <w:color w:val="auto"/>
              </w:rPr>
              <w:t>2023</w:t>
            </w:r>
          </w:p>
        </w:tc>
        <w:tc>
          <w:tcPr>
            <w:tcW w:w="4700" w:type="dxa"/>
            <w:vAlign w:val="bottom"/>
          </w:tcPr>
          <w:p>
            <w:pPr>
              <w:ind w:left="100"/>
              <w:spacing w:after="0" w:line="193" w:lineRule="exact"/>
              <w:rPr>
                <w:sz w:val="20"/>
                <w:szCs w:val="20"/>
                <w:color w:val="auto"/>
              </w:rPr>
            </w:pPr>
            <w:r>
              <w:rPr>
                <w:rFonts w:ascii="Calibri" w:cs="Calibri" w:eastAsia="Calibri" w:hAnsi="Calibri"/>
                <w:sz w:val="16"/>
                <w:szCs w:val="16"/>
                <w:color w:val="auto"/>
              </w:rPr>
              <w:t>Principal Accountng Ofcer (2019); Senior Vice President, Chief</w:t>
            </w:r>
          </w:p>
        </w:tc>
      </w:tr>
      <w:tr>
        <w:trPr>
          <w:trHeight w:val="198"/>
        </w:trPr>
        <w:tc>
          <w:tcPr>
            <w:tcW w:w="1820" w:type="dxa"/>
            <w:vAlign w:val="bottom"/>
            <w:tcBorders>
              <w:right w:val="single" w:sz="8" w:color="007CBA"/>
            </w:tcBorders>
          </w:tcPr>
          <w:p>
            <w:pPr>
              <w:spacing w:after="0"/>
              <w:rPr>
                <w:sz w:val="17"/>
                <w:szCs w:val="17"/>
                <w:color w:val="auto"/>
              </w:rPr>
            </w:pPr>
          </w:p>
        </w:tc>
        <w:tc>
          <w:tcPr>
            <w:tcW w:w="680" w:type="dxa"/>
            <w:vAlign w:val="bottom"/>
            <w:tcBorders>
              <w:right w:val="single" w:sz="8" w:color="007CBA"/>
            </w:tcBorders>
          </w:tcPr>
          <w:p>
            <w:pPr>
              <w:spacing w:after="0"/>
              <w:rPr>
                <w:sz w:val="17"/>
                <w:szCs w:val="17"/>
                <w:color w:val="auto"/>
              </w:rPr>
            </w:pPr>
          </w:p>
        </w:tc>
        <w:tc>
          <w:tcPr>
            <w:tcW w:w="2580" w:type="dxa"/>
            <w:vAlign w:val="bottom"/>
            <w:tcBorders>
              <w:right w:val="single" w:sz="8" w:color="007CBA"/>
            </w:tcBorders>
          </w:tcPr>
          <w:p>
            <w:pPr>
              <w:ind w:left="60"/>
              <w:spacing w:after="0"/>
              <w:rPr>
                <w:sz w:val="20"/>
                <w:szCs w:val="20"/>
                <w:color w:val="auto"/>
              </w:rPr>
            </w:pPr>
            <w:r>
              <w:rPr>
                <w:rFonts w:ascii="Calibri" w:cs="Calibri" w:eastAsia="Calibri" w:hAnsi="Calibri"/>
                <w:sz w:val="16"/>
                <w:szCs w:val="16"/>
                <w:color w:val="auto"/>
              </w:rPr>
              <w:t>Financial Ofcer</w:t>
            </w:r>
          </w:p>
        </w:tc>
        <w:tc>
          <w:tcPr>
            <w:tcW w:w="1460" w:type="dxa"/>
            <w:vAlign w:val="bottom"/>
            <w:tcBorders>
              <w:right w:val="single" w:sz="8" w:color="007CBA"/>
            </w:tcBorders>
          </w:tcPr>
          <w:p>
            <w:pPr>
              <w:spacing w:after="0"/>
              <w:rPr>
                <w:sz w:val="17"/>
                <w:szCs w:val="17"/>
                <w:color w:val="auto"/>
              </w:rPr>
            </w:pPr>
          </w:p>
        </w:tc>
        <w:tc>
          <w:tcPr>
            <w:tcW w:w="4700" w:type="dxa"/>
            <w:vAlign w:val="bottom"/>
          </w:tcPr>
          <w:p>
            <w:pPr>
              <w:ind w:left="100"/>
              <w:spacing w:after="0"/>
              <w:rPr>
                <w:sz w:val="20"/>
                <w:szCs w:val="20"/>
                <w:color w:val="auto"/>
              </w:rPr>
            </w:pPr>
            <w:r>
              <w:rPr>
                <w:rFonts w:ascii="Calibri" w:cs="Calibri" w:eastAsia="Calibri" w:hAnsi="Calibri"/>
                <w:sz w:val="16"/>
                <w:szCs w:val="16"/>
                <w:color w:val="auto"/>
              </w:rPr>
              <w:t>Financial Ofcer (2017-2023)</w:t>
            </w:r>
          </w:p>
        </w:tc>
      </w:tr>
      <w:tr>
        <w:trPr>
          <w:trHeight w:val="41"/>
        </w:trPr>
        <w:tc>
          <w:tcPr>
            <w:tcW w:w="1820" w:type="dxa"/>
            <w:vAlign w:val="bottom"/>
            <w:tcBorders>
              <w:right w:val="single" w:sz="8" w:color="007CBA"/>
            </w:tcBorders>
          </w:tcPr>
          <w:p>
            <w:pPr>
              <w:spacing w:after="0"/>
              <w:rPr>
                <w:sz w:val="3"/>
                <w:szCs w:val="3"/>
                <w:color w:val="auto"/>
              </w:rPr>
            </w:pPr>
          </w:p>
        </w:tc>
        <w:tc>
          <w:tcPr>
            <w:tcW w:w="680" w:type="dxa"/>
            <w:vAlign w:val="bottom"/>
            <w:tcBorders>
              <w:right w:val="single" w:sz="8" w:color="007CBA"/>
            </w:tcBorders>
          </w:tcPr>
          <w:p>
            <w:pPr>
              <w:spacing w:after="0"/>
              <w:rPr>
                <w:sz w:val="3"/>
                <w:szCs w:val="3"/>
                <w:color w:val="auto"/>
              </w:rPr>
            </w:pPr>
          </w:p>
        </w:tc>
        <w:tc>
          <w:tcPr>
            <w:tcW w:w="2580" w:type="dxa"/>
            <w:vAlign w:val="bottom"/>
            <w:tcBorders>
              <w:right w:val="single" w:sz="8" w:color="007CBA"/>
            </w:tcBorders>
          </w:tcPr>
          <w:p>
            <w:pPr>
              <w:spacing w:after="0"/>
              <w:rPr>
                <w:sz w:val="3"/>
                <w:szCs w:val="3"/>
                <w:color w:val="auto"/>
              </w:rPr>
            </w:pPr>
          </w:p>
        </w:tc>
        <w:tc>
          <w:tcPr>
            <w:tcW w:w="1460" w:type="dxa"/>
            <w:vAlign w:val="bottom"/>
            <w:tcBorders>
              <w:right w:val="single" w:sz="8" w:color="007CBA"/>
            </w:tcBorders>
          </w:tcPr>
          <w:p>
            <w:pPr>
              <w:spacing w:after="0"/>
              <w:rPr>
                <w:sz w:val="3"/>
                <w:szCs w:val="3"/>
                <w:color w:val="auto"/>
              </w:rPr>
            </w:pPr>
          </w:p>
        </w:tc>
        <w:tc>
          <w:tcPr>
            <w:tcW w:w="4700" w:type="dxa"/>
            <w:vAlign w:val="bottom"/>
          </w:tcPr>
          <w:p>
            <w:pPr>
              <w:spacing w:after="0"/>
              <w:rPr>
                <w:sz w:val="3"/>
                <w:szCs w:val="3"/>
                <w:color w:val="auto"/>
              </w:rPr>
            </w:pPr>
          </w:p>
        </w:tc>
      </w:tr>
      <w:tr>
        <w:trPr>
          <w:trHeight w:val="193"/>
        </w:trPr>
        <w:tc>
          <w:tcPr>
            <w:tcW w:w="1820" w:type="dxa"/>
            <w:vAlign w:val="bottom"/>
            <w:tcBorders>
              <w:right w:val="single" w:sz="8" w:color="007CBA"/>
            </w:tcBorders>
            <w:shd w:val="clear" w:color="auto" w:fill="E5F1F8"/>
          </w:tcPr>
          <w:p>
            <w:pPr>
              <w:ind w:left="100"/>
              <w:spacing w:after="0" w:line="193" w:lineRule="exact"/>
              <w:rPr>
                <w:sz w:val="20"/>
                <w:szCs w:val="20"/>
                <w:color w:val="auto"/>
              </w:rPr>
            </w:pPr>
            <w:r>
              <w:rPr>
                <w:rFonts w:ascii="Calibri" w:cs="Calibri" w:eastAsia="Calibri" w:hAnsi="Calibri"/>
                <w:sz w:val="16"/>
                <w:szCs w:val="16"/>
                <w:color w:val="auto"/>
              </w:rPr>
              <w:t>Roselyn R. Bar</w:t>
            </w:r>
          </w:p>
        </w:tc>
        <w:tc>
          <w:tcPr>
            <w:tcW w:w="68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65</w:t>
            </w:r>
          </w:p>
        </w:tc>
        <w:tc>
          <w:tcPr>
            <w:tcW w:w="2580" w:type="dxa"/>
            <w:vAlign w:val="bottom"/>
            <w:tcBorders>
              <w:right w:val="single" w:sz="8" w:color="007CBA"/>
            </w:tcBorders>
            <w:shd w:val="clear" w:color="auto" w:fill="E5F1F8"/>
          </w:tcPr>
          <w:p>
            <w:pPr>
              <w:ind w:left="60"/>
              <w:spacing w:after="0" w:line="193" w:lineRule="exact"/>
              <w:rPr>
                <w:sz w:val="20"/>
                <w:szCs w:val="20"/>
                <w:color w:val="auto"/>
              </w:rPr>
            </w:pPr>
            <w:r>
              <w:rPr>
                <w:rFonts w:ascii="Calibri" w:cs="Calibri" w:eastAsia="Calibri" w:hAnsi="Calibri"/>
                <w:sz w:val="16"/>
                <w:szCs w:val="16"/>
                <w:color w:val="auto"/>
              </w:rPr>
              <w:t>Executve Vice President;</w:t>
            </w:r>
          </w:p>
        </w:tc>
        <w:tc>
          <w:tcPr>
            <w:tcW w:w="146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rPr>
              <w:t>2015</w:t>
            </w:r>
          </w:p>
        </w:tc>
        <w:tc>
          <w:tcPr>
            <w:tcW w:w="4700" w:type="dxa"/>
            <w:vAlign w:val="bottom"/>
            <w:shd w:val="clear" w:color="auto" w:fill="E5F1F8"/>
          </w:tcPr>
          <w:p>
            <w:pPr>
              <w:spacing w:after="0"/>
              <w:rPr>
                <w:sz w:val="16"/>
                <w:szCs w:val="16"/>
                <w:color w:val="auto"/>
              </w:rPr>
            </w:pPr>
          </w:p>
        </w:tc>
      </w:tr>
      <w:tr>
        <w:trPr>
          <w:trHeight w:val="225"/>
        </w:trPr>
        <w:tc>
          <w:tcPr>
            <w:tcW w:w="1820" w:type="dxa"/>
            <w:vAlign w:val="bottom"/>
            <w:tcBorders>
              <w:right w:val="single" w:sz="8" w:color="007CBA"/>
            </w:tcBorders>
            <w:shd w:val="clear" w:color="auto" w:fill="E5F1F8"/>
          </w:tcPr>
          <w:p>
            <w:pPr>
              <w:spacing w:after="0"/>
              <w:rPr>
                <w:sz w:val="19"/>
                <w:szCs w:val="19"/>
                <w:color w:val="auto"/>
              </w:rPr>
            </w:pPr>
          </w:p>
        </w:tc>
        <w:tc>
          <w:tcPr>
            <w:tcW w:w="680" w:type="dxa"/>
            <w:vAlign w:val="bottom"/>
            <w:tcBorders>
              <w:right w:val="single" w:sz="8" w:color="007CBA"/>
            </w:tcBorders>
            <w:shd w:val="clear" w:color="auto" w:fill="E5F1F8"/>
          </w:tcPr>
          <w:p>
            <w:pPr>
              <w:spacing w:after="0"/>
              <w:rPr>
                <w:sz w:val="19"/>
                <w:szCs w:val="19"/>
                <w:color w:val="auto"/>
              </w:rPr>
            </w:pPr>
          </w:p>
        </w:tc>
        <w:tc>
          <w:tcPr>
            <w:tcW w:w="2580" w:type="dxa"/>
            <w:vAlign w:val="bottom"/>
            <w:tcBorders>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General Counsel;</w:t>
            </w:r>
          </w:p>
        </w:tc>
        <w:tc>
          <w:tcPr>
            <w:tcW w:w="1460" w:type="dxa"/>
            <w:vAlign w:val="bottom"/>
            <w:tcBorders>
              <w:right w:val="single" w:sz="8" w:color="007CBA"/>
            </w:tcBorders>
            <w:shd w:val="clear" w:color="auto" w:fill="E5F1F8"/>
          </w:tcPr>
          <w:p>
            <w:pPr>
              <w:jc w:val="center"/>
              <w:spacing w:after="0"/>
              <w:rPr>
                <w:sz w:val="20"/>
                <w:szCs w:val="20"/>
                <w:color w:val="auto"/>
              </w:rPr>
            </w:pPr>
            <w:r>
              <w:rPr>
                <w:rFonts w:ascii="Calibri" w:cs="Calibri" w:eastAsia="Calibri" w:hAnsi="Calibri"/>
                <w:sz w:val="16"/>
                <w:szCs w:val="16"/>
                <w:color w:val="auto"/>
              </w:rPr>
              <w:t>2001</w:t>
            </w:r>
          </w:p>
        </w:tc>
        <w:tc>
          <w:tcPr>
            <w:tcW w:w="4700" w:type="dxa"/>
            <w:vAlign w:val="bottom"/>
            <w:shd w:val="clear" w:color="auto" w:fill="E5F1F8"/>
          </w:tcPr>
          <w:p>
            <w:pPr>
              <w:spacing w:after="0"/>
              <w:rPr>
                <w:sz w:val="19"/>
                <w:szCs w:val="19"/>
                <w:color w:val="auto"/>
              </w:rPr>
            </w:pPr>
          </w:p>
        </w:tc>
      </w:tr>
      <w:tr>
        <w:trPr>
          <w:trHeight w:val="278"/>
        </w:trPr>
        <w:tc>
          <w:tcPr>
            <w:tcW w:w="1820" w:type="dxa"/>
            <w:vAlign w:val="bottom"/>
            <w:tcBorders>
              <w:bottom w:val="single" w:sz="8" w:color="E5F1F8"/>
              <w:right w:val="single" w:sz="8" w:color="007CBA"/>
            </w:tcBorders>
            <w:shd w:val="clear" w:color="auto" w:fill="E5F1F8"/>
          </w:tcPr>
          <w:p>
            <w:pPr>
              <w:spacing w:after="0"/>
              <w:rPr>
                <w:sz w:val="24"/>
                <w:szCs w:val="24"/>
                <w:color w:val="auto"/>
              </w:rPr>
            </w:pPr>
          </w:p>
        </w:tc>
        <w:tc>
          <w:tcPr>
            <w:tcW w:w="680" w:type="dxa"/>
            <w:vAlign w:val="bottom"/>
            <w:tcBorders>
              <w:bottom w:val="single" w:sz="8" w:color="E5F1F8"/>
              <w:right w:val="single" w:sz="8" w:color="007CBA"/>
            </w:tcBorders>
            <w:shd w:val="clear" w:color="auto" w:fill="E5F1F8"/>
          </w:tcPr>
          <w:p>
            <w:pPr>
              <w:spacing w:after="0"/>
              <w:rPr>
                <w:sz w:val="24"/>
                <w:szCs w:val="24"/>
                <w:color w:val="auto"/>
              </w:rPr>
            </w:pPr>
          </w:p>
        </w:tc>
        <w:tc>
          <w:tcPr>
            <w:tcW w:w="258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Corporate Secretary</w:t>
            </w:r>
          </w:p>
        </w:tc>
        <w:tc>
          <w:tcPr>
            <w:tcW w:w="1460" w:type="dxa"/>
            <w:vAlign w:val="bottom"/>
            <w:tcBorders>
              <w:bottom w:val="single" w:sz="8" w:color="E5F1F8"/>
              <w:right w:val="single" w:sz="8" w:color="007CBA"/>
            </w:tcBorders>
            <w:shd w:val="clear" w:color="auto" w:fill="E5F1F8"/>
          </w:tcPr>
          <w:p>
            <w:pPr>
              <w:jc w:val="center"/>
              <w:spacing w:after="0"/>
              <w:rPr>
                <w:sz w:val="20"/>
                <w:szCs w:val="20"/>
                <w:color w:val="auto"/>
              </w:rPr>
            </w:pPr>
            <w:r>
              <w:rPr>
                <w:rFonts w:ascii="Calibri" w:cs="Calibri" w:eastAsia="Calibri" w:hAnsi="Calibri"/>
                <w:sz w:val="16"/>
                <w:szCs w:val="16"/>
                <w:color w:val="auto"/>
              </w:rPr>
              <w:t>1997</w:t>
            </w:r>
          </w:p>
        </w:tc>
        <w:tc>
          <w:tcPr>
            <w:tcW w:w="4700" w:type="dxa"/>
            <w:vAlign w:val="bottom"/>
            <w:tcBorders>
              <w:bottom w:val="single" w:sz="8" w:color="E5F1F8"/>
            </w:tcBorders>
            <w:shd w:val="clear" w:color="auto" w:fill="E5F1F8"/>
          </w:tcPr>
          <w:p>
            <w:pPr>
              <w:spacing w:after="0"/>
              <w:rPr>
                <w:sz w:val="24"/>
                <w:szCs w:val="24"/>
                <w:color w:val="auto"/>
              </w:rPr>
            </w:pPr>
          </w:p>
        </w:tc>
      </w:tr>
      <w:tr>
        <w:trPr>
          <w:trHeight w:val="193"/>
        </w:trPr>
        <w:tc>
          <w:tcPr>
            <w:tcW w:w="182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Kelly G. Bennet</w:t>
            </w:r>
          </w:p>
        </w:tc>
        <w:tc>
          <w:tcPr>
            <w:tcW w:w="680" w:type="dxa"/>
            <w:vAlign w:val="bottom"/>
            <w:tcBorders>
              <w:right w:val="single" w:sz="8" w:color="007CBA"/>
            </w:tcBorders>
          </w:tcPr>
          <w:p>
            <w:pPr>
              <w:jc w:val="center"/>
              <w:spacing w:after="0" w:line="193" w:lineRule="exact"/>
              <w:rPr>
                <w:sz w:val="20"/>
                <w:szCs w:val="20"/>
                <w:color w:val="auto"/>
              </w:rPr>
            </w:pPr>
            <w:r>
              <w:rPr>
                <w:rFonts w:ascii="Calibri" w:cs="Calibri" w:eastAsia="Calibri" w:hAnsi="Calibri"/>
                <w:sz w:val="16"/>
                <w:szCs w:val="16"/>
                <w:color w:val="auto"/>
                <w:w w:val="98"/>
              </w:rPr>
              <w:t>46</w:t>
            </w:r>
          </w:p>
        </w:tc>
        <w:tc>
          <w:tcPr>
            <w:tcW w:w="2580" w:type="dxa"/>
            <w:vAlign w:val="bottom"/>
            <w:tcBorders>
              <w:right w:val="single" w:sz="8" w:color="007CBA"/>
            </w:tcBorders>
          </w:tcPr>
          <w:p>
            <w:pPr>
              <w:ind w:left="60"/>
              <w:spacing w:after="0" w:line="193" w:lineRule="exact"/>
              <w:rPr>
                <w:sz w:val="20"/>
                <w:szCs w:val="20"/>
                <w:color w:val="auto"/>
              </w:rPr>
            </w:pPr>
            <w:r>
              <w:rPr>
                <w:rFonts w:ascii="Calibri" w:cs="Calibri" w:eastAsia="Calibri" w:hAnsi="Calibri"/>
                <w:sz w:val="16"/>
                <w:szCs w:val="16"/>
                <w:color w:val="auto"/>
              </w:rPr>
              <w:t>Senior Vice President,</w:t>
            </w:r>
          </w:p>
        </w:tc>
        <w:tc>
          <w:tcPr>
            <w:tcW w:w="1460" w:type="dxa"/>
            <w:vAlign w:val="bottom"/>
            <w:tcBorders>
              <w:right w:val="single" w:sz="8" w:color="007CBA"/>
            </w:tcBorders>
          </w:tcPr>
          <w:p>
            <w:pPr>
              <w:jc w:val="center"/>
              <w:spacing w:after="0" w:line="193" w:lineRule="exact"/>
              <w:rPr>
                <w:sz w:val="20"/>
                <w:szCs w:val="20"/>
                <w:color w:val="auto"/>
              </w:rPr>
            </w:pPr>
            <w:r>
              <w:rPr>
                <w:rFonts w:ascii="Calibri" w:cs="Calibri" w:eastAsia="Calibri" w:hAnsi="Calibri"/>
                <w:sz w:val="16"/>
                <w:szCs w:val="16"/>
                <w:color w:val="auto"/>
              </w:rPr>
              <w:t>2024</w:t>
            </w:r>
          </w:p>
        </w:tc>
        <w:tc>
          <w:tcPr>
            <w:tcW w:w="4700" w:type="dxa"/>
            <w:vAlign w:val="bottom"/>
          </w:tcPr>
          <w:p>
            <w:pPr>
              <w:ind w:left="100"/>
              <w:spacing w:after="0" w:line="193" w:lineRule="exact"/>
              <w:rPr>
                <w:sz w:val="20"/>
                <w:szCs w:val="20"/>
                <w:color w:val="auto"/>
              </w:rPr>
            </w:pPr>
            <w:r>
              <w:rPr>
                <w:rFonts w:ascii="Calibri" w:cs="Calibri" w:eastAsia="Calibri" w:hAnsi="Calibri"/>
                <w:sz w:val="16"/>
                <w:szCs w:val="16"/>
                <w:color w:val="auto"/>
              </w:rPr>
              <w:t>Senior Vice President, Human Resources (2023-2024); Vice President</w:t>
            </w:r>
          </w:p>
        </w:tc>
      </w:tr>
      <w:tr>
        <w:trPr>
          <w:trHeight w:val="198"/>
        </w:trPr>
        <w:tc>
          <w:tcPr>
            <w:tcW w:w="1820" w:type="dxa"/>
            <w:vAlign w:val="bottom"/>
            <w:tcBorders>
              <w:right w:val="single" w:sz="8" w:color="007CBA"/>
            </w:tcBorders>
          </w:tcPr>
          <w:p>
            <w:pPr>
              <w:spacing w:after="0"/>
              <w:rPr>
                <w:sz w:val="17"/>
                <w:szCs w:val="17"/>
                <w:color w:val="auto"/>
              </w:rPr>
            </w:pPr>
          </w:p>
        </w:tc>
        <w:tc>
          <w:tcPr>
            <w:tcW w:w="680" w:type="dxa"/>
            <w:vAlign w:val="bottom"/>
            <w:tcBorders>
              <w:right w:val="single" w:sz="8" w:color="007CBA"/>
            </w:tcBorders>
          </w:tcPr>
          <w:p>
            <w:pPr>
              <w:spacing w:after="0"/>
              <w:rPr>
                <w:sz w:val="17"/>
                <w:szCs w:val="17"/>
                <w:color w:val="auto"/>
              </w:rPr>
            </w:pPr>
          </w:p>
        </w:tc>
        <w:tc>
          <w:tcPr>
            <w:tcW w:w="2580" w:type="dxa"/>
            <w:vAlign w:val="bottom"/>
            <w:tcBorders>
              <w:right w:val="single" w:sz="8" w:color="007CBA"/>
            </w:tcBorders>
          </w:tcPr>
          <w:p>
            <w:pPr>
              <w:ind w:left="60"/>
              <w:spacing w:after="0"/>
              <w:rPr>
                <w:sz w:val="20"/>
                <w:szCs w:val="20"/>
                <w:color w:val="auto"/>
              </w:rPr>
            </w:pPr>
            <w:r>
              <w:rPr>
                <w:rFonts w:ascii="Calibri" w:cs="Calibri" w:eastAsia="Calibri" w:hAnsi="Calibri"/>
                <w:sz w:val="16"/>
                <w:szCs w:val="16"/>
                <w:color w:val="auto"/>
              </w:rPr>
              <w:t>Chief Human Resource Ofcer</w:t>
            </w:r>
          </w:p>
        </w:tc>
        <w:tc>
          <w:tcPr>
            <w:tcW w:w="1460" w:type="dxa"/>
            <w:vAlign w:val="bottom"/>
            <w:tcBorders>
              <w:right w:val="single" w:sz="8" w:color="007CBA"/>
            </w:tcBorders>
          </w:tcPr>
          <w:p>
            <w:pPr>
              <w:spacing w:after="0"/>
              <w:rPr>
                <w:sz w:val="17"/>
                <w:szCs w:val="17"/>
                <w:color w:val="auto"/>
              </w:rPr>
            </w:pPr>
          </w:p>
        </w:tc>
        <w:tc>
          <w:tcPr>
            <w:tcW w:w="4700" w:type="dxa"/>
            <w:vAlign w:val="bottom"/>
          </w:tcPr>
          <w:p>
            <w:pPr>
              <w:ind w:left="100"/>
              <w:spacing w:after="0"/>
              <w:rPr>
                <w:sz w:val="20"/>
                <w:szCs w:val="20"/>
                <w:color w:val="auto"/>
              </w:rPr>
            </w:pPr>
            <w:r>
              <w:rPr>
                <w:rFonts w:ascii="Calibri" w:cs="Calibri" w:eastAsia="Calibri" w:hAnsi="Calibri"/>
                <w:sz w:val="16"/>
                <w:szCs w:val="16"/>
                <w:color w:val="auto"/>
              </w:rPr>
              <w:t>of Total Rewards (2018-2023)</w:t>
            </w:r>
          </w:p>
        </w:tc>
      </w:tr>
      <w:tr>
        <w:trPr>
          <w:trHeight w:val="41"/>
        </w:trPr>
        <w:tc>
          <w:tcPr>
            <w:tcW w:w="1820" w:type="dxa"/>
            <w:vAlign w:val="bottom"/>
            <w:tcBorders>
              <w:right w:val="single" w:sz="8" w:color="007CBA"/>
            </w:tcBorders>
          </w:tcPr>
          <w:p>
            <w:pPr>
              <w:spacing w:after="0"/>
              <w:rPr>
                <w:sz w:val="3"/>
                <w:szCs w:val="3"/>
                <w:color w:val="auto"/>
              </w:rPr>
            </w:pPr>
          </w:p>
        </w:tc>
        <w:tc>
          <w:tcPr>
            <w:tcW w:w="680" w:type="dxa"/>
            <w:vAlign w:val="bottom"/>
            <w:tcBorders>
              <w:right w:val="single" w:sz="8" w:color="007CBA"/>
            </w:tcBorders>
          </w:tcPr>
          <w:p>
            <w:pPr>
              <w:spacing w:after="0"/>
              <w:rPr>
                <w:sz w:val="3"/>
                <w:szCs w:val="3"/>
                <w:color w:val="auto"/>
              </w:rPr>
            </w:pPr>
          </w:p>
        </w:tc>
        <w:tc>
          <w:tcPr>
            <w:tcW w:w="2580" w:type="dxa"/>
            <w:vAlign w:val="bottom"/>
            <w:tcBorders>
              <w:right w:val="single" w:sz="8" w:color="007CBA"/>
            </w:tcBorders>
          </w:tcPr>
          <w:p>
            <w:pPr>
              <w:spacing w:after="0"/>
              <w:rPr>
                <w:sz w:val="3"/>
                <w:szCs w:val="3"/>
                <w:color w:val="auto"/>
              </w:rPr>
            </w:pPr>
          </w:p>
        </w:tc>
        <w:tc>
          <w:tcPr>
            <w:tcW w:w="1460" w:type="dxa"/>
            <w:vAlign w:val="bottom"/>
            <w:tcBorders>
              <w:right w:val="single" w:sz="8" w:color="007CBA"/>
            </w:tcBorders>
          </w:tcPr>
          <w:p>
            <w:pPr>
              <w:spacing w:after="0"/>
              <w:rPr>
                <w:sz w:val="3"/>
                <w:szCs w:val="3"/>
                <w:color w:val="auto"/>
              </w:rPr>
            </w:pPr>
          </w:p>
        </w:tc>
        <w:tc>
          <w:tcPr>
            <w:tcW w:w="4700" w:type="dxa"/>
            <w:vAlign w:val="bottom"/>
          </w:tcPr>
          <w:p>
            <w:pPr>
              <w:spacing w:after="0"/>
              <w:rPr>
                <w:sz w:val="3"/>
                <w:szCs w:val="3"/>
                <w:color w:val="auto"/>
              </w:rPr>
            </w:pPr>
          </w:p>
        </w:tc>
      </w:tr>
      <w:tr>
        <w:trPr>
          <w:trHeight w:val="194"/>
        </w:trPr>
        <w:tc>
          <w:tcPr>
            <w:tcW w:w="1820" w:type="dxa"/>
            <w:vAlign w:val="bottom"/>
            <w:tcBorders>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Oliver W. Brooks</w:t>
            </w:r>
          </w:p>
        </w:tc>
        <w:tc>
          <w:tcPr>
            <w:tcW w:w="68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38</w:t>
            </w:r>
          </w:p>
        </w:tc>
        <w:tc>
          <w:tcPr>
            <w:tcW w:w="2580" w:type="dxa"/>
            <w:vAlign w:val="bottom"/>
            <w:tcBorders>
              <w:right w:val="single" w:sz="8" w:color="007CBA"/>
            </w:tcBorders>
            <w:shd w:val="clear" w:color="auto" w:fill="E5F1F8"/>
          </w:tcPr>
          <w:p>
            <w:pPr>
              <w:ind w:left="60"/>
              <w:spacing w:after="0" w:line="193" w:lineRule="exact"/>
              <w:rPr>
                <w:sz w:val="20"/>
                <w:szCs w:val="20"/>
                <w:color w:val="auto"/>
              </w:rPr>
            </w:pPr>
            <w:r>
              <w:rPr>
                <w:rFonts w:ascii="Calibri" w:cs="Calibri" w:eastAsia="Calibri" w:hAnsi="Calibri"/>
                <w:sz w:val="16"/>
                <w:szCs w:val="16"/>
                <w:color w:val="auto"/>
              </w:rPr>
              <w:t>Senior Vice President,</w:t>
            </w:r>
          </w:p>
        </w:tc>
        <w:tc>
          <w:tcPr>
            <w:tcW w:w="146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rPr>
              <w:t>2022</w:t>
            </w:r>
          </w:p>
        </w:tc>
        <w:tc>
          <w:tcPr>
            <w:tcW w:w="4700" w:type="dxa"/>
            <w:vAlign w:val="bottom"/>
            <w:shd w:val="clear" w:color="auto" w:fill="E5F1F8"/>
          </w:tcPr>
          <w:p>
            <w:pPr>
              <w:ind w:left="100"/>
              <w:spacing w:after="0" w:line="193" w:lineRule="exact"/>
              <w:rPr>
                <w:sz w:val="20"/>
                <w:szCs w:val="20"/>
                <w:color w:val="auto"/>
              </w:rPr>
            </w:pPr>
            <w:r>
              <w:rPr>
                <w:rFonts w:ascii="Calibri" w:cs="Calibri" w:eastAsia="Calibri" w:hAnsi="Calibri"/>
                <w:sz w:val="16"/>
                <w:szCs w:val="16"/>
                <w:color w:val="auto"/>
              </w:rPr>
              <w:t>Vice President, Strategic Planning for Southwest Division (2020-</w:t>
            </w:r>
          </w:p>
        </w:tc>
      </w:tr>
      <w:tr>
        <w:trPr>
          <w:trHeight w:val="218"/>
        </w:trPr>
        <w:tc>
          <w:tcPr>
            <w:tcW w:w="1820" w:type="dxa"/>
            <w:vAlign w:val="bottom"/>
            <w:tcBorders>
              <w:bottom w:val="single" w:sz="8" w:color="E5F1F8"/>
              <w:right w:val="single" w:sz="8" w:color="007CBA"/>
            </w:tcBorders>
            <w:shd w:val="clear" w:color="auto" w:fill="E5F1F8"/>
          </w:tcPr>
          <w:p>
            <w:pPr>
              <w:spacing w:after="0"/>
              <w:rPr>
                <w:sz w:val="19"/>
                <w:szCs w:val="19"/>
                <w:color w:val="auto"/>
              </w:rPr>
            </w:pPr>
          </w:p>
        </w:tc>
        <w:tc>
          <w:tcPr>
            <w:tcW w:w="680" w:type="dxa"/>
            <w:vAlign w:val="bottom"/>
            <w:tcBorders>
              <w:bottom w:val="single" w:sz="8" w:color="E5F1F8"/>
              <w:right w:val="single" w:sz="8" w:color="007CBA"/>
            </w:tcBorders>
            <w:shd w:val="clear" w:color="auto" w:fill="E5F1F8"/>
          </w:tcPr>
          <w:p>
            <w:pPr>
              <w:spacing w:after="0"/>
              <w:rPr>
                <w:sz w:val="19"/>
                <w:szCs w:val="19"/>
                <w:color w:val="auto"/>
              </w:rPr>
            </w:pPr>
          </w:p>
        </w:tc>
        <w:tc>
          <w:tcPr>
            <w:tcW w:w="2580" w:type="dxa"/>
            <w:vAlign w:val="bottom"/>
            <w:tcBorders>
              <w:bottom w:val="single" w:sz="8" w:color="E5F1F8"/>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Enterprise Excellence</w:t>
            </w:r>
          </w:p>
        </w:tc>
        <w:tc>
          <w:tcPr>
            <w:tcW w:w="1460" w:type="dxa"/>
            <w:vAlign w:val="bottom"/>
            <w:tcBorders>
              <w:bottom w:val="single" w:sz="8" w:color="E5F1F8"/>
              <w:right w:val="single" w:sz="8" w:color="007CBA"/>
            </w:tcBorders>
            <w:shd w:val="clear" w:color="auto" w:fill="E5F1F8"/>
          </w:tcPr>
          <w:p>
            <w:pPr>
              <w:spacing w:after="0"/>
              <w:rPr>
                <w:sz w:val="19"/>
                <w:szCs w:val="19"/>
                <w:color w:val="auto"/>
              </w:rPr>
            </w:pPr>
          </w:p>
        </w:tc>
        <w:tc>
          <w:tcPr>
            <w:tcW w:w="4700" w:type="dxa"/>
            <w:vAlign w:val="bottom"/>
            <w:tcBorders>
              <w:bottom w:val="single" w:sz="8" w:color="E5F1F8"/>
            </w:tcBorders>
            <w:shd w:val="clear" w:color="auto" w:fill="E5F1F8"/>
          </w:tcPr>
          <w:p>
            <w:pPr>
              <w:ind w:left="100"/>
              <w:spacing w:after="0"/>
              <w:rPr>
                <w:sz w:val="20"/>
                <w:szCs w:val="20"/>
                <w:color w:val="auto"/>
              </w:rPr>
            </w:pPr>
            <w:r>
              <w:rPr>
                <w:rFonts w:ascii="Calibri" w:cs="Calibri" w:eastAsia="Calibri" w:hAnsi="Calibri"/>
                <w:sz w:val="16"/>
                <w:szCs w:val="16"/>
                <w:color w:val="auto"/>
              </w:rPr>
              <w:t>2022); General Manager, North Texas/Oklahoma District (2018-2020)</w:t>
            </w:r>
          </w:p>
        </w:tc>
      </w:tr>
      <w:tr>
        <w:trPr>
          <w:trHeight w:val="194"/>
        </w:trPr>
        <w:tc>
          <w:tcPr>
            <w:tcW w:w="1820" w:type="dxa"/>
            <w:vAlign w:val="bottom"/>
            <w:tcBorders>
              <w:right w:val="single" w:sz="8" w:color="007CBA"/>
            </w:tcBorders>
          </w:tcPr>
          <w:p>
            <w:pPr>
              <w:ind w:left="100"/>
              <w:spacing w:after="0" w:line="193" w:lineRule="exact"/>
              <w:rPr>
                <w:sz w:val="20"/>
                <w:szCs w:val="20"/>
                <w:color w:val="auto"/>
              </w:rPr>
            </w:pPr>
            <w:r>
              <w:rPr>
                <w:rFonts w:ascii="Calibri" w:cs="Calibri" w:eastAsia="Calibri" w:hAnsi="Calibri"/>
                <w:sz w:val="16"/>
                <w:szCs w:val="16"/>
                <w:color w:val="auto"/>
              </w:rPr>
              <w:t>Robert J. Cardin</w:t>
            </w:r>
          </w:p>
        </w:tc>
        <w:tc>
          <w:tcPr>
            <w:tcW w:w="680" w:type="dxa"/>
            <w:vAlign w:val="bottom"/>
            <w:tcBorders>
              <w:right w:val="single" w:sz="8" w:color="007CBA"/>
            </w:tcBorders>
          </w:tcPr>
          <w:p>
            <w:pPr>
              <w:jc w:val="center"/>
              <w:spacing w:after="0" w:line="193" w:lineRule="exact"/>
              <w:rPr>
                <w:sz w:val="20"/>
                <w:szCs w:val="20"/>
                <w:color w:val="auto"/>
              </w:rPr>
            </w:pPr>
            <w:r>
              <w:rPr>
                <w:rFonts w:ascii="Calibri" w:cs="Calibri" w:eastAsia="Calibri" w:hAnsi="Calibri"/>
                <w:sz w:val="16"/>
                <w:szCs w:val="16"/>
                <w:color w:val="auto"/>
                <w:w w:val="98"/>
              </w:rPr>
              <w:t>60</w:t>
            </w:r>
          </w:p>
        </w:tc>
        <w:tc>
          <w:tcPr>
            <w:tcW w:w="2580" w:type="dxa"/>
            <w:vAlign w:val="bottom"/>
            <w:tcBorders>
              <w:right w:val="single" w:sz="8" w:color="007CBA"/>
            </w:tcBorders>
          </w:tcPr>
          <w:p>
            <w:pPr>
              <w:ind w:left="60"/>
              <w:spacing w:after="0" w:line="193" w:lineRule="exact"/>
              <w:rPr>
                <w:sz w:val="20"/>
                <w:szCs w:val="20"/>
                <w:color w:val="auto"/>
              </w:rPr>
            </w:pPr>
            <w:r>
              <w:rPr>
                <w:rFonts w:ascii="Calibri" w:cs="Calibri" w:eastAsia="Calibri" w:hAnsi="Calibri"/>
                <w:sz w:val="16"/>
                <w:szCs w:val="16"/>
                <w:color w:val="auto"/>
              </w:rPr>
              <w:t>Senior Vice President,</w:t>
            </w:r>
          </w:p>
        </w:tc>
        <w:tc>
          <w:tcPr>
            <w:tcW w:w="1460" w:type="dxa"/>
            <w:vAlign w:val="bottom"/>
            <w:tcBorders>
              <w:right w:val="single" w:sz="8" w:color="007CBA"/>
            </w:tcBorders>
          </w:tcPr>
          <w:p>
            <w:pPr>
              <w:jc w:val="center"/>
              <w:spacing w:after="0" w:line="193" w:lineRule="exact"/>
              <w:rPr>
                <w:sz w:val="20"/>
                <w:szCs w:val="20"/>
                <w:color w:val="auto"/>
              </w:rPr>
            </w:pPr>
            <w:r>
              <w:rPr>
                <w:rFonts w:ascii="Calibri" w:cs="Calibri" w:eastAsia="Calibri" w:hAnsi="Calibri"/>
                <w:sz w:val="16"/>
                <w:szCs w:val="16"/>
                <w:color w:val="auto"/>
              </w:rPr>
              <w:t>2019</w:t>
            </w:r>
          </w:p>
        </w:tc>
        <w:tc>
          <w:tcPr>
            <w:tcW w:w="4700" w:type="dxa"/>
            <w:vAlign w:val="bottom"/>
          </w:tcPr>
          <w:p>
            <w:pPr>
              <w:ind w:left="100"/>
              <w:spacing w:after="0" w:line="193" w:lineRule="exact"/>
              <w:rPr>
                <w:sz w:val="20"/>
                <w:szCs w:val="20"/>
                <w:color w:val="auto"/>
              </w:rPr>
            </w:pPr>
            <w:r>
              <w:rPr>
                <w:rFonts w:ascii="Calibri" w:cs="Calibri" w:eastAsia="Calibri" w:hAnsi="Calibri"/>
                <w:sz w:val="16"/>
                <w:szCs w:val="16"/>
                <w:color w:val="auto"/>
              </w:rPr>
              <w:t>Vice President and Corporate Controller (2019); Corporate Controller,</w:t>
            </w:r>
          </w:p>
        </w:tc>
      </w:tr>
      <w:tr>
        <w:trPr>
          <w:trHeight w:val="198"/>
        </w:trPr>
        <w:tc>
          <w:tcPr>
            <w:tcW w:w="1820" w:type="dxa"/>
            <w:vAlign w:val="bottom"/>
            <w:tcBorders>
              <w:right w:val="single" w:sz="8" w:color="007CBA"/>
            </w:tcBorders>
          </w:tcPr>
          <w:p>
            <w:pPr>
              <w:spacing w:after="0"/>
              <w:rPr>
                <w:sz w:val="17"/>
                <w:szCs w:val="17"/>
                <w:color w:val="auto"/>
              </w:rPr>
            </w:pPr>
          </w:p>
        </w:tc>
        <w:tc>
          <w:tcPr>
            <w:tcW w:w="680" w:type="dxa"/>
            <w:vAlign w:val="bottom"/>
            <w:tcBorders>
              <w:right w:val="single" w:sz="8" w:color="007CBA"/>
            </w:tcBorders>
          </w:tcPr>
          <w:p>
            <w:pPr>
              <w:spacing w:after="0"/>
              <w:rPr>
                <w:sz w:val="17"/>
                <w:szCs w:val="17"/>
                <w:color w:val="auto"/>
              </w:rPr>
            </w:pPr>
          </w:p>
        </w:tc>
        <w:tc>
          <w:tcPr>
            <w:tcW w:w="2580" w:type="dxa"/>
            <w:vAlign w:val="bottom"/>
            <w:tcBorders>
              <w:right w:val="single" w:sz="8" w:color="007CBA"/>
            </w:tcBorders>
          </w:tcPr>
          <w:p>
            <w:pPr>
              <w:ind w:left="60"/>
              <w:spacing w:after="0"/>
              <w:rPr>
                <w:sz w:val="20"/>
                <w:szCs w:val="20"/>
                <w:color w:val="auto"/>
              </w:rPr>
            </w:pPr>
            <w:r>
              <w:rPr>
                <w:rFonts w:ascii="Calibri" w:cs="Calibri" w:eastAsia="Calibri" w:hAnsi="Calibri"/>
                <w:sz w:val="16"/>
                <w:szCs w:val="16"/>
                <w:color w:val="auto"/>
              </w:rPr>
              <w:t>Controller and</w:t>
            </w:r>
          </w:p>
        </w:tc>
        <w:tc>
          <w:tcPr>
            <w:tcW w:w="1460" w:type="dxa"/>
            <w:vAlign w:val="bottom"/>
            <w:tcBorders>
              <w:right w:val="single" w:sz="8" w:color="007CBA"/>
            </w:tcBorders>
          </w:tcPr>
          <w:p>
            <w:pPr>
              <w:spacing w:after="0"/>
              <w:rPr>
                <w:sz w:val="17"/>
                <w:szCs w:val="17"/>
                <w:color w:val="auto"/>
              </w:rPr>
            </w:pPr>
          </w:p>
        </w:tc>
        <w:tc>
          <w:tcPr>
            <w:tcW w:w="4700" w:type="dxa"/>
            <w:vAlign w:val="bottom"/>
          </w:tcPr>
          <w:p>
            <w:pPr>
              <w:ind w:left="100"/>
              <w:spacing w:after="0"/>
              <w:rPr>
                <w:sz w:val="20"/>
                <w:szCs w:val="20"/>
                <w:color w:val="auto"/>
              </w:rPr>
            </w:pPr>
            <w:r>
              <w:rPr>
                <w:rFonts w:ascii="Calibri" w:cs="Calibri" w:eastAsia="Calibri" w:hAnsi="Calibri"/>
                <w:sz w:val="16"/>
                <w:szCs w:val="16"/>
                <w:color w:val="auto"/>
              </w:rPr>
              <w:t>Chief Accountng Ofcer, Schweitzer-Mauduit Internatonal (2013-</w:t>
            </w:r>
          </w:p>
        </w:tc>
      </w:tr>
      <w:tr>
        <w:trPr>
          <w:trHeight w:val="203"/>
        </w:trPr>
        <w:tc>
          <w:tcPr>
            <w:tcW w:w="1820" w:type="dxa"/>
            <w:vAlign w:val="bottom"/>
            <w:tcBorders>
              <w:right w:val="single" w:sz="8" w:color="007CBA"/>
            </w:tcBorders>
          </w:tcPr>
          <w:p>
            <w:pPr>
              <w:spacing w:after="0"/>
              <w:rPr>
                <w:sz w:val="17"/>
                <w:szCs w:val="17"/>
                <w:color w:val="auto"/>
              </w:rPr>
            </w:pPr>
          </w:p>
        </w:tc>
        <w:tc>
          <w:tcPr>
            <w:tcW w:w="680" w:type="dxa"/>
            <w:vAlign w:val="bottom"/>
            <w:tcBorders>
              <w:right w:val="single" w:sz="8" w:color="007CBA"/>
            </w:tcBorders>
          </w:tcPr>
          <w:p>
            <w:pPr>
              <w:spacing w:after="0"/>
              <w:rPr>
                <w:sz w:val="17"/>
                <w:szCs w:val="17"/>
                <w:color w:val="auto"/>
              </w:rPr>
            </w:pPr>
          </w:p>
        </w:tc>
        <w:tc>
          <w:tcPr>
            <w:tcW w:w="2580" w:type="dxa"/>
            <w:vAlign w:val="bottom"/>
            <w:tcBorders>
              <w:right w:val="single" w:sz="8" w:color="007CBA"/>
            </w:tcBorders>
          </w:tcPr>
          <w:p>
            <w:pPr>
              <w:ind w:left="60"/>
              <w:spacing w:after="0"/>
              <w:rPr>
                <w:sz w:val="20"/>
                <w:szCs w:val="20"/>
                <w:color w:val="auto"/>
              </w:rPr>
            </w:pPr>
            <w:r>
              <w:rPr>
                <w:rFonts w:ascii="Calibri" w:cs="Calibri" w:eastAsia="Calibri" w:hAnsi="Calibri"/>
                <w:sz w:val="16"/>
                <w:szCs w:val="16"/>
                <w:color w:val="auto"/>
              </w:rPr>
              <w:t>Chief Accountng Ofcer</w:t>
            </w:r>
          </w:p>
        </w:tc>
        <w:tc>
          <w:tcPr>
            <w:tcW w:w="1460" w:type="dxa"/>
            <w:vAlign w:val="bottom"/>
            <w:tcBorders>
              <w:right w:val="single" w:sz="8" w:color="007CBA"/>
            </w:tcBorders>
          </w:tcPr>
          <w:p>
            <w:pPr>
              <w:spacing w:after="0"/>
              <w:rPr>
                <w:sz w:val="17"/>
                <w:szCs w:val="17"/>
                <w:color w:val="auto"/>
              </w:rPr>
            </w:pPr>
          </w:p>
        </w:tc>
        <w:tc>
          <w:tcPr>
            <w:tcW w:w="4700" w:type="dxa"/>
            <w:vAlign w:val="bottom"/>
          </w:tcPr>
          <w:p>
            <w:pPr>
              <w:ind w:left="100"/>
              <w:spacing w:after="0"/>
              <w:rPr>
                <w:sz w:val="20"/>
                <w:szCs w:val="20"/>
                <w:color w:val="auto"/>
              </w:rPr>
            </w:pPr>
            <w:r>
              <w:rPr>
                <w:rFonts w:ascii="Calibri" w:cs="Calibri" w:eastAsia="Calibri" w:hAnsi="Calibri"/>
                <w:sz w:val="16"/>
                <w:szCs w:val="16"/>
                <w:color w:val="auto"/>
              </w:rPr>
              <w:t>2019)</w:t>
            </w:r>
          </w:p>
        </w:tc>
      </w:tr>
      <w:tr>
        <w:trPr>
          <w:trHeight w:val="41"/>
        </w:trPr>
        <w:tc>
          <w:tcPr>
            <w:tcW w:w="1820" w:type="dxa"/>
            <w:vAlign w:val="bottom"/>
            <w:tcBorders>
              <w:right w:val="single" w:sz="8" w:color="007CBA"/>
            </w:tcBorders>
          </w:tcPr>
          <w:p>
            <w:pPr>
              <w:spacing w:after="0"/>
              <w:rPr>
                <w:sz w:val="3"/>
                <w:szCs w:val="3"/>
                <w:color w:val="auto"/>
              </w:rPr>
            </w:pPr>
          </w:p>
        </w:tc>
        <w:tc>
          <w:tcPr>
            <w:tcW w:w="680" w:type="dxa"/>
            <w:vAlign w:val="bottom"/>
            <w:tcBorders>
              <w:right w:val="single" w:sz="8" w:color="007CBA"/>
            </w:tcBorders>
          </w:tcPr>
          <w:p>
            <w:pPr>
              <w:spacing w:after="0"/>
              <w:rPr>
                <w:sz w:val="3"/>
                <w:szCs w:val="3"/>
                <w:color w:val="auto"/>
              </w:rPr>
            </w:pPr>
          </w:p>
        </w:tc>
        <w:tc>
          <w:tcPr>
            <w:tcW w:w="2580" w:type="dxa"/>
            <w:vAlign w:val="bottom"/>
            <w:tcBorders>
              <w:right w:val="single" w:sz="8" w:color="007CBA"/>
            </w:tcBorders>
          </w:tcPr>
          <w:p>
            <w:pPr>
              <w:spacing w:after="0"/>
              <w:rPr>
                <w:sz w:val="3"/>
                <w:szCs w:val="3"/>
                <w:color w:val="auto"/>
              </w:rPr>
            </w:pPr>
          </w:p>
        </w:tc>
        <w:tc>
          <w:tcPr>
            <w:tcW w:w="1460" w:type="dxa"/>
            <w:vAlign w:val="bottom"/>
            <w:tcBorders>
              <w:right w:val="single" w:sz="8" w:color="007CBA"/>
            </w:tcBorders>
          </w:tcPr>
          <w:p>
            <w:pPr>
              <w:spacing w:after="0"/>
              <w:rPr>
                <w:sz w:val="3"/>
                <w:szCs w:val="3"/>
                <w:color w:val="auto"/>
              </w:rPr>
            </w:pPr>
          </w:p>
        </w:tc>
        <w:tc>
          <w:tcPr>
            <w:tcW w:w="4700" w:type="dxa"/>
            <w:vAlign w:val="bottom"/>
          </w:tcPr>
          <w:p>
            <w:pPr>
              <w:spacing w:after="0"/>
              <w:rPr>
                <w:sz w:val="3"/>
                <w:szCs w:val="3"/>
                <w:color w:val="auto"/>
              </w:rPr>
            </w:pPr>
          </w:p>
        </w:tc>
      </w:tr>
      <w:tr>
        <w:trPr>
          <w:trHeight w:val="193"/>
        </w:trPr>
        <w:tc>
          <w:tcPr>
            <w:tcW w:w="1820" w:type="dxa"/>
            <w:vAlign w:val="bottom"/>
            <w:tcBorders>
              <w:right w:val="single" w:sz="8" w:color="007CBA"/>
            </w:tcBorders>
            <w:shd w:val="clear" w:color="auto" w:fill="E5F1F8"/>
          </w:tcPr>
          <w:p>
            <w:pPr>
              <w:ind w:left="100"/>
              <w:spacing w:after="0" w:line="193" w:lineRule="exact"/>
              <w:rPr>
                <w:sz w:val="20"/>
                <w:szCs w:val="20"/>
                <w:color w:val="auto"/>
              </w:rPr>
            </w:pPr>
            <w:r>
              <w:rPr>
                <w:rFonts w:ascii="Calibri" w:cs="Calibri" w:eastAsia="Calibri" w:hAnsi="Calibri"/>
                <w:sz w:val="16"/>
                <w:szCs w:val="16"/>
                <w:color w:val="auto"/>
              </w:rPr>
              <w:t>Michael J. Petro</w:t>
            </w:r>
          </w:p>
        </w:tc>
        <w:tc>
          <w:tcPr>
            <w:tcW w:w="68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w w:val="98"/>
              </w:rPr>
              <w:t>40</w:t>
            </w:r>
          </w:p>
        </w:tc>
        <w:tc>
          <w:tcPr>
            <w:tcW w:w="2580" w:type="dxa"/>
            <w:vAlign w:val="bottom"/>
            <w:tcBorders>
              <w:right w:val="single" w:sz="8" w:color="007CBA"/>
            </w:tcBorders>
            <w:shd w:val="clear" w:color="auto" w:fill="E5F1F8"/>
          </w:tcPr>
          <w:p>
            <w:pPr>
              <w:ind w:left="60"/>
              <w:spacing w:after="0" w:line="193" w:lineRule="exact"/>
              <w:rPr>
                <w:sz w:val="20"/>
                <w:szCs w:val="20"/>
                <w:color w:val="auto"/>
              </w:rPr>
            </w:pPr>
            <w:r>
              <w:rPr>
                <w:rFonts w:ascii="Calibri" w:cs="Calibri" w:eastAsia="Calibri" w:hAnsi="Calibri"/>
                <w:sz w:val="16"/>
                <w:szCs w:val="16"/>
                <w:color w:val="auto"/>
              </w:rPr>
              <w:t>Senior Vice President,</w:t>
            </w:r>
          </w:p>
        </w:tc>
        <w:tc>
          <w:tcPr>
            <w:tcW w:w="1460" w:type="dxa"/>
            <w:vAlign w:val="bottom"/>
            <w:tcBorders>
              <w:right w:val="single" w:sz="8" w:color="007CBA"/>
            </w:tcBorders>
            <w:shd w:val="clear" w:color="auto" w:fill="E5F1F8"/>
          </w:tcPr>
          <w:p>
            <w:pPr>
              <w:jc w:val="center"/>
              <w:spacing w:after="0" w:line="193" w:lineRule="exact"/>
              <w:rPr>
                <w:sz w:val="20"/>
                <w:szCs w:val="20"/>
                <w:color w:val="auto"/>
              </w:rPr>
            </w:pPr>
            <w:r>
              <w:rPr>
                <w:rFonts w:ascii="Calibri" w:cs="Calibri" w:eastAsia="Calibri" w:hAnsi="Calibri"/>
                <w:sz w:val="16"/>
                <w:szCs w:val="16"/>
                <w:color w:val="auto"/>
              </w:rPr>
              <w:t>2021</w:t>
            </w:r>
          </w:p>
        </w:tc>
        <w:tc>
          <w:tcPr>
            <w:tcW w:w="4700" w:type="dxa"/>
            <w:vAlign w:val="bottom"/>
            <w:shd w:val="clear" w:color="auto" w:fill="E5F1F8"/>
          </w:tcPr>
          <w:p>
            <w:pPr>
              <w:ind w:left="100"/>
              <w:spacing w:after="0" w:line="193" w:lineRule="exact"/>
              <w:rPr>
                <w:sz w:val="20"/>
                <w:szCs w:val="20"/>
                <w:color w:val="auto"/>
              </w:rPr>
            </w:pPr>
            <w:r>
              <w:rPr>
                <w:rFonts w:ascii="Calibri" w:cs="Calibri" w:eastAsia="Calibri" w:hAnsi="Calibri"/>
                <w:sz w:val="16"/>
                <w:szCs w:val="16"/>
                <w:color w:val="auto"/>
              </w:rPr>
              <w:t>Vice President, Strategy and Development (2018-2021)</w:t>
            </w:r>
          </w:p>
        </w:tc>
      </w:tr>
      <w:tr>
        <w:trPr>
          <w:trHeight w:val="198"/>
        </w:trPr>
        <w:tc>
          <w:tcPr>
            <w:tcW w:w="1820" w:type="dxa"/>
            <w:vAlign w:val="bottom"/>
            <w:tcBorders>
              <w:right w:val="single" w:sz="8" w:color="007CBA"/>
            </w:tcBorders>
            <w:shd w:val="clear" w:color="auto" w:fill="E5F1F8"/>
          </w:tcPr>
          <w:p>
            <w:pPr>
              <w:spacing w:after="0"/>
              <w:rPr>
                <w:sz w:val="17"/>
                <w:szCs w:val="17"/>
                <w:color w:val="auto"/>
              </w:rPr>
            </w:pPr>
          </w:p>
        </w:tc>
        <w:tc>
          <w:tcPr>
            <w:tcW w:w="680" w:type="dxa"/>
            <w:vAlign w:val="bottom"/>
            <w:tcBorders>
              <w:right w:val="single" w:sz="8" w:color="007CBA"/>
            </w:tcBorders>
            <w:shd w:val="clear" w:color="auto" w:fill="E5F1F8"/>
          </w:tcPr>
          <w:p>
            <w:pPr>
              <w:spacing w:after="0"/>
              <w:rPr>
                <w:sz w:val="17"/>
                <w:szCs w:val="17"/>
                <w:color w:val="auto"/>
              </w:rPr>
            </w:pPr>
          </w:p>
        </w:tc>
        <w:tc>
          <w:tcPr>
            <w:tcW w:w="2580" w:type="dxa"/>
            <w:vAlign w:val="bottom"/>
            <w:tcBorders>
              <w:right w:val="single" w:sz="8" w:color="007CBA"/>
            </w:tcBorders>
            <w:shd w:val="clear" w:color="auto" w:fill="E5F1F8"/>
          </w:tcPr>
          <w:p>
            <w:pPr>
              <w:ind w:left="60"/>
              <w:spacing w:after="0"/>
              <w:rPr>
                <w:sz w:val="20"/>
                <w:szCs w:val="20"/>
                <w:color w:val="auto"/>
              </w:rPr>
            </w:pPr>
            <w:r>
              <w:rPr>
                <w:rFonts w:ascii="Calibri" w:cs="Calibri" w:eastAsia="Calibri" w:hAnsi="Calibri"/>
                <w:sz w:val="16"/>
                <w:szCs w:val="16"/>
                <w:color w:val="auto"/>
              </w:rPr>
              <w:t>Strategy &amp; Development</w:t>
            </w:r>
          </w:p>
        </w:tc>
        <w:tc>
          <w:tcPr>
            <w:tcW w:w="1460" w:type="dxa"/>
            <w:vAlign w:val="bottom"/>
            <w:tcBorders>
              <w:right w:val="single" w:sz="8" w:color="007CBA"/>
            </w:tcBorders>
            <w:shd w:val="clear" w:color="auto" w:fill="E5F1F8"/>
          </w:tcPr>
          <w:p>
            <w:pPr>
              <w:spacing w:after="0"/>
              <w:rPr>
                <w:sz w:val="17"/>
                <w:szCs w:val="17"/>
                <w:color w:val="auto"/>
              </w:rPr>
            </w:pPr>
          </w:p>
        </w:tc>
        <w:tc>
          <w:tcPr>
            <w:tcW w:w="4700" w:type="dxa"/>
            <w:vAlign w:val="bottom"/>
            <w:shd w:val="clear" w:color="auto" w:fill="E5F1F8"/>
          </w:tcPr>
          <w:p>
            <w:pPr>
              <w:spacing w:after="0"/>
              <w:rPr>
                <w:sz w:val="17"/>
                <w:szCs w:val="17"/>
                <w:color w:val="auto"/>
              </w:rPr>
            </w:pPr>
          </w:p>
        </w:tc>
      </w:tr>
      <w:tr>
        <w:trPr>
          <w:trHeight w:val="41"/>
        </w:trPr>
        <w:tc>
          <w:tcPr>
            <w:tcW w:w="1820" w:type="dxa"/>
            <w:vAlign w:val="bottom"/>
            <w:tcBorders>
              <w:right w:val="single" w:sz="8" w:color="007CBA"/>
            </w:tcBorders>
            <w:shd w:val="clear" w:color="auto" w:fill="E5F1F8"/>
          </w:tcPr>
          <w:p>
            <w:pPr>
              <w:spacing w:after="0"/>
              <w:rPr>
                <w:sz w:val="3"/>
                <w:szCs w:val="3"/>
                <w:color w:val="auto"/>
              </w:rPr>
            </w:pPr>
          </w:p>
        </w:tc>
        <w:tc>
          <w:tcPr>
            <w:tcW w:w="680" w:type="dxa"/>
            <w:vAlign w:val="bottom"/>
            <w:tcBorders>
              <w:right w:val="single" w:sz="8" w:color="007CBA"/>
            </w:tcBorders>
            <w:shd w:val="clear" w:color="auto" w:fill="E5F1F8"/>
          </w:tcPr>
          <w:p>
            <w:pPr>
              <w:spacing w:after="0"/>
              <w:rPr>
                <w:sz w:val="3"/>
                <w:szCs w:val="3"/>
                <w:color w:val="auto"/>
              </w:rPr>
            </w:pPr>
          </w:p>
        </w:tc>
        <w:tc>
          <w:tcPr>
            <w:tcW w:w="2580" w:type="dxa"/>
            <w:vAlign w:val="bottom"/>
            <w:tcBorders>
              <w:right w:val="single" w:sz="8" w:color="007CBA"/>
            </w:tcBorders>
            <w:shd w:val="clear" w:color="auto" w:fill="E5F1F8"/>
          </w:tcPr>
          <w:p>
            <w:pPr>
              <w:spacing w:after="0"/>
              <w:rPr>
                <w:sz w:val="3"/>
                <w:szCs w:val="3"/>
                <w:color w:val="auto"/>
              </w:rPr>
            </w:pPr>
          </w:p>
        </w:tc>
        <w:tc>
          <w:tcPr>
            <w:tcW w:w="1460" w:type="dxa"/>
            <w:vAlign w:val="bottom"/>
            <w:tcBorders>
              <w:right w:val="single" w:sz="8" w:color="007CBA"/>
            </w:tcBorders>
            <w:shd w:val="clear" w:color="auto" w:fill="E5F1F8"/>
          </w:tcPr>
          <w:p>
            <w:pPr>
              <w:spacing w:after="0"/>
              <w:rPr>
                <w:sz w:val="3"/>
                <w:szCs w:val="3"/>
                <w:color w:val="auto"/>
              </w:rPr>
            </w:pPr>
          </w:p>
        </w:tc>
        <w:tc>
          <w:tcPr>
            <w:tcW w:w="4700" w:type="dxa"/>
            <w:vAlign w:val="bottom"/>
            <w:shd w:val="clear" w:color="auto" w:fill="E5F1F8"/>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214630</wp:posOffset>
            </wp:positionV>
            <wp:extent cx="325755" cy="196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5" w:name="page36"/>
    <w:bookmarkEnd w:id="35"/>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5 – Market for Registrant’s Common Equity, Related Stockholder Maters and Issuer Purchases of Equity Securites</w:t>
      </w:r>
    </w:p>
    <w:p>
      <w:pPr>
        <w:spacing w:after="0" w:line="155" w:lineRule="exact"/>
        <w:rPr>
          <w:sz w:val="20"/>
          <w:szCs w:val="20"/>
          <w:color w:val="auto"/>
        </w:rPr>
      </w:pPr>
    </w:p>
    <w:p>
      <w:pPr>
        <w:jc w:val="center"/>
        <w:ind w:right="80"/>
        <w:spacing w:after="0"/>
        <w:rPr>
          <w:sz w:val="20"/>
          <w:szCs w:val="20"/>
          <w:color w:val="auto"/>
        </w:rPr>
      </w:pPr>
      <w:r>
        <w:rPr>
          <w:rFonts w:ascii="Calibri" w:cs="Calibri" w:eastAsia="Calibri" w:hAnsi="Calibri"/>
          <w:sz w:val="36"/>
          <w:szCs w:val="36"/>
          <w:color w:val="auto"/>
        </w:rPr>
        <w:t>PART II</w:t>
      </w:r>
    </w:p>
    <w:p>
      <w:pPr>
        <w:spacing w:after="0" w:line="21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5 – 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Market Informaton and Holders</w:t>
      </w:r>
    </w:p>
    <w:p>
      <w:pPr>
        <w:spacing w:after="0" w:line="6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Company’s common stock, $0.01 par value, is traded on the New York Stock Exchange (NYSE) (Symbol: MLM). There were 705 holders of record of the Company’s common stock as of February 20, 2024.</w:t>
      </w:r>
    </w:p>
    <w:p>
      <w:pPr>
        <w:spacing w:after="0" w:line="10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Common Stock Performance Graph</w:t>
      </w:r>
    </w:p>
    <w:p>
      <w:pPr>
        <w:spacing w:after="0" w:line="6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following graph and accompanying table compare the fve-year cumulatve total return from December 31, 2018 to December 31, 2023 for (a) the Company’s common stock, (b) the Standard &amp; Poor’s 500 Index, and (c) the Standard &amp; Poor’s 500 Materials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15240</wp:posOffset>
            </wp:positionV>
            <wp:extent cx="6360795" cy="59232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60795" cy="5923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6" w:name="page37"/>
    <w:bookmarkEnd w:id="36"/>
    <w:p>
      <w:pPr>
        <w:ind w:left="21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5 – Market for Registrant’s Common Equity, Related Stockholder Maters and Issuer Purchases of Equity Securites</w:t>
      </w:r>
    </w:p>
    <w:p>
      <w:pPr>
        <w:spacing w:after="0" w:line="181"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Recent Sales of Unregistered Securites</w:t>
      </w:r>
    </w:p>
    <w:p>
      <w:pPr>
        <w:spacing w:after="0" w:line="59"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8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Issuer Purchases of Equity Securites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40" w:type="dxa"/>
            <w:vAlign w:val="bottom"/>
            <w:tcBorders>
              <w:right w:val="single" w:sz="8" w:color="007CBA"/>
            </w:tcBorders>
            <w:shd w:val="clear" w:color="auto" w:fill="007CBA"/>
          </w:tcPr>
          <w:p>
            <w:pPr>
              <w:spacing w:after="0"/>
              <w:rPr>
                <w:sz w:val="15"/>
                <w:szCs w:val="15"/>
                <w:color w:val="auto"/>
              </w:rPr>
            </w:pPr>
          </w:p>
        </w:tc>
        <w:tc>
          <w:tcPr>
            <w:tcW w:w="1360" w:type="dxa"/>
            <w:vAlign w:val="bottom"/>
            <w:shd w:val="clear" w:color="auto" w:fill="007CBA"/>
          </w:tcPr>
          <w:p>
            <w:pPr>
              <w:spacing w:after="0"/>
              <w:rPr>
                <w:sz w:val="15"/>
                <w:szCs w:val="15"/>
                <w:color w:val="auto"/>
              </w:rPr>
            </w:pPr>
          </w:p>
        </w:tc>
        <w:tc>
          <w:tcPr>
            <w:tcW w:w="440" w:type="dxa"/>
            <w:vAlign w:val="bottom"/>
            <w:tcBorders>
              <w:right w:val="single" w:sz="8" w:color="007CBA"/>
            </w:tcBorders>
            <w:shd w:val="clear" w:color="auto" w:fill="007CBA"/>
          </w:tcPr>
          <w:p>
            <w:pPr>
              <w:spacing w:after="0"/>
              <w:rPr>
                <w:sz w:val="15"/>
                <w:szCs w:val="15"/>
                <w:color w:val="auto"/>
              </w:rPr>
            </w:pPr>
          </w:p>
        </w:tc>
        <w:tc>
          <w:tcPr>
            <w:tcW w:w="1380" w:type="dxa"/>
            <w:vAlign w:val="bottom"/>
            <w:shd w:val="clear" w:color="auto" w:fill="007CBA"/>
          </w:tcPr>
          <w:p>
            <w:pPr>
              <w:spacing w:after="0"/>
              <w:rPr>
                <w:sz w:val="15"/>
                <w:szCs w:val="15"/>
                <w:color w:val="auto"/>
              </w:rPr>
            </w:pPr>
          </w:p>
        </w:tc>
        <w:tc>
          <w:tcPr>
            <w:tcW w:w="42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w w:val="94"/>
              </w:rPr>
              <w:t>Total</w:t>
            </w:r>
          </w:p>
        </w:tc>
        <w:tc>
          <w:tcPr>
            <w:tcW w:w="42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spacing w:after="0"/>
              <w:rPr>
                <w:sz w:val="15"/>
                <w:szCs w:val="15"/>
                <w:color w:val="auto"/>
              </w:rPr>
            </w:pPr>
          </w:p>
        </w:tc>
      </w:tr>
      <w:tr>
        <w:trPr>
          <w:trHeight w:val="170"/>
        </w:trPr>
        <w:tc>
          <w:tcPr>
            <w:tcW w:w="4140" w:type="dxa"/>
            <w:vAlign w:val="bottom"/>
            <w:tcBorders>
              <w:right w:val="single" w:sz="8" w:color="007CBA"/>
            </w:tcBorders>
            <w:shd w:val="clear" w:color="auto" w:fill="007CBA"/>
          </w:tcPr>
          <w:p>
            <w:pPr>
              <w:spacing w:after="0"/>
              <w:rPr>
                <w:sz w:val="14"/>
                <w:szCs w:val="14"/>
                <w:color w:val="auto"/>
              </w:rPr>
            </w:pPr>
          </w:p>
        </w:tc>
        <w:tc>
          <w:tcPr>
            <w:tcW w:w="1360" w:type="dxa"/>
            <w:vAlign w:val="bottom"/>
            <w:shd w:val="clear" w:color="auto" w:fill="007CBA"/>
          </w:tcPr>
          <w:p>
            <w:pPr>
              <w:spacing w:after="0"/>
              <w:rPr>
                <w:sz w:val="14"/>
                <w:szCs w:val="14"/>
                <w:color w:val="auto"/>
              </w:rPr>
            </w:pPr>
          </w:p>
        </w:tc>
        <w:tc>
          <w:tcPr>
            <w:tcW w:w="440" w:type="dxa"/>
            <w:vAlign w:val="bottom"/>
            <w:tcBorders>
              <w:right w:val="single" w:sz="8" w:color="007CBA"/>
            </w:tcBorders>
            <w:shd w:val="clear" w:color="auto" w:fill="007CBA"/>
          </w:tcPr>
          <w:p>
            <w:pPr>
              <w:spacing w:after="0"/>
              <w:rPr>
                <w:sz w:val="14"/>
                <w:szCs w:val="14"/>
                <w:color w:val="auto"/>
              </w:rPr>
            </w:pPr>
          </w:p>
        </w:tc>
        <w:tc>
          <w:tcPr>
            <w:tcW w:w="1380" w:type="dxa"/>
            <w:vAlign w:val="bottom"/>
            <w:shd w:val="clear" w:color="auto" w:fill="007CBA"/>
          </w:tcPr>
          <w:p>
            <w:pPr>
              <w:spacing w:after="0"/>
              <w:rPr>
                <w:sz w:val="14"/>
                <w:szCs w:val="14"/>
                <w:color w:val="auto"/>
              </w:rPr>
            </w:pPr>
          </w:p>
        </w:tc>
        <w:tc>
          <w:tcPr>
            <w:tcW w:w="420" w:type="dxa"/>
            <w:vAlign w:val="bottom"/>
            <w:tcBorders>
              <w:right w:val="single" w:sz="8" w:color="007CBA"/>
            </w:tcBorders>
            <w:shd w:val="clear" w:color="auto" w:fill="007CBA"/>
          </w:tcPr>
          <w:p>
            <w:pPr>
              <w:spacing w:after="0"/>
              <w:rPr>
                <w:sz w:val="14"/>
                <w:szCs w:val="14"/>
                <w:color w:val="auto"/>
              </w:rPr>
            </w:pPr>
          </w:p>
        </w:tc>
        <w:tc>
          <w:tcPr>
            <w:tcW w:w="134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rPr>
              <w:t>Number of</w:t>
            </w:r>
          </w:p>
        </w:tc>
        <w:tc>
          <w:tcPr>
            <w:tcW w:w="420" w:type="dxa"/>
            <w:vAlign w:val="bottom"/>
            <w:tcBorders>
              <w:right w:val="single" w:sz="8" w:color="007CBA"/>
            </w:tcBorders>
            <w:shd w:val="clear" w:color="auto" w:fill="007CBA"/>
          </w:tcPr>
          <w:p>
            <w:pPr>
              <w:spacing w:after="0"/>
              <w:rPr>
                <w:sz w:val="14"/>
                <w:szCs w:val="14"/>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Maximum</w:t>
            </w:r>
          </w:p>
        </w:tc>
      </w:tr>
      <w:tr>
        <w:trPr>
          <w:trHeight w:val="175"/>
        </w:trPr>
        <w:tc>
          <w:tcPr>
            <w:tcW w:w="4140" w:type="dxa"/>
            <w:vAlign w:val="bottom"/>
            <w:tcBorders>
              <w:right w:val="single" w:sz="8" w:color="007CBA"/>
            </w:tcBorders>
            <w:shd w:val="clear" w:color="auto" w:fill="007CBA"/>
          </w:tcPr>
          <w:p>
            <w:pPr>
              <w:spacing w:after="0"/>
              <w:rPr>
                <w:sz w:val="15"/>
                <w:szCs w:val="15"/>
                <w:color w:val="auto"/>
              </w:rPr>
            </w:pPr>
          </w:p>
        </w:tc>
        <w:tc>
          <w:tcPr>
            <w:tcW w:w="1360" w:type="dxa"/>
            <w:vAlign w:val="bottom"/>
            <w:shd w:val="clear" w:color="auto" w:fill="007CBA"/>
          </w:tcPr>
          <w:p>
            <w:pPr>
              <w:spacing w:after="0"/>
              <w:rPr>
                <w:sz w:val="15"/>
                <w:szCs w:val="15"/>
                <w:color w:val="auto"/>
              </w:rPr>
            </w:pPr>
          </w:p>
        </w:tc>
        <w:tc>
          <w:tcPr>
            <w:tcW w:w="440" w:type="dxa"/>
            <w:vAlign w:val="bottom"/>
            <w:tcBorders>
              <w:right w:val="single" w:sz="8" w:color="007CBA"/>
            </w:tcBorders>
            <w:shd w:val="clear" w:color="auto" w:fill="007CBA"/>
          </w:tcPr>
          <w:p>
            <w:pPr>
              <w:spacing w:after="0"/>
              <w:rPr>
                <w:sz w:val="15"/>
                <w:szCs w:val="15"/>
                <w:color w:val="auto"/>
              </w:rPr>
            </w:pPr>
          </w:p>
        </w:tc>
        <w:tc>
          <w:tcPr>
            <w:tcW w:w="1380" w:type="dxa"/>
            <w:vAlign w:val="bottom"/>
            <w:shd w:val="clear" w:color="auto" w:fill="007CBA"/>
          </w:tcPr>
          <w:p>
            <w:pPr>
              <w:spacing w:after="0"/>
              <w:rPr>
                <w:sz w:val="15"/>
                <w:szCs w:val="15"/>
                <w:color w:val="auto"/>
              </w:rPr>
            </w:pPr>
          </w:p>
        </w:tc>
        <w:tc>
          <w:tcPr>
            <w:tcW w:w="42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rPr>
              <w:t>Shares</w:t>
            </w:r>
          </w:p>
        </w:tc>
        <w:tc>
          <w:tcPr>
            <w:tcW w:w="42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Number of</w:t>
            </w:r>
          </w:p>
        </w:tc>
      </w:tr>
      <w:tr>
        <w:trPr>
          <w:trHeight w:val="176"/>
        </w:trPr>
        <w:tc>
          <w:tcPr>
            <w:tcW w:w="4140" w:type="dxa"/>
            <w:vAlign w:val="bottom"/>
            <w:tcBorders>
              <w:right w:val="single" w:sz="8" w:color="007CBA"/>
            </w:tcBorders>
            <w:shd w:val="clear" w:color="auto" w:fill="007CBA"/>
          </w:tcPr>
          <w:p>
            <w:pPr>
              <w:spacing w:after="0"/>
              <w:rPr>
                <w:sz w:val="15"/>
                <w:szCs w:val="15"/>
                <w:color w:val="auto"/>
              </w:rPr>
            </w:pPr>
          </w:p>
        </w:tc>
        <w:tc>
          <w:tcPr>
            <w:tcW w:w="1360" w:type="dxa"/>
            <w:vAlign w:val="bottom"/>
            <w:shd w:val="clear" w:color="auto" w:fill="007CBA"/>
          </w:tcPr>
          <w:p>
            <w:pPr>
              <w:spacing w:after="0"/>
              <w:rPr>
                <w:sz w:val="15"/>
                <w:szCs w:val="15"/>
                <w:color w:val="auto"/>
              </w:rPr>
            </w:pPr>
          </w:p>
        </w:tc>
        <w:tc>
          <w:tcPr>
            <w:tcW w:w="440" w:type="dxa"/>
            <w:vAlign w:val="bottom"/>
            <w:tcBorders>
              <w:right w:val="single" w:sz="8" w:color="007CBA"/>
            </w:tcBorders>
            <w:shd w:val="clear" w:color="auto" w:fill="007CBA"/>
          </w:tcPr>
          <w:p>
            <w:pPr>
              <w:spacing w:after="0"/>
              <w:rPr>
                <w:sz w:val="15"/>
                <w:szCs w:val="15"/>
                <w:color w:val="auto"/>
              </w:rPr>
            </w:pPr>
          </w:p>
        </w:tc>
        <w:tc>
          <w:tcPr>
            <w:tcW w:w="1380" w:type="dxa"/>
            <w:vAlign w:val="bottom"/>
            <w:shd w:val="clear" w:color="auto" w:fill="007CBA"/>
          </w:tcPr>
          <w:p>
            <w:pPr>
              <w:spacing w:after="0"/>
              <w:rPr>
                <w:sz w:val="15"/>
                <w:szCs w:val="15"/>
                <w:color w:val="auto"/>
              </w:rPr>
            </w:pPr>
          </w:p>
        </w:tc>
        <w:tc>
          <w:tcPr>
            <w:tcW w:w="42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68"/>
              <w:spacing w:after="0"/>
              <w:rPr>
                <w:sz w:val="20"/>
                <w:szCs w:val="20"/>
                <w:color w:val="auto"/>
              </w:rPr>
            </w:pPr>
            <w:r>
              <w:rPr>
                <w:rFonts w:ascii="Calibri" w:cs="Calibri" w:eastAsia="Calibri" w:hAnsi="Calibri"/>
                <w:sz w:val="14"/>
                <w:szCs w:val="14"/>
                <w:b w:val="1"/>
                <w:bCs w:val="1"/>
                <w:color w:val="FFFFFF"/>
              </w:rPr>
              <w:t>Purchased</w:t>
            </w:r>
          </w:p>
        </w:tc>
        <w:tc>
          <w:tcPr>
            <w:tcW w:w="42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Shares that</w:t>
            </w:r>
          </w:p>
        </w:tc>
      </w:tr>
      <w:tr>
        <w:trPr>
          <w:trHeight w:val="175"/>
        </w:trPr>
        <w:tc>
          <w:tcPr>
            <w:tcW w:w="4140" w:type="dxa"/>
            <w:vAlign w:val="bottom"/>
            <w:tcBorders>
              <w:right w:val="single" w:sz="8" w:color="007CBA"/>
            </w:tcBorders>
            <w:shd w:val="clear" w:color="auto" w:fill="007CBA"/>
          </w:tcPr>
          <w:p>
            <w:pPr>
              <w:spacing w:after="0"/>
              <w:rPr>
                <w:sz w:val="15"/>
                <w:szCs w:val="15"/>
                <w:color w:val="auto"/>
              </w:rPr>
            </w:pPr>
          </w:p>
        </w:tc>
        <w:tc>
          <w:tcPr>
            <w:tcW w:w="1360" w:type="dxa"/>
            <w:vAlign w:val="bottom"/>
            <w:shd w:val="clear" w:color="auto" w:fill="007CBA"/>
          </w:tcPr>
          <w:p>
            <w:pPr>
              <w:spacing w:after="0"/>
              <w:rPr>
                <w:sz w:val="15"/>
                <w:szCs w:val="15"/>
                <w:color w:val="auto"/>
              </w:rPr>
            </w:pPr>
          </w:p>
        </w:tc>
        <w:tc>
          <w:tcPr>
            <w:tcW w:w="440" w:type="dxa"/>
            <w:vAlign w:val="bottom"/>
            <w:tcBorders>
              <w:right w:val="single" w:sz="8" w:color="007CBA"/>
            </w:tcBorders>
            <w:shd w:val="clear" w:color="auto" w:fill="007CBA"/>
          </w:tcPr>
          <w:p>
            <w:pPr>
              <w:spacing w:after="0"/>
              <w:rPr>
                <w:sz w:val="15"/>
                <w:szCs w:val="15"/>
                <w:color w:val="auto"/>
              </w:rPr>
            </w:pPr>
          </w:p>
        </w:tc>
        <w:tc>
          <w:tcPr>
            <w:tcW w:w="1380" w:type="dxa"/>
            <w:vAlign w:val="bottom"/>
            <w:shd w:val="clear" w:color="auto" w:fill="007CBA"/>
          </w:tcPr>
          <w:p>
            <w:pPr>
              <w:spacing w:after="0"/>
              <w:rPr>
                <w:sz w:val="15"/>
                <w:szCs w:val="15"/>
                <w:color w:val="auto"/>
              </w:rPr>
            </w:pPr>
          </w:p>
        </w:tc>
        <w:tc>
          <w:tcPr>
            <w:tcW w:w="42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rPr>
              <w:t>as Part of</w:t>
            </w:r>
          </w:p>
        </w:tc>
        <w:tc>
          <w:tcPr>
            <w:tcW w:w="42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May Yet be</w:t>
            </w:r>
          </w:p>
        </w:tc>
      </w:tr>
      <w:tr>
        <w:trPr>
          <w:trHeight w:val="176"/>
        </w:trPr>
        <w:tc>
          <w:tcPr>
            <w:tcW w:w="4140" w:type="dxa"/>
            <w:vAlign w:val="bottom"/>
            <w:tcBorders>
              <w:right w:val="single" w:sz="8" w:color="007CBA"/>
            </w:tcBorders>
            <w:shd w:val="clear" w:color="auto" w:fill="007CBA"/>
          </w:tcPr>
          <w:p>
            <w:pPr>
              <w:spacing w:after="0"/>
              <w:rPr>
                <w:sz w:val="15"/>
                <w:szCs w:val="15"/>
                <w:color w:val="auto"/>
              </w:rPr>
            </w:pPr>
          </w:p>
        </w:tc>
        <w:tc>
          <w:tcPr>
            <w:tcW w:w="1360" w:type="dxa"/>
            <w:vAlign w:val="bottom"/>
            <w:shd w:val="clear" w:color="auto" w:fill="007CBA"/>
          </w:tcPr>
          <w:p>
            <w:pPr>
              <w:jc w:val="center"/>
              <w:ind w:left="368"/>
              <w:spacing w:after="0"/>
              <w:rPr>
                <w:sz w:val="20"/>
                <w:szCs w:val="20"/>
                <w:color w:val="auto"/>
              </w:rPr>
            </w:pPr>
            <w:r>
              <w:rPr>
                <w:rFonts w:ascii="Calibri" w:cs="Calibri" w:eastAsia="Calibri" w:hAnsi="Calibri"/>
                <w:sz w:val="14"/>
                <w:szCs w:val="14"/>
                <w:b w:val="1"/>
                <w:bCs w:val="1"/>
                <w:color w:val="FFFFFF"/>
                <w:w w:val="94"/>
              </w:rPr>
              <w:t>Total</w:t>
            </w:r>
          </w:p>
        </w:tc>
        <w:tc>
          <w:tcPr>
            <w:tcW w:w="440" w:type="dxa"/>
            <w:vAlign w:val="bottom"/>
            <w:tcBorders>
              <w:right w:val="single" w:sz="8" w:color="007CBA"/>
            </w:tcBorders>
            <w:shd w:val="clear" w:color="auto" w:fill="007CBA"/>
          </w:tcPr>
          <w:p>
            <w:pPr>
              <w:spacing w:after="0"/>
              <w:rPr>
                <w:sz w:val="15"/>
                <w:szCs w:val="15"/>
                <w:color w:val="auto"/>
              </w:rPr>
            </w:pPr>
          </w:p>
        </w:tc>
        <w:tc>
          <w:tcPr>
            <w:tcW w:w="1380" w:type="dxa"/>
            <w:vAlign w:val="bottom"/>
            <w:shd w:val="clear" w:color="auto" w:fill="007CBA"/>
          </w:tcPr>
          <w:p>
            <w:pPr>
              <w:spacing w:after="0"/>
              <w:rPr>
                <w:sz w:val="15"/>
                <w:szCs w:val="15"/>
                <w:color w:val="auto"/>
              </w:rPr>
            </w:pPr>
          </w:p>
        </w:tc>
        <w:tc>
          <w:tcPr>
            <w:tcW w:w="42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rPr>
              <w:t>Publicly</w:t>
            </w:r>
          </w:p>
        </w:tc>
        <w:tc>
          <w:tcPr>
            <w:tcW w:w="42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Purchased</w:t>
            </w:r>
          </w:p>
        </w:tc>
      </w:tr>
      <w:tr>
        <w:trPr>
          <w:trHeight w:val="176"/>
        </w:trPr>
        <w:tc>
          <w:tcPr>
            <w:tcW w:w="4140" w:type="dxa"/>
            <w:vAlign w:val="bottom"/>
            <w:tcBorders>
              <w:right w:val="single" w:sz="8" w:color="007CBA"/>
            </w:tcBorders>
            <w:shd w:val="clear" w:color="auto" w:fill="007CBA"/>
          </w:tcPr>
          <w:p>
            <w:pPr>
              <w:spacing w:after="0"/>
              <w:rPr>
                <w:sz w:val="15"/>
                <w:szCs w:val="15"/>
                <w:color w:val="auto"/>
              </w:rPr>
            </w:pPr>
          </w:p>
        </w:tc>
        <w:tc>
          <w:tcPr>
            <w:tcW w:w="1360" w:type="dxa"/>
            <w:vAlign w:val="bottom"/>
            <w:shd w:val="clear" w:color="auto" w:fill="007CBA"/>
          </w:tcPr>
          <w:p>
            <w:pPr>
              <w:jc w:val="center"/>
              <w:ind w:left="368"/>
              <w:spacing w:after="0"/>
              <w:rPr>
                <w:sz w:val="20"/>
                <w:szCs w:val="20"/>
                <w:color w:val="auto"/>
              </w:rPr>
            </w:pPr>
            <w:r>
              <w:rPr>
                <w:rFonts w:ascii="Calibri" w:cs="Calibri" w:eastAsia="Calibri" w:hAnsi="Calibri"/>
                <w:sz w:val="14"/>
                <w:szCs w:val="14"/>
                <w:b w:val="1"/>
                <w:bCs w:val="1"/>
                <w:color w:val="FFFFFF"/>
              </w:rPr>
              <w:t>Number of</w:t>
            </w:r>
          </w:p>
        </w:tc>
        <w:tc>
          <w:tcPr>
            <w:tcW w:w="440" w:type="dxa"/>
            <w:vAlign w:val="bottom"/>
            <w:tcBorders>
              <w:right w:val="single" w:sz="8" w:color="007CBA"/>
            </w:tcBorders>
            <w:shd w:val="clear" w:color="auto" w:fill="007CBA"/>
          </w:tcPr>
          <w:p>
            <w:pPr>
              <w:spacing w:after="0"/>
              <w:rPr>
                <w:sz w:val="15"/>
                <w:szCs w:val="15"/>
                <w:color w:val="auto"/>
              </w:rPr>
            </w:pPr>
          </w:p>
        </w:tc>
        <w:tc>
          <w:tcPr>
            <w:tcW w:w="1380" w:type="dxa"/>
            <w:vAlign w:val="bottom"/>
            <w:shd w:val="clear" w:color="auto" w:fill="007CBA"/>
          </w:tcPr>
          <w:p>
            <w:pPr>
              <w:jc w:val="center"/>
              <w:ind w:left="423"/>
              <w:spacing w:after="0"/>
              <w:rPr>
                <w:sz w:val="20"/>
                <w:szCs w:val="20"/>
                <w:color w:val="auto"/>
              </w:rPr>
            </w:pPr>
            <w:r>
              <w:rPr>
                <w:rFonts w:ascii="Calibri" w:cs="Calibri" w:eastAsia="Calibri" w:hAnsi="Calibri"/>
                <w:sz w:val="14"/>
                <w:szCs w:val="14"/>
                <w:b w:val="1"/>
                <w:bCs w:val="1"/>
                <w:color w:val="FFFFFF"/>
              </w:rPr>
              <w:t>Average</w:t>
            </w:r>
          </w:p>
        </w:tc>
        <w:tc>
          <w:tcPr>
            <w:tcW w:w="420" w:type="dxa"/>
            <w:vAlign w:val="bottom"/>
            <w:tcBorders>
              <w:right w:val="single" w:sz="8" w:color="007CBA"/>
            </w:tcBorders>
            <w:shd w:val="clear" w:color="auto" w:fill="007CBA"/>
          </w:tcPr>
          <w:p>
            <w:pPr>
              <w:spacing w:after="0"/>
              <w:rPr>
                <w:sz w:val="15"/>
                <w:szCs w:val="15"/>
                <w:color w:val="auto"/>
              </w:rPr>
            </w:pPr>
          </w:p>
        </w:tc>
        <w:tc>
          <w:tcPr>
            <w:tcW w:w="1340" w:type="dxa"/>
            <w:vAlign w:val="bottom"/>
            <w:shd w:val="clear" w:color="auto" w:fill="007CBA"/>
          </w:tcPr>
          <w:p>
            <w:pPr>
              <w:jc w:val="center"/>
              <w:ind w:left="348"/>
              <w:spacing w:after="0"/>
              <w:rPr>
                <w:sz w:val="20"/>
                <w:szCs w:val="20"/>
                <w:color w:val="auto"/>
              </w:rPr>
            </w:pPr>
            <w:r>
              <w:rPr>
                <w:rFonts w:ascii="Calibri" w:cs="Calibri" w:eastAsia="Calibri" w:hAnsi="Calibri"/>
                <w:sz w:val="14"/>
                <w:szCs w:val="14"/>
                <w:b w:val="1"/>
                <w:bCs w:val="1"/>
                <w:color w:val="FFFFFF"/>
              </w:rPr>
              <w:t>Announced</w:t>
            </w:r>
          </w:p>
        </w:tc>
        <w:tc>
          <w:tcPr>
            <w:tcW w:w="420" w:type="dxa"/>
            <w:vAlign w:val="bottom"/>
            <w:tcBorders>
              <w:right w:val="single" w:sz="8" w:color="007CBA"/>
            </w:tcBorders>
            <w:shd w:val="clear" w:color="auto" w:fill="007CBA"/>
          </w:tcPr>
          <w:p>
            <w:pPr>
              <w:spacing w:after="0"/>
              <w:rPr>
                <w:sz w:val="15"/>
                <w:szCs w:val="15"/>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Under the</w:t>
            </w:r>
          </w:p>
        </w:tc>
      </w:tr>
      <w:tr>
        <w:trPr>
          <w:trHeight w:val="159"/>
        </w:trPr>
        <w:tc>
          <w:tcPr>
            <w:tcW w:w="4140" w:type="dxa"/>
            <w:vAlign w:val="bottom"/>
            <w:tcBorders>
              <w:right w:val="single" w:sz="8" w:color="007CBA"/>
            </w:tcBorders>
            <w:shd w:val="clear" w:color="auto" w:fill="007CBA"/>
          </w:tcPr>
          <w:p>
            <w:pPr>
              <w:spacing w:after="0"/>
              <w:rPr>
                <w:sz w:val="13"/>
                <w:szCs w:val="13"/>
                <w:color w:val="auto"/>
              </w:rPr>
            </w:pPr>
          </w:p>
        </w:tc>
        <w:tc>
          <w:tcPr>
            <w:tcW w:w="1360" w:type="dxa"/>
            <w:vAlign w:val="bottom"/>
            <w:shd w:val="clear" w:color="auto" w:fill="007CBA"/>
          </w:tcPr>
          <w:p>
            <w:pPr>
              <w:jc w:val="center"/>
              <w:ind w:left="368"/>
              <w:spacing w:after="0" w:line="159" w:lineRule="exact"/>
              <w:rPr>
                <w:sz w:val="20"/>
                <w:szCs w:val="20"/>
                <w:color w:val="auto"/>
              </w:rPr>
            </w:pPr>
            <w:r>
              <w:rPr>
                <w:rFonts w:ascii="Calibri" w:cs="Calibri" w:eastAsia="Calibri" w:hAnsi="Calibri"/>
                <w:sz w:val="14"/>
                <w:szCs w:val="14"/>
                <w:b w:val="1"/>
                <w:bCs w:val="1"/>
                <w:color w:val="FFFFFF"/>
              </w:rPr>
              <w:t>Shares</w:t>
            </w:r>
          </w:p>
        </w:tc>
        <w:tc>
          <w:tcPr>
            <w:tcW w:w="440" w:type="dxa"/>
            <w:vAlign w:val="bottom"/>
            <w:tcBorders>
              <w:right w:val="single" w:sz="8" w:color="007CBA"/>
            </w:tcBorders>
            <w:shd w:val="clear" w:color="auto" w:fill="007CBA"/>
          </w:tcPr>
          <w:p>
            <w:pPr>
              <w:spacing w:after="0"/>
              <w:rPr>
                <w:sz w:val="13"/>
                <w:szCs w:val="13"/>
                <w:color w:val="auto"/>
              </w:rPr>
            </w:pPr>
          </w:p>
        </w:tc>
        <w:tc>
          <w:tcPr>
            <w:tcW w:w="1380" w:type="dxa"/>
            <w:vAlign w:val="bottom"/>
            <w:shd w:val="clear" w:color="auto" w:fill="007CBA"/>
          </w:tcPr>
          <w:p>
            <w:pPr>
              <w:jc w:val="center"/>
              <w:ind w:left="403"/>
              <w:spacing w:after="0" w:line="159" w:lineRule="exact"/>
              <w:rPr>
                <w:sz w:val="20"/>
                <w:szCs w:val="20"/>
                <w:color w:val="auto"/>
              </w:rPr>
            </w:pPr>
            <w:r>
              <w:rPr>
                <w:rFonts w:ascii="Calibri" w:cs="Calibri" w:eastAsia="Calibri" w:hAnsi="Calibri"/>
                <w:sz w:val="14"/>
                <w:szCs w:val="14"/>
                <w:b w:val="1"/>
                <w:bCs w:val="1"/>
                <w:color w:val="FFFFFF"/>
              </w:rPr>
              <w:t>Price Paid</w:t>
            </w:r>
          </w:p>
        </w:tc>
        <w:tc>
          <w:tcPr>
            <w:tcW w:w="420" w:type="dxa"/>
            <w:vAlign w:val="bottom"/>
            <w:tcBorders>
              <w:right w:val="single" w:sz="8" w:color="007CBA"/>
            </w:tcBorders>
            <w:shd w:val="clear" w:color="auto" w:fill="007CBA"/>
          </w:tcPr>
          <w:p>
            <w:pPr>
              <w:spacing w:after="0"/>
              <w:rPr>
                <w:sz w:val="13"/>
                <w:szCs w:val="13"/>
                <w:color w:val="auto"/>
              </w:rPr>
            </w:pPr>
          </w:p>
        </w:tc>
        <w:tc>
          <w:tcPr>
            <w:tcW w:w="1340" w:type="dxa"/>
            <w:vAlign w:val="bottom"/>
            <w:shd w:val="clear" w:color="auto" w:fill="007CBA"/>
          </w:tcPr>
          <w:p>
            <w:pPr>
              <w:jc w:val="center"/>
              <w:ind w:left="348"/>
              <w:spacing w:after="0" w:line="159" w:lineRule="exact"/>
              <w:rPr>
                <w:sz w:val="20"/>
                <w:szCs w:val="20"/>
                <w:color w:val="auto"/>
              </w:rPr>
            </w:pPr>
            <w:r>
              <w:rPr>
                <w:rFonts w:ascii="Calibri" w:cs="Calibri" w:eastAsia="Calibri" w:hAnsi="Calibri"/>
                <w:sz w:val="14"/>
                <w:szCs w:val="14"/>
                <w:b w:val="1"/>
                <w:bCs w:val="1"/>
                <w:color w:val="FFFFFF"/>
              </w:rPr>
              <w:t>Plans or</w:t>
            </w:r>
          </w:p>
        </w:tc>
        <w:tc>
          <w:tcPr>
            <w:tcW w:w="420" w:type="dxa"/>
            <w:vAlign w:val="bottom"/>
            <w:tcBorders>
              <w:right w:val="single" w:sz="8" w:color="007CBA"/>
            </w:tcBorders>
            <w:shd w:val="clear" w:color="auto" w:fill="007CBA"/>
          </w:tcPr>
          <w:p>
            <w:pPr>
              <w:spacing w:after="0"/>
              <w:rPr>
                <w:sz w:val="13"/>
                <w:szCs w:val="13"/>
                <w:color w:val="auto"/>
              </w:rPr>
            </w:pPr>
          </w:p>
        </w:tc>
        <w:tc>
          <w:tcPr>
            <w:tcW w:w="1740" w:type="dxa"/>
            <w:vAlign w:val="bottom"/>
            <w:shd w:val="clear" w:color="auto" w:fill="007CBA"/>
          </w:tcPr>
          <w:p>
            <w:pPr>
              <w:jc w:val="center"/>
              <w:spacing w:after="0" w:line="159" w:lineRule="exact"/>
              <w:rPr>
                <w:sz w:val="20"/>
                <w:szCs w:val="20"/>
                <w:color w:val="auto"/>
              </w:rPr>
            </w:pPr>
            <w:r>
              <w:rPr>
                <w:rFonts w:ascii="Calibri" w:cs="Calibri" w:eastAsia="Calibri" w:hAnsi="Calibri"/>
                <w:sz w:val="14"/>
                <w:szCs w:val="14"/>
                <w:b w:val="1"/>
                <w:bCs w:val="1"/>
                <w:color w:val="FFFFFF"/>
              </w:rPr>
              <w:t>Plans or</w:t>
            </w:r>
          </w:p>
        </w:tc>
      </w:tr>
      <w:tr>
        <w:trPr>
          <w:trHeight w:val="225"/>
        </w:trPr>
        <w:tc>
          <w:tcPr>
            <w:tcW w:w="4140" w:type="dxa"/>
            <w:vAlign w:val="bottom"/>
            <w:tcBorders>
              <w:right w:val="single" w:sz="8" w:color="007CBA"/>
            </w:tcBorders>
            <w:shd w:val="clear" w:color="auto" w:fill="007CBA"/>
          </w:tcPr>
          <w:p>
            <w:pPr>
              <w:ind w:left="100"/>
              <w:spacing w:after="0"/>
              <w:rPr>
                <w:sz w:val="20"/>
                <w:szCs w:val="20"/>
                <w:color w:val="auto"/>
              </w:rPr>
            </w:pPr>
            <w:r>
              <w:rPr>
                <w:rFonts w:ascii="Calibri" w:cs="Calibri" w:eastAsia="Calibri" w:hAnsi="Calibri"/>
                <w:sz w:val="14"/>
                <w:szCs w:val="14"/>
                <w:b w:val="1"/>
                <w:bCs w:val="1"/>
                <w:color w:val="FFFFFF"/>
              </w:rPr>
              <w:t>Period</w:t>
            </w:r>
          </w:p>
        </w:tc>
        <w:tc>
          <w:tcPr>
            <w:tcW w:w="1360" w:type="dxa"/>
            <w:vAlign w:val="bottom"/>
            <w:shd w:val="clear" w:color="auto" w:fill="007CBA"/>
          </w:tcPr>
          <w:p>
            <w:pPr>
              <w:jc w:val="center"/>
              <w:ind w:left="388"/>
              <w:spacing w:after="0"/>
              <w:rPr>
                <w:sz w:val="20"/>
                <w:szCs w:val="20"/>
                <w:color w:val="auto"/>
              </w:rPr>
            </w:pPr>
            <w:r>
              <w:rPr>
                <w:rFonts w:ascii="Calibri" w:cs="Calibri" w:eastAsia="Calibri" w:hAnsi="Calibri"/>
                <w:sz w:val="14"/>
                <w:szCs w:val="14"/>
                <w:b w:val="1"/>
                <w:bCs w:val="1"/>
                <w:color w:val="FFFFFF"/>
              </w:rPr>
              <w:t>Purchased</w:t>
            </w:r>
          </w:p>
        </w:tc>
        <w:tc>
          <w:tcPr>
            <w:tcW w:w="440" w:type="dxa"/>
            <w:vAlign w:val="bottom"/>
            <w:tcBorders>
              <w:right w:val="single" w:sz="8" w:color="007CBA"/>
            </w:tcBorders>
            <w:shd w:val="clear" w:color="auto" w:fill="007CBA"/>
          </w:tcPr>
          <w:p>
            <w:pPr>
              <w:spacing w:after="0"/>
              <w:rPr>
                <w:sz w:val="19"/>
                <w:szCs w:val="19"/>
                <w:color w:val="auto"/>
              </w:rPr>
            </w:pPr>
          </w:p>
        </w:tc>
        <w:tc>
          <w:tcPr>
            <w:tcW w:w="1380" w:type="dxa"/>
            <w:vAlign w:val="bottom"/>
            <w:shd w:val="clear" w:color="auto" w:fill="007CBA"/>
          </w:tcPr>
          <w:p>
            <w:pPr>
              <w:jc w:val="center"/>
              <w:ind w:left="403"/>
              <w:spacing w:after="0"/>
              <w:rPr>
                <w:sz w:val="20"/>
                <w:szCs w:val="20"/>
                <w:color w:val="auto"/>
              </w:rPr>
            </w:pPr>
            <w:r>
              <w:rPr>
                <w:rFonts w:ascii="Calibri" w:cs="Calibri" w:eastAsia="Calibri" w:hAnsi="Calibri"/>
                <w:sz w:val="14"/>
                <w:szCs w:val="14"/>
                <w:b w:val="1"/>
                <w:bCs w:val="1"/>
                <w:color w:val="FFFFFF"/>
              </w:rPr>
              <w:t>per Share</w:t>
            </w:r>
          </w:p>
        </w:tc>
        <w:tc>
          <w:tcPr>
            <w:tcW w:w="420" w:type="dxa"/>
            <w:vAlign w:val="bottom"/>
            <w:tcBorders>
              <w:right w:val="single" w:sz="8" w:color="007CBA"/>
            </w:tcBorders>
            <w:shd w:val="clear" w:color="auto" w:fill="007CBA"/>
          </w:tcPr>
          <w:p>
            <w:pPr>
              <w:spacing w:after="0"/>
              <w:rPr>
                <w:sz w:val="19"/>
                <w:szCs w:val="19"/>
                <w:color w:val="auto"/>
              </w:rPr>
            </w:pPr>
          </w:p>
        </w:tc>
        <w:tc>
          <w:tcPr>
            <w:tcW w:w="1340" w:type="dxa"/>
            <w:vAlign w:val="bottom"/>
            <w:shd w:val="clear" w:color="auto" w:fill="007CBA"/>
          </w:tcPr>
          <w:p>
            <w:pPr>
              <w:jc w:val="center"/>
              <w:ind w:left="348"/>
              <w:spacing w:after="0" w:line="223" w:lineRule="exact"/>
              <w:rPr>
                <w:sz w:val="20"/>
                <w:szCs w:val="20"/>
                <w:color w:val="auto"/>
              </w:rPr>
            </w:pPr>
            <w:r>
              <w:rPr>
                <w:rFonts w:ascii="Calibri" w:cs="Calibri" w:eastAsia="Calibri" w:hAnsi="Calibri"/>
                <w:sz w:val="14"/>
                <w:szCs w:val="14"/>
                <w:b w:val="1"/>
                <w:bCs w:val="1"/>
                <w:color w:val="FFFFFF"/>
                <w:w w:val="97"/>
              </w:rPr>
              <w:t>Programs</w:t>
            </w:r>
            <w:r>
              <w:rPr>
                <w:rFonts w:ascii="Calibri" w:cs="Calibri" w:eastAsia="Calibri" w:hAnsi="Calibri"/>
                <w:sz w:val="19"/>
                <w:szCs w:val="19"/>
                <w:b w:val="1"/>
                <w:bCs w:val="1"/>
                <w:color w:val="FFFFFF"/>
                <w:w w:val="97"/>
                <w:vertAlign w:val="superscript"/>
              </w:rPr>
              <w:t>(1)</w:t>
            </w:r>
          </w:p>
        </w:tc>
        <w:tc>
          <w:tcPr>
            <w:tcW w:w="420" w:type="dxa"/>
            <w:vAlign w:val="bottom"/>
            <w:tcBorders>
              <w:right w:val="single" w:sz="8" w:color="007CBA"/>
            </w:tcBorders>
            <w:shd w:val="clear" w:color="auto" w:fill="007CBA"/>
          </w:tcPr>
          <w:p>
            <w:pPr>
              <w:spacing w:after="0"/>
              <w:rPr>
                <w:sz w:val="19"/>
                <w:szCs w:val="19"/>
                <w:color w:val="auto"/>
              </w:rPr>
            </w:pPr>
          </w:p>
        </w:tc>
        <w:tc>
          <w:tcPr>
            <w:tcW w:w="1740" w:type="dxa"/>
            <w:vAlign w:val="bottom"/>
            <w:shd w:val="clear" w:color="auto" w:fill="007CBA"/>
          </w:tcPr>
          <w:p>
            <w:pPr>
              <w:jc w:val="center"/>
              <w:spacing w:after="0"/>
              <w:rPr>
                <w:sz w:val="20"/>
                <w:szCs w:val="20"/>
                <w:color w:val="auto"/>
              </w:rPr>
            </w:pPr>
            <w:r>
              <w:rPr>
                <w:rFonts w:ascii="Calibri" w:cs="Calibri" w:eastAsia="Calibri" w:hAnsi="Calibri"/>
                <w:sz w:val="14"/>
                <w:szCs w:val="14"/>
                <w:b w:val="1"/>
                <w:bCs w:val="1"/>
                <w:color w:val="FFFFFF"/>
              </w:rPr>
              <w:t>Programs</w:t>
            </w:r>
          </w:p>
        </w:tc>
      </w:tr>
      <w:tr>
        <w:trPr>
          <w:trHeight w:val="193"/>
        </w:trPr>
        <w:tc>
          <w:tcPr>
            <w:tcW w:w="414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October 1, 2023 — October 31, 2023</w:t>
            </w:r>
          </w:p>
        </w:tc>
        <w:tc>
          <w:tcPr>
            <w:tcW w:w="1360" w:type="dxa"/>
            <w:vAlign w:val="bottom"/>
          </w:tcPr>
          <w:p>
            <w:pPr>
              <w:spacing w:after="0"/>
              <w:rPr>
                <w:sz w:val="16"/>
                <w:szCs w:val="16"/>
                <w:color w:val="auto"/>
              </w:rPr>
            </w:pPr>
          </w:p>
        </w:tc>
        <w:tc>
          <w:tcPr>
            <w:tcW w:w="440" w:type="dxa"/>
            <w:vAlign w:val="bottom"/>
            <w:tcBorders>
              <w:right w:val="single" w:sz="8" w:color="007CBA"/>
            </w:tcBorders>
          </w:tcPr>
          <w:p>
            <w:pPr>
              <w:ind w:left="160"/>
              <w:spacing w:after="0" w:line="193" w:lineRule="exact"/>
              <w:rPr>
                <w:sz w:val="20"/>
                <w:szCs w:val="20"/>
                <w:color w:val="auto"/>
              </w:rPr>
            </w:pPr>
            <w:r>
              <w:rPr>
                <w:rFonts w:ascii="Calibri" w:cs="Calibri" w:eastAsia="Calibri" w:hAnsi="Calibri"/>
                <w:sz w:val="16"/>
                <w:szCs w:val="16"/>
                <w:color w:val="auto"/>
              </w:rPr>
              <w:t>—</w:t>
            </w:r>
          </w:p>
        </w:tc>
        <w:tc>
          <w:tcPr>
            <w:tcW w:w="1380" w:type="dxa"/>
            <w:vAlign w:val="bottom"/>
          </w:tcPr>
          <w:p>
            <w:pPr>
              <w:jc w:val="right"/>
              <w:ind w:right="1023"/>
              <w:spacing w:after="0" w:line="193" w:lineRule="exact"/>
              <w:rPr>
                <w:sz w:val="20"/>
                <w:szCs w:val="20"/>
                <w:color w:val="auto"/>
              </w:rPr>
            </w:pPr>
            <w:r>
              <w:rPr>
                <w:rFonts w:ascii="Calibri" w:cs="Calibri" w:eastAsia="Calibri" w:hAnsi="Calibri"/>
                <w:sz w:val="16"/>
                <w:szCs w:val="16"/>
                <w:color w:val="auto"/>
              </w:rPr>
              <w:t>$</w:t>
            </w:r>
          </w:p>
        </w:tc>
        <w:tc>
          <w:tcPr>
            <w:tcW w:w="420" w:type="dxa"/>
            <w:vAlign w:val="bottom"/>
            <w:tcBorders>
              <w:right w:val="single" w:sz="8" w:color="007CBA"/>
            </w:tcBorders>
          </w:tcPr>
          <w:p>
            <w:pPr>
              <w:ind w:left="140"/>
              <w:spacing w:after="0" w:line="193" w:lineRule="exact"/>
              <w:rPr>
                <w:sz w:val="20"/>
                <w:szCs w:val="20"/>
                <w:color w:val="auto"/>
              </w:rPr>
            </w:pPr>
            <w:r>
              <w:rPr>
                <w:rFonts w:ascii="Calibri" w:cs="Calibri" w:eastAsia="Calibri" w:hAnsi="Calibri"/>
                <w:sz w:val="16"/>
                <w:szCs w:val="16"/>
                <w:color w:val="auto"/>
              </w:rPr>
              <w:t>—</w:t>
            </w:r>
          </w:p>
        </w:tc>
        <w:tc>
          <w:tcPr>
            <w:tcW w:w="1340" w:type="dxa"/>
            <w:vAlign w:val="bottom"/>
          </w:tcPr>
          <w:p>
            <w:pPr>
              <w:spacing w:after="0"/>
              <w:rPr>
                <w:sz w:val="16"/>
                <w:szCs w:val="16"/>
                <w:color w:val="auto"/>
              </w:rPr>
            </w:pPr>
          </w:p>
        </w:tc>
        <w:tc>
          <w:tcPr>
            <w:tcW w:w="420" w:type="dxa"/>
            <w:vAlign w:val="bottom"/>
            <w:tcBorders>
              <w:right w:val="single" w:sz="8" w:color="007CBA"/>
            </w:tcBorders>
          </w:tcPr>
          <w:p>
            <w:pPr>
              <w:ind w:left="140"/>
              <w:spacing w:after="0" w:line="193" w:lineRule="exact"/>
              <w:rPr>
                <w:sz w:val="20"/>
                <w:szCs w:val="20"/>
                <w:color w:val="auto"/>
              </w:rPr>
            </w:pPr>
            <w:r>
              <w:rPr>
                <w:rFonts w:ascii="Calibri" w:cs="Calibri" w:eastAsia="Calibri" w:hAnsi="Calibri"/>
                <w:sz w:val="16"/>
                <w:szCs w:val="16"/>
                <w:color w:val="auto"/>
              </w:rPr>
              <w:t>—</w:t>
            </w:r>
          </w:p>
        </w:tc>
        <w:tc>
          <w:tcPr>
            <w:tcW w:w="1740" w:type="dxa"/>
            <w:vAlign w:val="bottom"/>
          </w:tcPr>
          <w:p>
            <w:pPr>
              <w:jc w:val="right"/>
              <w:ind w:right="45"/>
              <w:spacing w:after="0" w:line="193" w:lineRule="exact"/>
              <w:rPr>
                <w:sz w:val="20"/>
                <w:szCs w:val="20"/>
                <w:color w:val="auto"/>
              </w:rPr>
            </w:pPr>
            <w:r>
              <w:rPr>
                <w:rFonts w:ascii="Calibri" w:cs="Calibri" w:eastAsia="Calibri" w:hAnsi="Calibri"/>
                <w:sz w:val="16"/>
                <w:szCs w:val="16"/>
                <w:color w:val="auto"/>
              </w:rPr>
              <w:t>12,721,096</w:t>
            </w:r>
          </w:p>
        </w:tc>
      </w:tr>
      <w:tr>
        <w:trPr>
          <w:trHeight w:val="36"/>
        </w:trPr>
        <w:tc>
          <w:tcPr>
            <w:tcW w:w="4140" w:type="dxa"/>
            <w:vAlign w:val="bottom"/>
            <w:tcBorders>
              <w:right w:val="single" w:sz="8" w:color="007CBA"/>
            </w:tcBorders>
          </w:tcPr>
          <w:p>
            <w:pPr>
              <w:spacing w:after="0"/>
              <w:rPr>
                <w:sz w:val="3"/>
                <w:szCs w:val="3"/>
                <w:color w:val="auto"/>
              </w:rPr>
            </w:pPr>
          </w:p>
        </w:tc>
        <w:tc>
          <w:tcPr>
            <w:tcW w:w="1360" w:type="dxa"/>
            <w:vAlign w:val="bottom"/>
          </w:tcPr>
          <w:p>
            <w:pPr>
              <w:spacing w:after="0"/>
              <w:rPr>
                <w:sz w:val="3"/>
                <w:szCs w:val="3"/>
                <w:color w:val="auto"/>
              </w:rPr>
            </w:pPr>
          </w:p>
        </w:tc>
        <w:tc>
          <w:tcPr>
            <w:tcW w:w="440" w:type="dxa"/>
            <w:vAlign w:val="bottom"/>
            <w:tcBorders>
              <w:right w:val="single" w:sz="8" w:color="007CBA"/>
            </w:tcBorders>
          </w:tcPr>
          <w:p>
            <w:pPr>
              <w:spacing w:after="0"/>
              <w:rPr>
                <w:sz w:val="3"/>
                <w:szCs w:val="3"/>
                <w:color w:val="auto"/>
              </w:rPr>
            </w:pPr>
          </w:p>
        </w:tc>
        <w:tc>
          <w:tcPr>
            <w:tcW w:w="1380" w:type="dxa"/>
            <w:vAlign w:val="bottom"/>
          </w:tcPr>
          <w:p>
            <w:pPr>
              <w:spacing w:after="0"/>
              <w:rPr>
                <w:sz w:val="3"/>
                <w:szCs w:val="3"/>
                <w:color w:val="auto"/>
              </w:rPr>
            </w:pPr>
          </w:p>
        </w:tc>
        <w:tc>
          <w:tcPr>
            <w:tcW w:w="420" w:type="dxa"/>
            <w:vAlign w:val="bottom"/>
            <w:tcBorders>
              <w:right w:val="single" w:sz="8" w:color="007CBA"/>
            </w:tcBorders>
          </w:tcPr>
          <w:p>
            <w:pPr>
              <w:spacing w:after="0"/>
              <w:rPr>
                <w:sz w:val="3"/>
                <w:szCs w:val="3"/>
                <w:color w:val="auto"/>
              </w:rPr>
            </w:pPr>
          </w:p>
        </w:tc>
        <w:tc>
          <w:tcPr>
            <w:tcW w:w="1340" w:type="dxa"/>
            <w:vAlign w:val="bottom"/>
          </w:tcPr>
          <w:p>
            <w:pPr>
              <w:spacing w:after="0"/>
              <w:rPr>
                <w:sz w:val="3"/>
                <w:szCs w:val="3"/>
                <w:color w:val="auto"/>
              </w:rPr>
            </w:pPr>
          </w:p>
        </w:tc>
        <w:tc>
          <w:tcPr>
            <w:tcW w:w="420" w:type="dxa"/>
            <w:vAlign w:val="bottom"/>
            <w:tcBorders>
              <w:right w:val="single" w:sz="8" w:color="007CBA"/>
            </w:tcBorders>
          </w:tcPr>
          <w:p>
            <w:pPr>
              <w:spacing w:after="0"/>
              <w:rPr>
                <w:sz w:val="3"/>
                <w:szCs w:val="3"/>
                <w:color w:val="auto"/>
              </w:rPr>
            </w:pPr>
          </w:p>
        </w:tc>
        <w:tc>
          <w:tcPr>
            <w:tcW w:w="1740" w:type="dxa"/>
            <w:vAlign w:val="bottom"/>
          </w:tcPr>
          <w:p>
            <w:pPr>
              <w:spacing w:after="0"/>
              <w:rPr>
                <w:sz w:val="3"/>
                <w:szCs w:val="3"/>
                <w:color w:val="auto"/>
              </w:rPr>
            </w:pPr>
          </w:p>
        </w:tc>
      </w:tr>
      <w:tr>
        <w:trPr>
          <w:trHeight w:val="209"/>
        </w:trPr>
        <w:tc>
          <w:tcPr>
            <w:tcW w:w="414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November 1, 2023 — November 30, 2023</w:t>
            </w:r>
          </w:p>
        </w:tc>
        <w:tc>
          <w:tcPr>
            <w:tcW w:w="1360" w:type="dxa"/>
            <w:vAlign w:val="bottom"/>
            <w:tcBorders>
              <w:bottom w:val="single" w:sz="8" w:color="E5F1F8"/>
            </w:tcBorders>
            <w:shd w:val="clear" w:color="auto" w:fill="E5F1F8"/>
          </w:tcPr>
          <w:p>
            <w:pPr>
              <w:spacing w:after="0"/>
              <w:rPr>
                <w:sz w:val="18"/>
                <w:szCs w:val="18"/>
                <w:color w:val="auto"/>
              </w:rPr>
            </w:pPr>
          </w:p>
        </w:tc>
        <w:tc>
          <w:tcPr>
            <w:tcW w:w="440" w:type="dxa"/>
            <w:vAlign w:val="bottom"/>
            <w:tcBorders>
              <w:bottom w:val="single" w:sz="8" w:color="E5F1F8"/>
              <w:right w:val="single" w:sz="8" w:color="007CBA"/>
            </w:tcBorders>
            <w:shd w:val="clear" w:color="auto" w:fill="E5F1F8"/>
          </w:tcPr>
          <w:p>
            <w:pPr>
              <w:ind w:left="160"/>
              <w:spacing w:after="0" w:line="193" w:lineRule="exact"/>
              <w:rPr>
                <w:sz w:val="20"/>
                <w:szCs w:val="20"/>
                <w:color w:val="auto"/>
              </w:rPr>
            </w:pPr>
            <w:r>
              <w:rPr>
                <w:rFonts w:ascii="Calibri" w:cs="Calibri" w:eastAsia="Calibri" w:hAnsi="Calibri"/>
                <w:sz w:val="16"/>
                <w:szCs w:val="16"/>
                <w:color w:val="auto"/>
              </w:rPr>
              <w:t>—</w:t>
            </w:r>
          </w:p>
        </w:tc>
        <w:tc>
          <w:tcPr>
            <w:tcW w:w="1380" w:type="dxa"/>
            <w:vAlign w:val="bottom"/>
            <w:tcBorders>
              <w:bottom w:val="single" w:sz="8" w:color="E5F1F8"/>
            </w:tcBorders>
            <w:shd w:val="clear" w:color="auto" w:fill="E5F1F8"/>
          </w:tcPr>
          <w:p>
            <w:pPr>
              <w:jc w:val="right"/>
              <w:ind w:right="1023"/>
              <w:spacing w:after="0" w:line="193" w:lineRule="exact"/>
              <w:rPr>
                <w:sz w:val="20"/>
                <w:szCs w:val="20"/>
                <w:color w:val="auto"/>
              </w:rPr>
            </w:pPr>
            <w:r>
              <w:rPr>
                <w:rFonts w:ascii="Calibri" w:cs="Calibri" w:eastAsia="Calibri" w:hAnsi="Calibri"/>
                <w:sz w:val="16"/>
                <w:szCs w:val="16"/>
                <w:color w:val="auto"/>
              </w:rPr>
              <w:t>$</w:t>
            </w:r>
          </w:p>
        </w:tc>
        <w:tc>
          <w:tcPr>
            <w:tcW w:w="420" w:type="dxa"/>
            <w:vAlign w:val="bottom"/>
            <w:tcBorders>
              <w:bottom w:val="single" w:sz="8" w:color="E5F1F8"/>
              <w:right w:val="single" w:sz="8" w:color="007CBA"/>
            </w:tcBorders>
            <w:shd w:val="clear" w:color="auto" w:fill="E5F1F8"/>
          </w:tcPr>
          <w:p>
            <w:pPr>
              <w:ind w:left="140"/>
              <w:spacing w:after="0" w:line="193" w:lineRule="exact"/>
              <w:rPr>
                <w:sz w:val="20"/>
                <w:szCs w:val="20"/>
                <w:color w:val="auto"/>
              </w:rPr>
            </w:pPr>
            <w:r>
              <w:rPr>
                <w:rFonts w:ascii="Calibri" w:cs="Calibri" w:eastAsia="Calibri" w:hAnsi="Calibri"/>
                <w:sz w:val="16"/>
                <w:szCs w:val="16"/>
                <w:color w:val="auto"/>
              </w:rPr>
              <w:t>—</w:t>
            </w:r>
          </w:p>
        </w:tc>
        <w:tc>
          <w:tcPr>
            <w:tcW w:w="1340" w:type="dxa"/>
            <w:vAlign w:val="bottom"/>
            <w:tcBorders>
              <w:bottom w:val="single" w:sz="8" w:color="E5F1F8"/>
            </w:tcBorders>
            <w:shd w:val="clear" w:color="auto" w:fill="E5F1F8"/>
          </w:tcPr>
          <w:p>
            <w:pPr>
              <w:spacing w:after="0"/>
              <w:rPr>
                <w:sz w:val="18"/>
                <w:szCs w:val="18"/>
                <w:color w:val="auto"/>
              </w:rPr>
            </w:pPr>
          </w:p>
        </w:tc>
        <w:tc>
          <w:tcPr>
            <w:tcW w:w="420" w:type="dxa"/>
            <w:vAlign w:val="bottom"/>
            <w:tcBorders>
              <w:bottom w:val="single" w:sz="8" w:color="E5F1F8"/>
              <w:right w:val="single" w:sz="8" w:color="007CBA"/>
            </w:tcBorders>
            <w:shd w:val="clear" w:color="auto" w:fill="E5F1F8"/>
          </w:tcPr>
          <w:p>
            <w:pPr>
              <w:ind w:left="140"/>
              <w:spacing w:after="0" w:line="193" w:lineRule="exact"/>
              <w:rPr>
                <w:sz w:val="20"/>
                <w:szCs w:val="20"/>
                <w:color w:val="auto"/>
              </w:rPr>
            </w:pPr>
            <w:r>
              <w:rPr>
                <w:rFonts w:ascii="Calibri" w:cs="Calibri" w:eastAsia="Calibri" w:hAnsi="Calibri"/>
                <w:sz w:val="16"/>
                <w:szCs w:val="16"/>
                <w:color w:val="auto"/>
              </w:rPr>
              <w:t>—</w:t>
            </w:r>
          </w:p>
        </w:tc>
        <w:tc>
          <w:tcPr>
            <w:tcW w:w="1740" w:type="dxa"/>
            <w:vAlign w:val="bottom"/>
            <w:tcBorders>
              <w:bottom w:val="single" w:sz="8" w:color="E5F1F8"/>
            </w:tcBorders>
            <w:shd w:val="clear" w:color="auto" w:fill="E5F1F8"/>
          </w:tcPr>
          <w:p>
            <w:pPr>
              <w:jc w:val="right"/>
              <w:ind w:right="45"/>
              <w:spacing w:after="0" w:line="193" w:lineRule="exact"/>
              <w:rPr>
                <w:sz w:val="20"/>
                <w:szCs w:val="20"/>
                <w:color w:val="auto"/>
              </w:rPr>
            </w:pPr>
            <w:r>
              <w:rPr>
                <w:rFonts w:ascii="Calibri" w:cs="Calibri" w:eastAsia="Calibri" w:hAnsi="Calibri"/>
                <w:sz w:val="16"/>
                <w:szCs w:val="16"/>
                <w:color w:val="auto"/>
              </w:rPr>
              <w:t>12,721,096</w:t>
            </w:r>
          </w:p>
        </w:tc>
      </w:tr>
      <w:tr>
        <w:trPr>
          <w:trHeight w:val="193"/>
        </w:trPr>
        <w:tc>
          <w:tcPr>
            <w:tcW w:w="4140" w:type="dxa"/>
            <w:vAlign w:val="bottom"/>
          </w:tcPr>
          <w:p>
            <w:pPr>
              <w:ind w:left="120"/>
              <w:spacing w:after="0" w:line="193" w:lineRule="exact"/>
              <w:rPr>
                <w:sz w:val="20"/>
                <w:szCs w:val="20"/>
                <w:color w:val="auto"/>
              </w:rPr>
            </w:pPr>
            <w:r>
              <w:rPr>
                <w:rFonts w:ascii="Calibri" w:cs="Calibri" w:eastAsia="Calibri" w:hAnsi="Calibri"/>
                <w:sz w:val="16"/>
                <w:szCs w:val="16"/>
                <w:color w:val="auto"/>
              </w:rPr>
              <w:t>December 1, 2023 — December 31, 2023</w:t>
            </w:r>
          </w:p>
        </w:tc>
        <w:tc>
          <w:tcPr>
            <w:tcW w:w="1360" w:type="dxa"/>
            <w:vAlign w:val="bottom"/>
          </w:tcPr>
          <w:p>
            <w:pPr>
              <w:spacing w:after="0"/>
              <w:rPr>
                <w:sz w:val="16"/>
                <w:szCs w:val="16"/>
                <w:color w:val="auto"/>
              </w:rPr>
            </w:pPr>
          </w:p>
        </w:tc>
        <w:tc>
          <w:tcPr>
            <w:tcW w:w="440" w:type="dxa"/>
            <w:vAlign w:val="bottom"/>
          </w:tcPr>
          <w:p>
            <w:pPr>
              <w:ind w:left="160"/>
              <w:spacing w:after="0" w:line="193" w:lineRule="exact"/>
              <w:rPr>
                <w:sz w:val="20"/>
                <w:szCs w:val="20"/>
                <w:color w:val="auto"/>
              </w:rPr>
            </w:pPr>
            <w:r>
              <w:rPr>
                <w:rFonts w:ascii="Calibri" w:cs="Calibri" w:eastAsia="Calibri" w:hAnsi="Calibri"/>
                <w:sz w:val="16"/>
                <w:szCs w:val="16"/>
                <w:color w:val="auto"/>
              </w:rPr>
              <w:t>—</w:t>
            </w:r>
          </w:p>
        </w:tc>
        <w:tc>
          <w:tcPr>
            <w:tcW w:w="1380" w:type="dxa"/>
            <w:vAlign w:val="bottom"/>
          </w:tcPr>
          <w:p>
            <w:pPr>
              <w:jc w:val="right"/>
              <w:ind w:right="1023"/>
              <w:spacing w:after="0" w:line="193" w:lineRule="exact"/>
              <w:rPr>
                <w:sz w:val="20"/>
                <w:szCs w:val="20"/>
                <w:color w:val="auto"/>
              </w:rPr>
            </w:pPr>
            <w:r>
              <w:rPr>
                <w:rFonts w:ascii="Calibri" w:cs="Calibri" w:eastAsia="Calibri" w:hAnsi="Calibri"/>
                <w:sz w:val="16"/>
                <w:szCs w:val="16"/>
                <w:color w:val="auto"/>
              </w:rPr>
              <w:t>$</w:t>
            </w:r>
          </w:p>
        </w:tc>
        <w:tc>
          <w:tcPr>
            <w:tcW w:w="1760" w:type="dxa"/>
            <w:vAlign w:val="bottom"/>
            <w:gridSpan w:val="2"/>
          </w:tcPr>
          <w:p>
            <w:pPr>
              <w:ind w:left="140"/>
              <w:spacing w:after="0" w:line="193" w:lineRule="exact"/>
              <w:rPr>
                <w:sz w:val="20"/>
                <w:szCs w:val="20"/>
                <w:color w:val="auto"/>
              </w:rPr>
            </w:pPr>
            <w:r>
              <w:rPr>
                <w:rFonts w:ascii="Calibri" w:cs="Calibri" w:eastAsia="Calibri" w:hAnsi="Calibri"/>
                <w:sz w:val="16"/>
                <w:szCs w:val="16"/>
                <w:color w:val="auto"/>
              </w:rPr>
              <w:t>—</w:t>
            </w:r>
          </w:p>
        </w:tc>
        <w:tc>
          <w:tcPr>
            <w:tcW w:w="420" w:type="dxa"/>
            <w:vAlign w:val="bottom"/>
          </w:tcPr>
          <w:p>
            <w:pPr>
              <w:ind w:left="140"/>
              <w:spacing w:after="0" w:line="193" w:lineRule="exact"/>
              <w:rPr>
                <w:sz w:val="20"/>
                <w:szCs w:val="20"/>
                <w:color w:val="auto"/>
              </w:rPr>
            </w:pPr>
            <w:r>
              <w:rPr>
                <w:rFonts w:ascii="Calibri" w:cs="Calibri" w:eastAsia="Calibri" w:hAnsi="Calibri"/>
                <w:sz w:val="16"/>
                <w:szCs w:val="16"/>
                <w:color w:val="auto"/>
              </w:rPr>
              <w:t>—</w:t>
            </w:r>
          </w:p>
        </w:tc>
        <w:tc>
          <w:tcPr>
            <w:tcW w:w="1740" w:type="dxa"/>
            <w:vAlign w:val="bottom"/>
          </w:tcPr>
          <w:p>
            <w:pPr>
              <w:jc w:val="right"/>
              <w:ind w:right="45"/>
              <w:spacing w:after="0" w:line="193" w:lineRule="exact"/>
              <w:rPr>
                <w:sz w:val="20"/>
                <w:szCs w:val="20"/>
                <w:color w:val="auto"/>
              </w:rPr>
            </w:pPr>
            <w:r>
              <w:rPr>
                <w:rFonts w:ascii="Calibri" w:cs="Calibri" w:eastAsia="Calibri" w:hAnsi="Calibri"/>
                <w:sz w:val="16"/>
                <w:szCs w:val="16"/>
                <w:color w:val="auto"/>
              </w:rPr>
              <w:t>12,721,096</w:t>
            </w:r>
          </w:p>
        </w:tc>
      </w:tr>
      <w:tr>
        <w:trPr>
          <w:trHeight w:val="36"/>
        </w:trPr>
        <w:tc>
          <w:tcPr>
            <w:tcW w:w="4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48"/>
        </w:trPr>
        <w:tc>
          <w:tcPr>
            <w:tcW w:w="4140" w:type="dxa"/>
            <w:vAlign w:val="bottom"/>
            <w:tcBorders>
              <w:bottom w:val="single" w:sz="8" w:color="E5F1F8"/>
              <w:right w:val="single" w:sz="8" w:color="E5F1F8"/>
            </w:tcBorders>
            <w:shd w:val="clear" w:color="auto" w:fill="E5F1F8"/>
          </w:tcPr>
          <w:p>
            <w:pPr>
              <w:ind w:left="120"/>
              <w:spacing w:after="0" w:line="187" w:lineRule="exact"/>
              <w:rPr>
                <w:sz w:val="20"/>
                <w:szCs w:val="20"/>
                <w:color w:val="auto"/>
              </w:rPr>
            </w:pPr>
            <w:r>
              <w:rPr>
                <w:rFonts w:ascii="Calibri" w:cs="Calibri" w:eastAsia="Calibri" w:hAnsi="Calibri"/>
                <w:sz w:val="16"/>
                <w:szCs w:val="16"/>
                <w:color w:val="auto"/>
              </w:rPr>
              <w:t>Total</w:t>
            </w:r>
          </w:p>
        </w:tc>
        <w:tc>
          <w:tcPr>
            <w:tcW w:w="1360" w:type="dxa"/>
            <w:vAlign w:val="bottom"/>
            <w:tcBorders>
              <w:bottom w:val="single" w:sz="8" w:color="E5F1F8"/>
            </w:tcBorders>
            <w:shd w:val="clear" w:color="auto" w:fill="E5F1F8"/>
          </w:tcPr>
          <w:p>
            <w:pPr>
              <w:spacing w:after="0"/>
              <w:rPr>
                <w:sz w:val="21"/>
                <w:szCs w:val="21"/>
                <w:color w:val="auto"/>
              </w:rPr>
            </w:pPr>
          </w:p>
        </w:tc>
        <w:tc>
          <w:tcPr>
            <w:tcW w:w="440" w:type="dxa"/>
            <w:vAlign w:val="bottom"/>
            <w:tcBorders>
              <w:bottom w:val="single" w:sz="8" w:color="E5F1F8"/>
              <w:right w:val="single" w:sz="8" w:color="E5F1F8"/>
            </w:tcBorders>
            <w:shd w:val="clear" w:color="auto" w:fill="E5F1F8"/>
          </w:tcPr>
          <w:p>
            <w:pPr>
              <w:ind w:left="160"/>
              <w:spacing w:after="0" w:line="187" w:lineRule="exact"/>
              <w:rPr>
                <w:sz w:val="20"/>
                <w:szCs w:val="20"/>
                <w:color w:val="auto"/>
              </w:rPr>
            </w:pPr>
            <w:r>
              <w:rPr>
                <w:rFonts w:ascii="Calibri" w:cs="Calibri" w:eastAsia="Calibri" w:hAnsi="Calibri"/>
                <w:sz w:val="16"/>
                <w:szCs w:val="16"/>
                <w:color w:val="auto"/>
              </w:rPr>
              <w:t>—</w:t>
            </w:r>
          </w:p>
        </w:tc>
        <w:tc>
          <w:tcPr>
            <w:tcW w:w="1380" w:type="dxa"/>
            <w:vAlign w:val="bottom"/>
            <w:tcBorders>
              <w:bottom w:val="single" w:sz="8" w:color="E5F1F8"/>
            </w:tcBorders>
            <w:shd w:val="clear" w:color="auto" w:fill="E5F1F8"/>
          </w:tcPr>
          <w:p>
            <w:pPr>
              <w:jc w:val="right"/>
              <w:ind w:right="1023"/>
              <w:spacing w:after="0" w:line="187" w:lineRule="exact"/>
              <w:rPr>
                <w:sz w:val="20"/>
                <w:szCs w:val="20"/>
                <w:color w:val="auto"/>
              </w:rPr>
            </w:pPr>
            <w:r>
              <w:rPr>
                <w:rFonts w:ascii="Calibri" w:cs="Calibri" w:eastAsia="Calibri" w:hAnsi="Calibri"/>
                <w:sz w:val="16"/>
                <w:szCs w:val="16"/>
                <w:color w:val="auto"/>
              </w:rPr>
              <w:t>$</w:t>
            </w:r>
          </w:p>
        </w:tc>
        <w:tc>
          <w:tcPr>
            <w:tcW w:w="1760" w:type="dxa"/>
            <w:vAlign w:val="bottom"/>
            <w:tcBorders>
              <w:bottom w:val="single" w:sz="8" w:color="E5F1F8"/>
            </w:tcBorders>
            <w:gridSpan w:val="2"/>
            <w:shd w:val="clear" w:color="auto" w:fill="E5F1F8"/>
          </w:tcPr>
          <w:p>
            <w:pPr>
              <w:ind w:left="140"/>
              <w:spacing w:after="0" w:line="187" w:lineRule="exact"/>
              <w:rPr>
                <w:sz w:val="20"/>
                <w:szCs w:val="20"/>
                <w:color w:val="auto"/>
              </w:rPr>
            </w:pPr>
            <w:r>
              <w:rPr>
                <w:rFonts w:ascii="Calibri" w:cs="Calibri" w:eastAsia="Calibri" w:hAnsi="Calibri"/>
                <w:sz w:val="16"/>
                <w:szCs w:val="16"/>
                <w:color w:val="auto"/>
              </w:rPr>
              <w:t>—</w:t>
            </w:r>
          </w:p>
        </w:tc>
        <w:tc>
          <w:tcPr>
            <w:tcW w:w="420" w:type="dxa"/>
            <w:vAlign w:val="bottom"/>
            <w:tcBorders>
              <w:bottom w:val="single" w:sz="8" w:color="E5F1F8"/>
              <w:right w:val="single" w:sz="8" w:color="E5F1F8"/>
            </w:tcBorders>
            <w:shd w:val="clear" w:color="auto" w:fill="E5F1F8"/>
          </w:tcPr>
          <w:p>
            <w:pPr>
              <w:ind w:left="140"/>
              <w:spacing w:after="0" w:line="187" w:lineRule="exact"/>
              <w:rPr>
                <w:sz w:val="20"/>
                <w:szCs w:val="20"/>
                <w:color w:val="auto"/>
              </w:rPr>
            </w:pPr>
            <w:r>
              <w:rPr>
                <w:rFonts w:ascii="Calibri" w:cs="Calibri" w:eastAsia="Calibri" w:hAnsi="Calibri"/>
                <w:sz w:val="16"/>
                <w:szCs w:val="16"/>
                <w:color w:val="auto"/>
              </w:rPr>
              <w:t>—</w:t>
            </w:r>
          </w:p>
        </w:tc>
        <w:tc>
          <w:tcPr>
            <w:tcW w:w="1740" w:type="dxa"/>
            <w:vAlign w:val="bottom"/>
            <w:tcBorders>
              <w:bottom w:val="single" w:sz="8" w:color="E5F1F8"/>
            </w:tcBorders>
            <w:shd w:val="clear" w:color="auto" w:fill="E5F1F8"/>
          </w:tcPr>
          <w:p>
            <w:pPr>
              <w:jc w:val="right"/>
              <w:ind w:right="45"/>
              <w:spacing w:after="0" w:line="187" w:lineRule="exact"/>
              <w:rPr>
                <w:sz w:val="20"/>
                <w:szCs w:val="20"/>
                <w:color w:val="auto"/>
              </w:rPr>
            </w:pPr>
            <w:r>
              <w:rPr>
                <w:rFonts w:ascii="Calibri" w:cs="Calibri" w:eastAsia="Calibri" w:hAnsi="Calibri"/>
                <w:sz w:val="16"/>
                <w:szCs w:val="16"/>
                <w:color w:val="auto"/>
              </w:rPr>
              <w:t>12,721,096</w:t>
            </w:r>
          </w:p>
        </w:tc>
      </w:tr>
      <w:tr>
        <w:trPr>
          <w:trHeight w:val="20"/>
        </w:trPr>
        <w:tc>
          <w:tcPr>
            <w:tcW w:w="4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2598420</wp:posOffset>
            </wp:positionH>
            <wp:positionV relativeFrom="paragraph">
              <wp:posOffset>-337820</wp:posOffset>
            </wp:positionV>
            <wp:extent cx="34290" cy="3511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3747135</wp:posOffset>
            </wp:positionH>
            <wp:positionV relativeFrom="paragraph">
              <wp:posOffset>-337820</wp:posOffset>
            </wp:positionV>
            <wp:extent cx="34290" cy="3511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4886960</wp:posOffset>
            </wp:positionH>
            <wp:positionV relativeFrom="paragraph">
              <wp:posOffset>-337820</wp:posOffset>
            </wp:positionV>
            <wp:extent cx="34290" cy="3511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-337820</wp:posOffset>
            </wp:positionV>
            <wp:extent cx="33655" cy="3511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351155"/>
                    </a:xfrm>
                    <a:prstGeom prst="rect">
                      <a:avLst/>
                    </a:prstGeom>
                    <a:noFill/>
                  </pic:spPr>
                </pic:pic>
              </a:graphicData>
            </a:graphic>
          </wp:anchor>
        </w:drawing>
      </w:r>
    </w:p>
    <w:p>
      <w:pPr>
        <w:spacing w:after="0" w:line="20" w:lineRule="exact"/>
        <w:rPr>
          <w:sz w:val="20"/>
          <w:szCs w:val="20"/>
          <w:color w:val="auto"/>
        </w:rPr>
      </w:pPr>
    </w:p>
    <w:p>
      <w:pPr>
        <w:jc w:val="both"/>
        <w:ind w:left="800" w:hanging="397"/>
        <w:spacing w:after="0" w:line="246" w:lineRule="auto"/>
        <w:tabs>
          <w:tab w:leader="none" w:pos="800" w:val="left"/>
        </w:tabs>
        <w:numPr>
          <w:ilvl w:val="0"/>
          <w:numId w:val="12"/>
        </w:numPr>
        <w:rPr>
          <w:rFonts w:ascii="Calibri" w:cs="Calibri" w:eastAsia="Calibri" w:hAnsi="Calibri"/>
          <w:sz w:val="14"/>
          <w:szCs w:val="14"/>
          <w:color w:val="auto"/>
        </w:rPr>
      </w:pPr>
      <w:r>
        <w:rPr>
          <w:rFonts w:ascii="Calibri" w:cs="Calibri" w:eastAsia="Calibri" w:hAnsi="Calibri"/>
          <w:sz w:val="14"/>
          <w:szCs w:val="14"/>
          <w:color w:val="auto"/>
        </w:rPr>
        <w:t>The Company’s stock repurchase program, which currently authorizes the repurchase of 20 million shares of common stock, is approved by the Board of Directors from tme to tme, and updated as appropriate by the Board of Directors, and announced to the public by press release. The latest announcement on this topic was the Company’s press release dated February 10, 2015 that its Board of Directors had authorized the repurchase of up to 20 million shares of its outstanding common stock, which included 5 million shares authorized under the Company’s previous share repurchase program. Previous press releases announcing prior share repurchase programs and the related amounts of common stock included under the share repurchase authorizatons were as follows: (i) press release dated August 15, 2007 (5 million shares); (ii) press release dated February 22, 2006 (5 million shares); and (iii) May 6, 1994 (2.5 million shares).</w:t>
      </w:r>
    </w:p>
    <w:p>
      <w:pPr>
        <w:spacing w:after="0" w:line="20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6 – RESERVED</w:t>
      </w:r>
    </w:p>
    <w:p>
      <w:pPr>
        <w:spacing w:after="0" w:line="59" w:lineRule="exact"/>
        <w:rPr>
          <w:sz w:val="20"/>
          <w:szCs w:val="20"/>
          <w:color w:val="auto"/>
        </w:rPr>
      </w:pPr>
    </w:p>
    <w:p>
      <w:pPr>
        <w:spacing w:after="0"/>
        <w:rPr>
          <w:sz w:val="20"/>
          <w:szCs w:val="20"/>
          <w:color w:val="auto"/>
        </w:rPr>
      </w:pPr>
      <w:r>
        <w:rPr>
          <w:rFonts w:ascii="Calibri" w:cs="Calibri" w:eastAsia="Calibri" w:hAnsi="Calibri"/>
          <w:sz w:val="18"/>
          <w:szCs w:val="18"/>
          <w:color w:val="auto"/>
        </w:rPr>
        <w:t>Not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7" w:name="page38"/>
    <w:bookmarkEnd w:id="37"/>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14" w:lineRule="exact"/>
        <w:rPr>
          <w:sz w:val="20"/>
          <w:szCs w:val="20"/>
          <w:color w:val="auto"/>
        </w:rPr>
      </w:pPr>
    </w:p>
    <w:p>
      <w:pPr>
        <w:jc w:val="both"/>
        <w:ind w:right="20"/>
        <w:spacing w:after="0"/>
        <w:rPr>
          <w:sz w:val="20"/>
          <w:szCs w:val="20"/>
          <w:color w:val="auto"/>
        </w:rPr>
      </w:pPr>
      <w:r>
        <w:rPr>
          <w:rFonts w:ascii="Calibri" w:cs="Calibri" w:eastAsia="Calibri" w:hAnsi="Calibri"/>
          <w:sz w:val="25"/>
          <w:szCs w:val="25"/>
          <w:b w:val="1"/>
          <w:bCs w:val="1"/>
          <w:color w:val="auto"/>
        </w:rPr>
        <w:t>ITEM 7 – MANAGEMENT’S DISCUSSION AND ANALYSIS OF FINANCIAL CONDITION AND RESULTS OF OPERATIONS</w:t>
      </w:r>
    </w:p>
    <w:p>
      <w:pPr>
        <w:spacing w:after="0" w:line="11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INTRODUCTORY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89535</wp:posOffset>
            </wp:positionV>
            <wp:extent cx="3994785" cy="31286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994785"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Martn Marieta Materials, Inc. (the Company or Martn Marieta) is a natural resource-based building materials company, with 2023 total revenues of $6.78 billion and 2023 net earnings from contnuing operatons atributable to Martn Marieta of $1.20 billion. These results were achieved in part by supplying aggregates (crushed stone, sand and gravel) through its network of approximately 360 quarries, mines and distributon yards in 28 states, Canada and The Bahamas. Martn Marieta also provides cement and downstream products, namely ready mixed concrete, asphalt and paving services, in certain markets where the Company has a leading aggregates positon. Specifcally, the Company has two cement plants in Texas, ready mixed concrete operatons in Arizona and Texas, and asphalt operatons in Arizona, California, Colorado and Minnesota. Paving services are ofered in California and Colorado. As of December 31, 2023, the Company's South Texas cement business and 20 ready mixed concrete operatons that serve the Austn and San Antonio region are classifed as assets held for sale. The Company divested these operatons on February 9, 2024.</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11, 2024, the Company entered into a defnitve agreement to acquire 20 actve aggregates operatons in Alabama, South Carolina, South Florida, Tennessee, and Virginia from afliates of Blue Water Industries LLC (BWI Southeast) for $2.05 billion in cash. The BWI Southeast acquisiton complements Martn Marieta’s existng geographic footprint in the dynamic southeast region by allowing the Company to expand into new growth platorms in target markets including Nashville and Miami. The transacton is expected to close during 2024, subject to regulatory approvals and other customary closing conditons.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heavy-side building materials are used in infrastructure, nonresidental and residental constructon projects. Aggregates are also used in agricultural, utlity and environmental applicatons and as railroad ballast. The aggregates, cement, ready mixed concrete and asphalt and paving product lines are reported collectvely as the “Building Materials”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230505</wp:posOffset>
            </wp:positionV>
            <wp:extent cx="325755" cy="1974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36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8" w:name="page39"/>
    <w:bookmarkEnd w:id="38"/>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 more fully discussed in the </w:t>
      </w:r>
      <w:r>
        <w:rPr>
          <w:rFonts w:ascii="Calibri" w:cs="Calibri" w:eastAsia="Calibri" w:hAnsi="Calibri"/>
          <w:sz w:val="18"/>
          <w:szCs w:val="18"/>
          <w:i w:val="1"/>
          <w:iCs w:val="1"/>
          <w:color w:val="auto"/>
        </w:rPr>
        <w:t>Consolidated Strategic Objectves</w:t>
      </w:r>
      <w:r>
        <w:rPr>
          <w:rFonts w:ascii="Calibri" w:cs="Calibri" w:eastAsia="Calibri" w:hAnsi="Calibri"/>
          <w:sz w:val="18"/>
          <w:szCs w:val="18"/>
          <w:color w:val="auto"/>
        </w:rPr>
        <w:t xml:space="preserve"> secton, geography is critcally important for the Building Materials business. The Company conducts its Building Materials business through two reportable segments, organized by geography: East Group and West Group. The East Group, consistng of the East and Central divisions, provides aggregates and asphalt products. The West Group is comprised of the Southwest and West divisions and provides aggregates, cement, ready mixed concrete, asphalt and paving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85090</wp:posOffset>
            </wp:positionV>
            <wp:extent cx="5837555" cy="2451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3755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ten states accounted for 82% of the Building Materials business 2023 total revenues: Texas, North Carolina, Colorado, California, Georgia, Minnesota, Arizona, Iowa, Florida and 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83820</wp:posOffset>
            </wp:positionV>
            <wp:extent cx="5820410" cy="37801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2041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39" w:name="page40"/>
    <w:bookmarkEnd w:id="39"/>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Magnesia Specialtes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operates a Magnesia Specialtes business with producton facilites in Michigan and Ohio. The Magnesia Specialtes business produces magnesia-based chemicals products used in industrial, agricultural and environmental applicatons. It also produces dolomitc lime sold primarily to customers for steel producton and soil stabilizaton. Magnesia Specialtes’ products are shipped to customers domestcally and worldwide.</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Strategic Objectves</w:t>
      </w:r>
    </w:p>
    <w:p>
      <w:pPr>
        <w:spacing w:after="0" w:line="59"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 xml:space="preserve">The Company’s strategic planning process, or </w:t>
      </w:r>
      <w:r>
        <w:rPr>
          <w:rFonts w:ascii="Calibri" w:cs="Calibri" w:eastAsia="Calibri" w:hAnsi="Calibri"/>
          <w:sz w:val="17"/>
          <w:szCs w:val="17"/>
          <w:b w:val="1"/>
          <w:bCs w:val="1"/>
          <w:color w:val="auto"/>
        </w:rPr>
        <w:t>S</w:t>
      </w:r>
      <w:r>
        <w:rPr>
          <w:rFonts w:ascii="Calibri" w:cs="Calibri" w:eastAsia="Calibri" w:hAnsi="Calibri"/>
          <w:sz w:val="17"/>
          <w:szCs w:val="17"/>
          <w:color w:val="auto"/>
        </w:rPr>
        <w:t xml:space="preserve">trategic </w:t>
      </w:r>
      <w:r>
        <w:rPr>
          <w:rFonts w:ascii="Calibri" w:cs="Calibri" w:eastAsia="Calibri" w:hAnsi="Calibri"/>
          <w:sz w:val="17"/>
          <w:szCs w:val="17"/>
          <w:b w:val="1"/>
          <w:bCs w:val="1"/>
          <w:color w:val="auto"/>
        </w:rPr>
        <w:t>O</w:t>
      </w:r>
      <w:r>
        <w:rPr>
          <w:rFonts w:ascii="Calibri" w:cs="Calibri" w:eastAsia="Calibri" w:hAnsi="Calibri"/>
          <w:sz w:val="17"/>
          <w:szCs w:val="17"/>
          <w:color w:val="auto"/>
        </w:rPr>
        <w:t xml:space="preserve">peratng </w:t>
      </w:r>
      <w:r>
        <w:rPr>
          <w:rFonts w:ascii="Calibri" w:cs="Calibri" w:eastAsia="Calibri" w:hAnsi="Calibri"/>
          <w:sz w:val="17"/>
          <w:szCs w:val="17"/>
          <w:b w:val="1"/>
          <w:bCs w:val="1"/>
          <w:color w:val="auto"/>
        </w:rPr>
        <w:t>A</w:t>
      </w:r>
      <w:r>
        <w:rPr>
          <w:rFonts w:ascii="Calibri" w:cs="Calibri" w:eastAsia="Calibri" w:hAnsi="Calibri"/>
          <w:sz w:val="17"/>
          <w:szCs w:val="17"/>
          <w:color w:val="auto"/>
        </w:rPr>
        <w:t xml:space="preserve">nalysis and </w:t>
      </w:r>
      <w:r>
        <w:rPr>
          <w:rFonts w:ascii="Calibri" w:cs="Calibri" w:eastAsia="Calibri" w:hAnsi="Calibri"/>
          <w:sz w:val="17"/>
          <w:szCs w:val="17"/>
          <w:b w:val="1"/>
          <w:bCs w:val="1"/>
          <w:color w:val="auto"/>
        </w:rPr>
        <w:t>R</w:t>
      </w:r>
      <w:r>
        <w:rPr>
          <w:rFonts w:ascii="Calibri" w:cs="Calibri" w:eastAsia="Calibri" w:hAnsi="Calibri"/>
          <w:sz w:val="17"/>
          <w:szCs w:val="17"/>
          <w:color w:val="auto"/>
        </w:rPr>
        <w:t>eview (SOAR), provides the framework for executon of Martn Marieta’s long-term strategic plan. Guided by this framework and considering the cyclicality of the Building Materials business, the Company determines capital allocaton priorites to maximize long-term shareholder value creaton. The Company’s strategy includes ongoing evaluaton of aggregates-led opportunites of scale in new domestc markets (</w:t>
      </w:r>
      <w:r>
        <w:rPr>
          <w:rFonts w:ascii="Calibri" w:cs="Calibri" w:eastAsia="Calibri" w:hAnsi="Calibri"/>
          <w:sz w:val="17"/>
          <w:szCs w:val="17"/>
          <w:i w:val="1"/>
          <w:iCs w:val="1"/>
          <w:color w:val="auto"/>
        </w:rPr>
        <w:t>i.e.</w:t>
      </w:r>
      <w:r>
        <w:rPr>
          <w:rFonts w:ascii="Calibri" w:cs="Calibri" w:eastAsia="Calibri" w:hAnsi="Calibri"/>
          <w:sz w:val="17"/>
          <w:szCs w:val="17"/>
          <w:color w:val="auto"/>
        </w:rPr>
        <w:t>, platorm acquisitons) and expansion through acquisitons that complement existng operatons (</w:t>
      </w:r>
      <w:r>
        <w:rPr>
          <w:rFonts w:ascii="Calibri" w:cs="Calibri" w:eastAsia="Calibri" w:hAnsi="Calibri"/>
          <w:sz w:val="17"/>
          <w:szCs w:val="17"/>
          <w:i w:val="1"/>
          <w:iCs w:val="1"/>
          <w:color w:val="auto"/>
        </w:rPr>
        <w:t>i.e.</w:t>
      </w:r>
      <w:r>
        <w:rPr>
          <w:rFonts w:ascii="Calibri" w:cs="Calibri" w:eastAsia="Calibri" w:hAnsi="Calibri"/>
          <w:sz w:val="17"/>
          <w:szCs w:val="17"/>
          <w:color w:val="auto"/>
        </w:rPr>
        <w:t>, bolt-on acquisitons). To that efect, the Company has invested nearly $8.0 billion in acquisitons since the launch of SOAR in 2010. The Company fnances such opportunites with the goal of preserving its fnancial fexibility by having a leverage rato (consolidated net debt-to-consolidated earnings before interest, taxes, depreciaton, depleton and amortzaton, earnings/loss from nonconsolidated equity afliates and certain other adjustments as specifed below, or Adjusted EBITDA) within a range of 2.0 tmes to 2.5 tmes within a reasonable period of tme, typically within 18 months, following the completon of a debt-fnanced transacton. SOAR also includes the identfcaton and potental dispositon of assets that are not consistent with stated strategic goals. Notably, since 2022, the Company divested its Colorado and Central Texas ready mixed concrete businesses and certain West Coast cement and ready mixed concrete operatons and, as of February 9, 2024, completed the divestture of its South Texas cement and related ready mixed concrete operatons, refning its product mix and improving its margin profle, while providing balance sheet fexibility. In total, these divesttures provided pretax cash proceeds of $3.1 billion.</w:t>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by purposeful design, will contnue to be an aggregates-led business that focuses on markets with strong, underlying growth fundamentals where it can sustain or achieve a leading market positon. Aggregates gross proft represented 68% of 2023 total consolidated gross proft. For Martn Marieta, strategic cement and targeted downstream operatons are located where the Company has, or envisions, among other things, a clear path toward a leading aggregates positon. Additonally, strategic cement operatons are geared toward markets in which supply cannot be meaningfully interdicted by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154305</wp:posOffset>
            </wp:positionV>
            <wp:extent cx="5563235" cy="36690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63235" cy="366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0" w:name="page41"/>
    <w:bookmarkEnd w:id="40"/>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Generally, the Company’s building materials are both sourced and sold locally. As a result, geography is critcally important when assessing market atractveness and growth opportunites. Atractve geographies generally exhibit (a) populaton growth and/or high populaton density, both of which are drivers of heavy-side building materials consumpton; (b) business and employment diversity, drivers of greater economic stability; and (c) a superior state fnancial positon, a driver of public infrastructure investment.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Populaton growth and density are assessed based on a site’s proximity to one of the megaregions in the United States. Megaregions are large networks of metropolitan populaton centers covering thousands of square miles. According to </w:t>
      </w:r>
      <w:r>
        <w:rPr>
          <w:rFonts w:ascii="Calibri" w:cs="Calibri" w:eastAsia="Calibri" w:hAnsi="Calibri"/>
          <w:sz w:val="18"/>
          <w:szCs w:val="18"/>
          <w:i w:val="1"/>
          <w:iCs w:val="1"/>
          <w:color w:val="auto"/>
        </w:rPr>
        <w:t>America 2050</w:t>
      </w:r>
      <w:r>
        <w:rPr>
          <w:rFonts w:ascii="Calibri" w:cs="Calibri" w:eastAsia="Calibri" w:hAnsi="Calibri"/>
          <w:sz w:val="18"/>
          <w:szCs w:val="18"/>
          <w:color w:val="auto"/>
        </w:rPr>
        <w:t>, a planning and policy program of the Regional Plan Associaton, a majority of the naton’s populaton and economic growth through 2050 will occur in 11 megaregions. The Company has a meaningful presence in ten megaregions. As evidence of the successful executon of SOAR, the Company’s leading positons in the Texas Triangle, Colorado’s Front Range, northern and southern California and Arizona’s Sun Corridor megaregions, its growth platorm in the southern porton of the Northeast megaregion and its enhanced positon in the Piedmont Atlantc megaregion, primarily in the Atlanta area, are the results of acquisitons since 2011. The Company has a legacy presence in the southeastern porton of the Great Lakes megaregion, encompassing operatons in Indiana and Ohio, as well as the Florida megaregion and the Gulf Coast megaregion in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95885</wp:posOffset>
            </wp:positionV>
            <wp:extent cx="5837555" cy="3583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37555" cy="358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focuses its geographic footprint along signifcant transportaton and commerce corridors, partcularly where both land is readily available and land use enttlement is likely achievable for the development of fulfllment and/or data centers. The retail sector (both e-commerce and brick and mortar) values transportaton corridors, as logistcs and distributon are critcal consideratons for constructon supportng that industry. In additon, technology companies view these areas as atractve locatons for data centers.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considers a state’s fnancial health ratng, as issued by S&amp;P Global Ratngs, in determining the opportunites and atractveness of areas for expansion or development. The Company’s top ten revenue-generatng states have been evaluated and scored a fnancial health ratng of AA- or higher, where AAA is the highest score. The Company also reviews the state’s ability to secure additonal infrastructure funding and fnancing.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229870</wp:posOffset>
            </wp:positionV>
            <wp:extent cx="325755" cy="1974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36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1" w:name="page42"/>
    <w:bookmarkEnd w:id="41"/>
    <w:p>
      <w:pPr>
        <w:ind w:left="37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In line with the Company’s strategic objectves, management’s overall focus includes:</w:t>
      </w:r>
    </w:p>
    <w:p>
      <w:pPr>
        <w:spacing w:after="0" w:line="64" w:lineRule="exact"/>
        <w:rPr>
          <w:sz w:val="20"/>
          <w:szCs w:val="20"/>
          <w:color w:val="auto"/>
        </w:rPr>
      </w:pPr>
    </w:p>
    <w:p>
      <w:pPr>
        <w:ind w:left="880" w:hanging="279"/>
        <w:spacing w:after="0"/>
        <w:tabs>
          <w:tab w:leader="none" w:pos="8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Upholding the Company’s commitment to its Mission, Vision and Values</w:t>
      </w:r>
    </w:p>
    <w:p>
      <w:pPr>
        <w:spacing w:after="0" w:line="63" w:lineRule="exact"/>
        <w:rPr>
          <w:rFonts w:ascii="Times New Roman" w:cs="Times New Roman" w:eastAsia="Times New Roman" w:hAnsi="Times New Roman"/>
          <w:sz w:val="18"/>
          <w:szCs w:val="18"/>
          <w:color w:val="auto"/>
        </w:rPr>
      </w:pPr>
    </w:p>
    <w:p>
      <w:pPr>
        <w:ind w:left="880" w:hanging="279"/>
        <w:spacing w:after="0"/>
        <w:tabs>
          <w:tab w:leader="none" w:pos="8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Navigatng efectvely through constructon cycles to balance investment decisions against expected product demand</w:t>
      </w:r>
    </w:p>
    <w:p>
      <w:pPr>
        <w:spacing w:after="0" w:line="68" w:lineRule="exact"/>
        <w:rPr>
          <w:rFonts w:ascii="Times New Roman" w:cs="Times New Roman" w:eastAsia="Times New Roman" w:hAnsi="Times New Roman"/>
          <w:sz w:val="18"/>
          <w:szCs w:val="18"/>
          <w:color w:val="auto"/>
        </w:rPr>
      </w:pPr>
    </w:p>
    <w:p>
      <w:pPr>
        <w:ind w:left="880" w:hanging="279"/>
        <w:spacing w:after="0" w:line="235" w:lineRule="auto"/>
        <w:tabs>
          <w:tab w:leader="none" w:pos="8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Tracking shifs in populaton trends, as well as local, state and natonal economic conditons, to ensure changing trends are refected against the executon of the strategic plan</w:t>
      </w:r>
    </w:p>
    <w:p>
      <w:pPr>
        <w:spacing w:after="0" w:line="64" w:lineRule="exact"/>
        <w:rPr>
          <w:rFonts w:ascii="Times New Roman" w:cs="Times New Roman" w:eastAsia="Times New Roman" w:hAnsi="Times New Roman"/>
          <w:sz w:val="18"/>
          <w:szCs w:val="18"/>
          <w:color w:val="auto"/>
        </w:rPr>
      </w:pPr>
    </w:p>
    <w:p>
      <w:pPr>
        <w:ind w:left="880" w:hanging="279"/>
        <w:spacing w:after="0"/>
        <w:tabs>
          <w:tab w:leader="none" w:pos="8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Integratng acquired businesses efciently to maximize the return on the investment</w:t>
      </w:r>
    </w:p>
    <w:p>
      <w:pPr>
        <w:spacing w:after="0" w:line="63" w:lineRule="exact"/>
        <w:rPr>
          <w:rFonts w:ascii="Times New Roman" w:cs="Times New Roman" w:eastAsia="Times New Roman" w:hAnsi="Times New Roman"/>
          <w:sz w:val="18"/>
          <w:szCs w:val="18"/>
          <w:color w:val="auto"/>
        </w:rPr>
      </w:pPr>
    </w:p>
    <w:p>
      <w:pPr>
        <w:ind w:left="880" w:hanging="279"/>
        <w:spacing w:after="0"/>
        <w:tabs>
          <w:tab w:leader="none" w:pos="88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Allocatng capital in a prudent manner consistent with the following long-standing priorites while maintaining fnancial fexibility</w:t>
      </w:r>
    </w:p>
    <w:p>
      <w:pPr>
        <w:spacing w:after="0" w:line="63" w:lineRule="exact"/>
        <w:rPr>
          <w:rFonts w:ascii="Times New Roman" w:cs="Times New Roman" w:eastAsia="Times New Roman" w:hAnsi="Times New Roman"/>
          <w:sz w:val="18"/>
          <w:szCs w:val="18"/>
          <w:color w:val="auto"/>
        </w:rPr>
      </w:pPr>
    </w:p>
    <w:p>
      <w:pPr>
        <w:ind w:left="1460" w:hanging="266"/>
        <w:spacing w:after="0"/>
        <w:tabs>
          <w:tab w:leader="none" w:pos="1460" w:val="left"/>
        </w:tabs>
        <w:numPr>
          <w:ilvl w:val="1"/>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Acquisitons</w:t>
      </w:r>
    </w:p>
    <w:p>
      <w:pPr>
        <w:spacing w:after="0" w:line="63" w:lineRule="exact"/>
        <w:rPr>
          <w:rFonts w:ascii="Times New Roman" w:cs="Times New Roman" w:eastAsia="Times New Roman" w:hAnsi="Times New Roman"/>
          <w:sz w:val="18"/>
          <w:szCs w:val="18"/>
          <w:color w:val="auto"/>
        </w:rPr>
      </w:pPr>
    </w:p>
    <w:p>
      <w:pPr>
        <w:ind w:left="1460" w:hanging="266"/>
        <w:spacing w:after="0"/>
        <w:tabs>
          <w:tab w:leader="none" w:pos="1460" w:val="left"/>
        </w:tabs>
        <w:numPr>
          <w:ilvl w:val="1"/>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Organic capital investment</w:t>
      </w:r>
    </w:p>
    <w:p>
      <w:pPr>
        <w:spacing w:after="0" w:line="50" w:lineRule="exact"/>
        <w:rPr>
          <w:rFonts w:ascii="Times New Roman" w:cs="Times New Roman" w:eastAsia="Times New Roman" w:hAnsi="Times New Roman"/>
          <w:sz w:val="18"/>
          <w:szCs w:val="18"/>
          <w:color w:val="auto"/>
        </w:rPr>
      </w:pPr>
    </w:p>
    <w:p>
      <w:pPr>
        <w:ind w:left="1460" w:hanging="266"/>
        <w:spacing w:after="0"/>
        <w:tabs>
          <w:tab w:leader="none" w:pos="1460" w:val="left"/>
        </w:tabs>
        <w:numPr>
          <w:ilvl w:val="1"/>
          <w:numId w:val="13"/>
        </w:numPr>
        <w:rPr>
          <w:rFonts w:ascii="Times New Roman" w:cs="Times New Roman" w:eastAsia="Times New Roman" w:hAnsi="Times New Roman"/>
          <w:sz w:val="16"/>
          <w:szCs w:val="16"/>
          <w:color w:val="auto"/>
        </w:rPr>
      </w:pPr>
      <w:r>
        <w:rPr>
          <w:rFonts w:ascii="Calibri" w:cs="Calibri" w:eastAsia="Calibri" w:hAnsi="Calibri"/>
          <w:sz w:val="18"/>
          <w:szCs w:val="18"/>
          <w:color w:val="auto"/>
        </w:rPr>
        <w:t>Return of cash to shareholders through both meaningful and sustainable dividends as well as share repurchases</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2023 Performance Highlights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Achieved Industry-Leading Safety Performance:</w:t>
      </w:r>
    </w:p>
    <w:p>
      <w:pPr>
        <w:spacing w:after="0" w:line="64" w:lineRule="exact"/>
        <w:rPr>
          <w:sz w:val="20"/>
          <w:szCs w:val="20"/>
          <w:color w:val="auto"/>
        </w:rPr>
      </w:pPr>
    </w:p>
    <w:p>
      <w:pPr>
        <w:ind w:left="880" w:hanging="279"/>
        <w:spacing w:after="0"/>
        <w:tabs>
          <w:tab w:leader="none" w:pos="88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Record company-wide Lost-Time Incident Rate (LTIR) of 0.13, the seventh consecutve year of world-class or beter LTIR thresholds</w:t>
      </w:r>
    </w:p>
    <w:p>
      <w:pPr>
        <w:spacing w:after="0" w:line="63" w:lineRule="exact"/>
        <w:rPr>
          <w:rFonts w:ascii="Times New Roman" w:cs="Times New Roman" w:eastAsia="Times New Roman" w:hAnsi="Times New Roman"/>
          <w:sz w:val="18"/>
          <w:szCs w:val="18"/>
          <w:color w:val="auto"/>
        </w:rPr>
      </w:pPr>
    </w:p>
    <w:p>
      <w:pPr>
        <w:ind w:left="880" w:hanging="279"/>
        <w:spacing w:after="0"/>
        <w:tabs>
          <w:tab w:leader="none" w:pos="88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Company-wide Total Injury Incident Rate (TIIR) of 0.78, the third consecutve year of world-class or beter TIIR thresholds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Achieved Record Financial Performance:</w:t>
      </w:r>
    </w:p>
    <w:p>
      <w:pPr>
        <w:spacing w:after="0" w:line="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achieved record revenues, gross proft, diluted earnings per share and Adjusted EBITDA (defned in the </w:t>
      </w:r>
      <w:r>
        <w:rPr>
          <w:rFonts w:ascii="Calibri" w:cs="Calibri" w:eastAsia="Calibri" w:hAnsi="Calibri"/>
          <w:sz w:val="18"/>
          <w:szCs w:val="18"/>
          <w:i w:val="1"/>
          <w:iCs w:val="1"/>
          <w:color w:val="auto"/>
        </w:rPr>
        <w:t>Results of Operatons</w:t>
      </w:r>
      <w:r>
        <w:rPr>
          <w:rFonts w:ascii="Calibri" w:cs="Calibri" w:eastAsia="Calibri" w:hAnsi="Calibri"/>
          <w:sz w:val="18"/>
          <w:szCs w:val="18"/>
          <w:color w:val="auto"/>
        </w:rPr>
        <w:t xml:space="preserve"> secton), refectng the efcacy of its value-over-volume commercial strategy and contnued focus on operatonal excellence and despite lower shipments due to the efects of restrictve monetary policies and a housing slowdown. Further, 2023 marked the twelfh consecutve year of growth for Adjusted EBITDA. The Company’s commitment to safety and operatonal and commercial excellence resulted in the following fnancial performance from contnuing operatons (comparisons with 2022):</w:t>
      </w:r>
    </w:p>
    <w:p>
      <w:pPr>
        <w:spacing w:after="0" w:line="67" w:lineRule="exact"/>
        <w:rPr>
          <w:sz w:val="20"/>
          <w:szCs w:val="20"/>
          <w:color w:val="auto"/>
        </w:rPr>
      </w:pPr>
    </w:p>
    <w:p>
      <w:pPr>
        <w:ind w:left="800" w:hanging="397"/>
        <w:spacing w:after="0"/>
        <w:tabs>
          <w:tab w:leader="none" w:pos="8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Record consolidated total revenues of $6.78 billion compared with $6.16 billion, an increase of 10.0%</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Record consolidated gross proft of $2.02 billion compared with $1.42 billion, an increase of 42.1%</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Consolidated selling, general and administratve (SG&amp;A) expenses representng 6.5% of total revenues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Net earnings from contnuing operatons atributable to Martn Marieta of $1.20 billion compared with $856.3 million, an increase of 40.1%</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Record consolidated Adjusted EBITDA from contnuing operatons of $2.13 billion, an increase of 33.0%</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Operatng cash fow of $1.53 billion, an increase of 54.2%</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Contnued Disciplined Executon Against Capital Allocaton Priorites:</w:t>
      </w:r>
    </w:p>
    <w:p>
      <w:pPr>
        <w:spacing w:after="0" w:line="64" w:lineRule="exact"/>
        <w:rPr>
          <w:sz w:val="20"/>
          <w:szCs w:val="20"/>
          <w:color w:val="auto"/>
        </w:rPr>
      </w:pPr>
    </w:p>
    <w:p>
      <w:pPr>
        <w:ind w:left="800" w:hanging="397"/>
        <w:spacing w:after="0"/>
        <w:tabs>
          <w:tab w:leader="none" w:pos="8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Optmized portolio with divesttures of the Company's California cement operatons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Capital investments into operatons of $650.3 million</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Quarterly dividend increase of 12% in August 2023, resultng in total annual dividends paid of $174.0 million, or $2.80 per share</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Repurchase of 0.4 million shares of common stock at a total cost of $150.0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366395</wp:posOffset>
            </wp:positionV>
            <wp:extent cx="325755" cy="1974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2" w:name="page43"/>
    <w:bookmarkEnd w:id="42"/>
    <w:p>
      <w:pPr>
        <w:ind w:left="37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BUSINESS ENVIRONMENT</w:t>
      </w:r>
    </w:p>
    <w:p>
      <w:pPr>
        <w:spacing w:after="0" w:line="1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Building Materials Business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Building Materials business serves customers in the constructon marketplace. The business’ proftability is sensitve to natonal, regional and local economic conditons and cyclical swings in constructon spending, which are afected by fuctuatons in levels of public-sector infrastructure funding; interest rates; access to capital markets; and demographic, geographic, employment and populaton dynamics.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heavy-side constructon business, inclusive of much of the Company’s operatons, is conducted outdoors. Therefore, erratc weather paterns, precipitaton and other weather-related conditons, including fooding, hurricanes, extreme hot and cold temperatures, earthquakes, droughts and wildfres, can signifcantly afect producton schedules, shipments, costs, efciencies and proftability. Generally, the fnancial results for the frst and fourth quarters are most subject to the impacts of winter weather, while the second and third quarters can be subject to the impacts of heavy precipitaton and excessive heat. The impacts of erratc weather paterns are more fully discussed in the </w:t>
      </w:r>
      <w:r>
        <w:rPr>
          <w:rFonts w:ascii="Calibri" w:cs="Calibri" w:eastAsia="Calibri" w:hAnsi="Calibri"/>
          <w:sz w:val="18"/>
          <w:szCs w:val="18"/>
          <w:i w:val="1"/>
          <w:iCs w:val="1"/>
          <w:color w:val="auto"/>
        </w:rPr>
        <w:t>Building Materials Business’ Key Consideratons</w:t>
      </w:r>
      <w:r>
        <w:rPr>
          <w:rFonts w:ascii="Calibri" w:cs="Calibri" w:eastAsia="Calibri" w:hAnsi="Calibri"/>
          <w:sz w:val="18"/>
          <w:szCs w:val="18"/>
          <w:color w:val="auto"/>
        </w:rPr>
        <w:t xml:space="preserve"> secton.</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Product Lines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Aggregates are an engineered, granular material consistng of crushed stone, sand and gravel, manufactured to specifc sizes, grades and chemistry for use primarily in constructon applicatons. The Company’s operatons consist mostly of open pit quarries; however, the Company is also the largest operator of underground aggregates mines in the United States, with 14 actve underground mines located in the East Group. The Company’s aggregates reserves average approximately 75 years at the 2023 annual producton level.</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is the basic agent used to bind coarse aggregates, sand and water in the producton of ready mixed concrete. As of December 31, 2023, the Company had producton facilites in Midlothian, Texas, south of Dallas/Fort Worth, and New Braunfels, Texas, centrally located along I-35 between San Antonio and Austn. The Company also operated several cement distributon terminals. The two producton facilites produce Portland limestone and specialty cements, with an annual capacity at December 31, 2023 of approximately 4.5 million tons and collectvely operated at approximately 71% utlizaton for clinker producton in 2023; clinker is the inital product of cement producton. The Midlothian plant has a permit that allows for capacity expansion of 0.8 million tons. The Company is currently undertaking a fnishing capacity expansion project at the Midlothian plant, which is expected to be completed in mid-2024 and will provide 0.5 million tons of incremental annual capacity. Further, the Company has converted its Midlothian and Hunter plants to manufacture a less carbon-intensive Portland limestone cement, known as Type 1L, which has been approved by the Texas Department of Transportaton. On February 9, 2024, the Company closed the sale of the Hunter cement business in South Texas, related distributon terminals and the Austn and San Antonio ready mix concrete business to CRH Americas Materials. This divestture optmizes the Company's portolio and product mix and provides additonal balance sheet fexibility to redeploy net proceeds into pure-play aggregates acquisitons.</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Calcium carbonate in the form of limestone is the principal raw material used in the producton of cement. As of December 31, 2023, the Company owned more than 600 million tons of limestone reserves adjacent to its cement producton plants in Texas. The cement grade limestone reserves used for cement producton at the South Texas producton facility were included with the divestture to CRH Americas Materials, Inc. During 2021, the Company purchased two cement plants in Redding and Tehachapi, California, and related distributon facilites as part of the acquisiton of Lehigh Hanson, Inc.'s West Region business (Lehigh West Region). The Redding plant and related distributon terminals were sold on June 30, 2022. The Tehachapi plant was sold on October 31, 2023.</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Ready mixed concrete is measured in cubic yards and specifcally batched or produced for customers’ constructon projects and then typically transported by mixer trucks and poured at the project site. The coarse aggregates used for ready mixed concrete are a washed material with limited amounts of fnes (</w:t>
      </w:r>
      <w:r>
        <w:rPr>
          <w:rFonts w:ascii="Calibri" w:cs="Calibri" w:eastAsia="Calibri" w:hAnsi="Calibri"/>
          <w:sz w:val="18"/>
          <w:szCs w:val="18"/>
          <w:i w:val="1"/>
          <w:iCs w:val="1"/>
          <w:color w:val="auto"/>
        </w:rPr>
        <w:t>i.e.</w:t>
      </w:r>
      <w:r>
        <w:rPr>
          <w:rFonts w:ascii="Calibri" w:cs="Calibri" w:eastAsia="Calibri" w:hAnsi="Calibri"/>
          <w:sz w:val="18"/>
          <w:szCs w:val="18"/>
          <w:color w:val="auto"/>
        </w:rPr>
        <w:t>, dirt and clay). The Company operates ready mixed concrete plants in Arizona and Texas.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Asphalt is most commonly used in surfacing roads and parking lots and consists of liquid asphalt, or bitumen, the binding medium, and aggregates. Similar to ready mixed concrete, each asphalt batch is produced to customer specifcatons. The Company’s asphalt operatons are located in Arizona, California, Colorado and Minnesota and paving services are ofered in California and Colorado.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3" w:name="page44"/>
    <w:bookmarkEnd w:id="43"/>
    <w:p>
      <w:pPr>
        <w:ind w:left="37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6"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Market dynamics for the downstream ready mixed concrete and asphalt product lines include a highly compettve environment and lower barriers to entry compared with the Company’s upstream product lines of aggregates and cement.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End-Use Trends</w:t>
      </w:r>
    </w:p>
    <w:p>
      <w:pPr>
        <w:spacing w:after="0" w:line="72" w:lineRule="exact"/>
        <w:rPr>
          <w:sz w:val="20"/>
          <w:szCs w:val="20"/>
          <w:color w:val="auto"/>
        </w:rPr>
      </w:pPr>
    </w:p>
    <w:p>
      <w:pPr>
        <w:jc w:val="both"/>
        <w:ind w:left="900" w:hanging="271"/>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According to the latest available data published by the U.S. Geological Survey, for the nine months ended September 30, 2023, estmated constructon aggregates consumpton decreased slightly compared with the nine months ended September 30, 2022, and for the eleven months ended November 30, 2023, cement consumpton decreased slightly versus the comparable prior-year period.</w:t>
      </w:r>
    </w:p>
    <w:p>
      <w:pPr>
        <w:spacing w:after="0" w:line="70" w:lineRule="exact"/>
        <w:rPr>
          <w:rFonts w:ascii="Times New Roman" w:cs="Times New Roman" w:eastAsia="Times New Roman" w:hAnsi="Times New Roman"/>
          <w:sz w:val="18"/>
          <w:szCs w:val="18"/>
          <w:color w:val="auto"/>
        </w:rPr>
      </w:pPr>
    </w:p>
    <w:p>
      <w:pPr>
        <w:ind w:left="900" w:right="20" w:hanging="271"/>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Natonal not-seasonally-adjusted constructon spending statstcs for the twelve months ended December 31, 2023 versus the twelve months ended December 31, 2022, according to U.S. Census Bureau, reveal:</w:t>
      </w:r>
    </w:p>
    <w:p>
      <w:pPr>
        <w:spacing w:after="0" w:line="64" w:lineRule="exact"/>
        <w:rPr>
          <w:rFonts w:ascii="Times New Roman" w:cs="Times New Roman" w:eastAsia="Times New Roman" w:hAnsi="Times New Roman"/>
          <w:sz w:val="18"/>
          <w:szCs w:val="18"/>
          <w:color w:val="auto"/>
        </w:rPr>
      </w:pPr>
    </w:p>
    <w:p>
      <w:pPr>
        <w:ind w:left="1400" w:hanging="206"/>
        <w:spacing w:after="0"/>
        <w:tabs>
          <w:tab w:leader="none" w:pos="1400" w:val="left"/>
        </w:tabs>
        <w:numPr>
          <w:ilvl w:val="1"/>
          <w:numId w:val="17"/>
        </w:numPr>
        <w:rPr>
          <w:rFonts w:ascii="Arial" w:cs="Arial" w:eastAsia="Arial" w:hAnsi="Arial"/>
          <w:sz w:val="18"/>
          <w:szCs w:val="18"/>
          <w:color w:val="auto"/>
        </w:rPr>
      </w:pPr>
      <w:r>
        <w:rPr>
          <w:rFonts w:ascii="Calibri" w:cs="Calibri" w:eastAsia="Calibri" w:hAnsi="Calibri"/>
          <w:sz w:val="18"/>
          <w:szCs w:val="18"/>
          <w:i w:val="1"/>
          <w:iCs w:val="1"/>
          <w:color w:val="auto"/>
        </w:rPr>
        <w:t>Total value of constructon put in place increased 7%</w:t>
      </w:r>
    </w:p>
    <w:p>
      <w:pPr>
        <w:spacing w:after="0" w:line="63" w:lineRule="exact"/>
        <w:rPr>
          <w:rFonts w:ascii="Arial" w:cs="Arial" w:eastAsia="Arial" w:hAnsi="Arial"/>
          <w:sz w:val="18"/>
          <w:szCs w:val="18"/>
          <w:color w:val="auto"/>
        </w:rPr>
      </w:pPr>
    </w:p>
    <w:p>
      <w:pPr>
        <w:ind w:left="1400" w:hanging="206"/>
        <w:spacing w:after="0"/>
        <w:tabs>
          <w:tab w:leader="none" w:pos="1400" w:val="left"/>
        </w:tabs>
        <w:numPr>
          <w:ilvl w:val="1"/>
          <w:numId w:val="17"/>
        </w:numPr>
        <w:rPr>
          <w:rFonts w:ascii="Arial" w:cs="Arial" w:eastAsia="Arial" w:hAnsi="Arial"/>
          <w:sz w:val="18"/>
          <w:szCs w:val="18"/>
          <w:color w:val="auto"/>
        </w:rPr>
      </w:pPr>
      <w:r>
        <w:rPr>
          <w:rFonts w:ascii="Calibri" w:cs="Calibri" w:eastAsia="Calibri" w:hAnsi="Calibri"/>
          <w:sz w:val="18"/>
          <w:szCs w:val="18"/>
          <w:i w:val="1"/>
          <w:iCs w:val="1"/>
          <w:color w:val="auto"/>
        </w:rPr>
        <w:t>Public constructon spending increased 16%</w:t>
      </w:r>
    </w:p>
    <w:p>
      <w:pPr>
        <w:spacing w:after="0" w:line="63" w:lineRule="exact"/>
        <w:rPr>
          <w:rFonts w:ascii="Arial" w:cs="Arial" w:eastAsia="Arial" w:hAnsi="Arial"/>
          <w:sz w:val="18"/>
          <w:szCs w:val="18"/>
          <w:color w:val="auto"/>
        </w:rPr>
      </w:pPr>
    </w:p>
    <w:p>
      <w:pPr>
        <w:ind w:left="1400" w:hanging="206"/>
        <w:spacing w:after="0"/>
        <w:tabs>
          <w:tab w:leader="none" w:pos="1400" w:val="left"/>
        </w:tabs>
        <w:numPr>
          <w:ilvl w:val="1"/>
          <w:numId w:val="17"/>
        </w:numPr>
        <w:rPr>
          <w:rFonts w:ascii="Arial" w:cs="Arial" w:eastAsia="Arial" w:hAnsi="Arial"/>
          <w:sz w:val="18"/>
          <w:szCs w:val="18"/>
          <w:color w:val="auto"/>
        </w:rPr>
      </w:pPr>
      <w:r>
        <w:rPr>
          <w:rFonts w:ascii="Calibri" w:cs="Calibri" w:eastAsia="Calibri" w:hAnsi="Calibri"/>
          <w:sz w:val="18"/>
          <w:szCs w:val="18"/>
          <w:i w:val="1"/>
          <w:iCs w:val="1"/>
          <w:color w:val="auto"/>
        </w:rPr>
        <w:t>Private nonresidental constructon market spending increased 22%</w:t>
      </w:r>
    </w:p>
    <w:p>
      <w:pPr>
        <w:spacing w:after="0" w:line="63" w:lineRule="exact"/>
        <w:rPr>
          <w:rFonts w:ascii="Arial" w:cs="Arial" w:eastAsia="Arial" w:hAnsi="Arial"/>
          <w:sz w:val="18"/>
          <w:szCs w:val="18"/>
          <w:color w:val="auto"/>
        </w:rPr>
      </w:pPr>
    </w:p>
    <w:p>
      <w:pPr>
        <w:ind w:left="1400" w:hanging="206"/>
        <w:spacing w:after="0"/>
        <w:tabs>
          <w:tab w:leader="none" w:pos="1400" w:val="left"/>
        </w:tabs>
        <w:numPr>
          <w:ilvl w:val="1"/>
          <w:numId w:val="17"/>
        </w:numPr>
        <w:rPr>
          <w:rFonts w:ascii="Arial" w:cs="Arial" w:eastAsia="Arial" w:hAnsi="Arial"/>
          <w:sz w:val="18"/>
          <w:szCs w:val="18"/>
          <w:color w:val="auto"/>
        </w:rPr>
      </w:pPr>
      <w:r>
        <w:rPr>
          <w:rFonts w:ascii="Calibri" w:cs="Calibri" w:eastAsia="Calibri" w:hAnsi="Calibri"/>
          <w:sz w:val="18"/>
          <w:szCs w:val="18"/>
          <w:i w:val="1"/>
          <w:iCs w:val="1"/>
          <w:color w:val="auto"/>
        </w:rPr>
        <w:t>Private residental constructon market spending decreased 6%</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principal end-use markets of the Building Materials business are public infrastructure (</w:t>
      </w:r>
      <w:r>
        <w:rPr>
          <w:rFonts w:ascii="Calibri" w:cs="Calibri" w:eastAsia="Calibri" w:hAnsi="Calibri"/>
          <w:sz w:val="18"/>
          <w:szCs w:val="18"/>
          <w:i w:val="1"/>
          <w:iCs w:val="1"/>
          <w:color w:val="auto"/>
        </w:rPr>
        <w:t>i.e.</w:t>
      </w:r>
      <w:r>
        <w:rPr>
          <w:rFonts w:ascii="Calibri" w:cs="Calibri" w:eastAsia="Calibri" w:hAnsi="Calibri"/>
          <w:sz w:val="18"/>
          <w:szCs w:val="18"/>
          <w:color w:val="auto"/>
        </w:rPr>
        <w:t>, highways; streets; roads; bridges; and schools); nonresidental constructon (</w:t>
      </w:r>
      <w:r>
        <w:rPr>
          <w:rFonts w:ascii="Calibri" w:cs="Calibri" w:eastAsia="Calibri" w:hAnsi="Calibri"/>
          <w:sz w:val="18"/>
          <w:szCs w:val="18"/>
          <w:i w:val="1"/>
          <w:iCs w:val="1"/>
          <w:color w:val="auto"/>
        </w:rPr>
        <w:t>i.e.</w:t>
      </w:r>
      <w:r>
        <w:rPr>
          <w:rFonts w:ascii="Calibri" w:cs="Calibri" w:eastAsia="Calibri" w:hAnsi="Calibri"/>
          <w:sz w:val="18"/>
          <w:szCs w:val="18"/>
          <w:color w:val="auto"/>
        </w:rPr>
        <w:t>, manufacturing and distributon facilites; industrial complexes; ofce buildings; large retailers and wholesalers; healthcare; hospitality; and energy-related actvity); and residental constructon (</w:t>
      </w:r>
      <w:r>
        <w:rPr>
          <w:rFonts w:ascii="Calibri" w:cs="Calibri" w:eastAsia="Calibri" w:hAnsi="Calibri"/>
          <w:sz w:val="18"/>
          <w:szCs w:val="18"/>
          <w:i w:val="1"/>
          <w:iCs w:val="1"/>
          <w:color w:val="auto"/>
        </w:rPr>
        <w:t>i.e.</w:t>
      </w:r>
      <w:r>
        <w:rPr>
          <w:rFonts w:ascii="Calibri" w:cs="Calibri" w:eastAsia="Calibri" w:hAnsi="Calibri"/>
          <w:sz w:val="18"/>
          <w:szCs w:val="18"/>
          <w:color w:val="auto"/>
        </w:rPr>
        <w:t>, subdivision development; and single- and mult-family housing). Aggregates are also used in agricultural, utlity and environmental applicatons and as railroad ballast, collectvely comprising the ChemRock/Rail market.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Public infrastructure projects can require several years to complete, while residental and nonresidental constructon projects are usually completed within one year. Generally, customer purchase orders do not contain frm quantty commitments, regardless of end-use market. Therefore, management does not utlize a Company backlog in managing its business.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Infrastructure</w:t>
      </w:r>
    </w:p>
    <w:p>
      <w:pPr>
        <w:spacing w:after="0" w:line="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public infrastructure market accounted for 36% of the Company’s aggregates shipments in 2023. The Company’s shipments to this end-use market are in line with the most recent fve-year average of 35% but remain slightly below the most recent ten-year average of 38%.</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Public constructon projects, once awarded, are typically seen through to completon. Thus, delays from weather or other factors can serve to extend the duraton of the constructon cycle. While constructon spending in the public and private market sectors is afected by economic cycles, public infrastructure spending has been comparatvely more stable due to the predictability of funding from federal, state and local governments. The Infrastructure Investments and Jobs Act (IIJ Act) was signed into law on November 15, 2021 and contains a fve-year surface transportaton reauthorizaton plus $110 billion in new funding for roads, bridges and other hard infrastructure projects.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State and local initatves that support infrastructure funding, including gas tax increases, new funding mechanisms and other ballot initatves, are increasing in size and number as these governments recognize the need for their expanded role in public infrastructure funding. In November 2023, 248 state and local ballot initatves, or 88% of all infrastructure funding measures up for vote, were approved. These approved infrastructure initatves are estmated to generate $7.0 billion in one-tme and recurring revenues, with initatves in Texas, the Company’s largest revenue-generatng state, accountng for $4.2 billion of this total.</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Nonresidental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nonresidental constructon market accounted for 35% of the Company’s aggregates shipments in 2023. Large industrial projects of scale led by energy and domestc manufacturing contnue to lead the segment, accountng for the majority of total nonresidental shipments. The Company contnues to expect enhanced federal investment from the Infaton Reducton Act and the Creatng Helpful Incentves to Produce Semiconductors, or CHIPS Act, will further support and accelerate growth trends in this end use, including restructured manufacturing and energy supply chains and electric vehicle transiton. While light nonresidental demand remained resilient through 2023 despite higher interest rates, high ofce vacancy rates and tghter commercial lending conditons, the Company expects 2024 demand in this segment to moderate, as it generally follows single-family residental development with a lag.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94615</wp:posOffset>
            </wp:positionV>
            <wp:extent cx="325755" cy="196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4" w:name="page45"/>
    <w:bookmarkEnd w:id="44"/>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Residental</w:t>
      </w:r>
    </w:p>
    <w:p>
      <w:pPr>
        <w:spacing w:after="0" w:line="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residental constructon market accounted for 24% of the Company’s aggregates shipments in 2023. This end use typically moves in direct correlaton with economic cycles. The Company’s exposure to residental constructon is split between aggregates used in the constructon of subdivisions (including streets, sidewalks, utlites and storm and sewage drainage), single-family homes and mult-family units. Constructon of both subdivisions and single-family homes is nearly three tmes more aggregates intensive than constructon of mult-family units. Therefore, the level of new subdivision starts, as well as new single-family housing permits, is a strong leading indicator of residental volumes. For the year ended December 31, 2023, not seasonally-adjusted natonal housing starts decreased 9% to 1.41 million units compared with 2022 and not-seasonally-adjusted natonal housing permits decreased 12% versus 2022. As interest rates stabilize and afordability headwinds recede, the Company expects single-family residental constructon to recover as demand stll far exceeds supply, partcularly in the Company's key markets.</w:t>
      </w:r>
    </w:p>
    <w:p>
      <w:pPr>
        <w:spacing w:after="0" w:line="21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ChemRock/Rail</w:t>
      </w:r>
    </w:p>
    <w:p>
      <w:pPr>
        <w:spacing w:after="0" w:line="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remaining 5% of the Company’s 2023 aggregates shipments was to the ChemRock/Rail market, which includes ballast and agricultural limestone. Ballast is an aggregates product used to stabilize railroad track beds. Agricultural lime, a high-calcium carbonate material, is used as a supplement in animal feed, a soil acidity neutralizer and agricultural growth enhancer. Additonally, ChemRock/Rail includes rip rap (used as a stabilizing material to control erosion caused by water runof at embankments, ocean beaches, inlets, rivers and streams), and high-calcium limestone (used as fller in glass, plastc, paint, rubber, adhesives, grease and paper). Chemical-grade, high-calcium limestone is used as a desulfurizaton material in utlity plants.</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Pricing Trends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Materials pricing for constructon projects is generally based on terms commitng to the availability of specifed products of a stated quantty at an agreed-upon price during a defnitve period. Since infrastructure projects span multple years, announced price changes can have a lag tme before taking efect while the Company sells products under existng price agreements. Pricing escalators included in mult-year infrastructure contracts serve to somewhat mitgate this efect. However, during periods of sharp or rapid increases in producton costs, mult-year infrastructure contract pricing may provide only nominal pricing growth. Additonally, the Company may implement multple price increases throughout the year, on a market-by-market basis, where appropriate, as was done in 2023 and 2022. Pricing is determined locally and is afected by supply and demand characteristcs of the local market. For further informaton on pricing, see the discussion in the </w:t>
      </w:r>
      <w:r>
        <w:rPr>
          <w:rFonts w:ascii="Calibri" w:cs="Calibri" w:eastAsia="Calibri" w:hAnsi="Calibri"/>
          <w:sz w:val="18"/>
          <w:szCs w:val="18"/>
          <w:i w:val="1"/>
          <w:iCs w:val="1"/>
          <w:color w:val="auto"/>
        </w:rPr>
        <w:t>Financial Overview</w:t>
      </w:r>
      <w:r>
        <w:rPr>
          <w:rFonts w:ascii="Calibri" w:cs="Calibri" w:eastAsia="Calibri" w:hAnsi="Calibri"/>
          <w:sz w:val="18"/>
          <w:szCs w:val="18"/>
          <w:color w:val="auto"/>
        </w:rPr>
        <w:t xml:space="preserve"> secton.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86360</wp:posOffset>
            </wp:positionV>
            <wp:extent cx="5511800" cy="30772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1180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5" w:name="page46"/>
    <w:bookmarkEnd w:id="45"/>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Cost Structure</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Costs of revenues for the Building Materials business are components of costs incurred at the quarries, mines, cement plants, ready mixed concrete plants, asphalt plants, paving operatons and distributon yards and facilites. Cost of revenues also includes the cost of resale materials, freight expenses to transport materials from a producing quarry or cement plant to a distributon yard or facility (internal freight), third-party freight and delivery costs incurred by the Company and then billed to customers (external freight) and producton overhead costs.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Generally, the signifcant components of cost of revenues for the aggregates product line are (1) labor and benefts; (2) internal freight; (3) repairs and maintenance; (4) depreciaton, depleton and amortzaton; (5) external freight; (6) supplies; (7) energy; and (8) contract services. In 2023, these categories represented 86% of the aggregates product line's total cost of revenues, excluding inventory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84455</wp:posOffset>
            </wp:positionV>
            <wp:extent cx="3017520" cy="27000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01752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Variable costs are expenses that fuctuate with the level of producton volume, while fxed costs are expenses that do not vary based on producton or sales volume. Producton is the key driver in determining the levels of variable costs, as it afects the number of hourly employees and related labor hours. Further, components of energy, supplies and repairs and maintenance costs also increase in connecton with higher producton volumes. Accordingly, the Company’s operatng leverage can be substantal.</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Generally, when the Company invests capital in facilites and equipment, increased capacity and productvity reduce labor and repair costs, and can ofset increased fxed depreciaton costs. However, the increased productvity and related efciencies may not be fully realized in a lower-demand environment, resultng in under-absorpton of fxed costs.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Wage and beneft infaton and other increases in labor costs may be somewhat mitgated by enhanced productvity in an expanding economy. During economic downturns, the Company reviews its operatons and, where practcal, temporarily idles certain sites. The Company is able to serve these markets with other open facilites that are in close proximity. In certain markets, management can create producton “super crews” that work on a rotatng basis at various locatons. For example, within a market, a crew may work three days per week at one quarry and the other two workdays at another quarry. This has allowed the Company to responsibly manage headcount in periods of lower demand.</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producton is a capital-intensive operaton with high fxed costs to run plants that operate contnuously with the excepton of maintenance shutdowns. Kiln and fnishing mill maintenance typically requires a plant to be shut down for a period of tme as repairs are made. In 2023 and 2022, the cement operatons incurred outage costs of $38.4 million and $33.3 million, respectvely. The increase in outage costs in 2023 compared with 2022 is primarily atributable to frst-tme work on a clinker cooler and partal shell replacements in two kilns. The Company adjusts producton levels in antcipaton of planned maintenance shutdowns.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6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6" w:name="page47"/>
    <w:bookmarkEnd w:id="46"/>
    <w:p>
      <w:pPr>
        <w:ind w:left="37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producton of ready mixed concrete and asphalt requires the use of cement and liquid asphalt raw materials, respectvely. Therefore, fuctuatons in availability and prices for these raw materials directly afect the Company’s operatng results.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Typically, diesel fuel represents the single-largest component of energy costs for the Building Materials business. The average cost per gallon was $3.25 and $4.01 in 2023 and 2022, respectvely. Changes in energy costs also afect the prices that the Company pays for related supplies, including explosives, conveyor beltng and tres. Further, the Company’s contracts for shipping products on its rail and waterborne distributon network typically include provisions for escalatons or reductons in the amounts paid by the Company if the price of fuel moves outside a stated range.</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Building Materials Business’ Key Consideratons</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Growth markets with limited supply of indigenous stone must be served via a long-haul distributon network</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U.S. Department of the Interior identfed possible sources of indigenous rock and documented its limited supply in certain areas of the United States, including the coastal areas from Virginia to Texas. Further, certain interior United States markets may experience limited availability of locally sourced aggregates resultng from increasingly restrictve zoning, permitng and/or environmental laws and regulatons. The Company’s long-haul distributon network is used to supplement, or in many cases, wholly supply, the local crushed stone needs of these areas and provides the Company with the fexibility to efectvely serve customers primarily in the Southwest and Southeast coastal markets.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long-haul distributon network can also diversify market risk for locatons that engage in long-haul transportaton of aggregates products. This is partcularly true where a producing quarry serves a local market and transports products via rail, water and/or truck to be sold in other markets. The risk of a downturn in one market may be somewhat mitgated by other markets served by the locaton.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Product shipments are moved by rail, water and truck through the Company’s long-haul distributon network. The Company’s rail network primarily serves its Texas, Florida, North Carolina, Colorado and Gulf Coast markets, while the Company’s Bahamas and Nova Scota locatons transport materials via oceangoing ships. The Company’s strategic focus includes expanding inland and ofshore capacity and acquiring distributon yards and port locatons to ofoad transported material. As of December 31, 2023, the Company's distributon network consisted of 76 aggregates yards and 5 cement terminals.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85090</wp:posOffset>
            </wp:positionV>
            <wp:extent cx="4037330" cy="27863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037330"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rail shipments result in contnued reliance on railroad operatons, including track congeston, crew and locomotve availability, the efects of adverse weather conditons and the ability to negotate favorable railroad shipping contracts. Further, changes in the operatng strategy of rail transportaton providers can create operatonal inefciencies and increased costs from the Company’s rail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74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7" w:name="page48"/>
    <w:bookmarkEnd w:id="47"/>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porton of railcars and all ships in the Company’s long-haul distributon network are under short- and long-term leases, some with purchase optons, and contracts of afreightment. The limited availability of water and rail transportaton providers, coupled with limited distributon sites, can adversely afect lease rates for such services and ultmately the freight rates.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long-term agreements providing dedicated shipping capacity from its Bahamas and Nova Scota operatons to its coastal ports that expire in 2026 and 2027, respectvely. These contracts of afreightment are take-or-pay contracts with minimum and maximum shipping requirements. The minimum requirements were met in 2023. There can be no assurance that such contracts will be renewed upon expiraton or that terms will contnue without signifcant increases.</w:t>
      </w:r>
    </w:p>
    <w:p>
      <w:pPr>
        <w:spacing w:after="0" w:line="227" w:lineRule="exact"/>
        <w:rPr>
          <w:sz w:val="20"/>
          <w:szCs w:val="20"/>
          <w:color w:val="auto"/>
        </w:rPr>
      </w:pPr>
    </w:p>
    <w:p>
      <w:pPr>
        <w:jc w:val="both"/>
        <w:spacing w:after="0" w:line="235" w:lineRule="auto"/>
        <w:rPr>
          <w:sz w:val="20"/>
          <w:szCs w:val="20"/>
          <w:color w:val="auto"/>
        </w:rPr>
      </w:pPr>
      <w:r>
        <w:rPr>
          <w:rFonts w:ascii="Calibri" w:cs="Calibri" w:eastAsia="Calibri" w:hAnsi="Calibri"/>
          <w:sz w:val="22"/>
          <w:szCs w:val="22"/>
          <w:b w:val="1"/>
          <w:bCs w:val="1"/>
          <w:i w:val="1"/>
          <w:iCs w:val="1"/>
          <w:color w:val="965F6E"/>
        </w:rPr>
        <w:t>Public infrastructure, historically, the Company’s largest end-use market, is funded through a combinaton of federal, state and local sources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Transportaton investments generally boost the economy by creatng jobs and enhancing mobility and access, which are priorites of many of the government’s economic plans. Public-sector constructon related to transportaton infrastructure is funded through a combinaton of federal, state and local sources. The federal highway bill, currently the IIJ Act, provides annual funding for public-sector highway constructon projects and includes spending authorizatons, which represent the maximum fnancial obligaton that will result from the immediate or future outlays of federal funds for highway and transit programs. The federal government’s surface transportaton programs are funded mostly through the receipts of highway user taxes placed in the Highway Trust Fund, which is divided into the Highway Account and the Mass Transit Account. Revenues credited to the Highway Trust Fund are primarily derived from a federal gas tax, a federal tax on certain other motor fuels and interest on the accounts’ accumulated balances. Of the currently imposed federal gas tax of $0.184 per gallon, which has been statc since 1993, $0.15 is allocated to the Highway Account of the Highway Trust Fund.</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Since most states are required to balance their budgets, reductons in revenues generally require a reducton in states’ expenditures. However, the impact of state revenue reductons on highway investment will vary depending on whether the monies come from dedicated revenue sources, such as highway user fees, or whether portons are paid for with general funds.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federal appropriatons, each state typically funds its infrastructure investment from specifcally allocated amounts collected from various user fees, typically gasoline taxes and vehicle fees. States have assumed a signifcantly larger role in funding infrastructure investment, including initatng special-purpose taxes and raising state gas taxes. Management believes that fnancing at the state and local levels, such as bond issuances, toll roads, vehicle miles traveled fees and tax initatves, will contnue to grow and have a fundamental role in advancing infrastructure projects. State infrastructure investment generally leads to increased growth opportunites for the Company. The level of state public-works spending is varied across the naton and dependent upon individual state economies, and the degree to which the Company could be afected by a reducton or slowdown in infrastructure spending varies by state. The state economies of the Building Materials business’ ten largest revenue-generatng states may disproportonately afect the Company’s fnancial performance.</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Governmental appropriatons and expenditures are typically less interest rate-sensitve than private-sector spending. Obligatons of federal funds are a leading indicator of highway constructon actvity in the United States. Before a state or local department of transportaton can solicit bids on an eligible constructon project, it enters into an agreement with the Federal Highway Administraton to obligate the federal government to pay its porton of the project cost. Federal obligatons are subject to annual funding appropriatons by Congress.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need for surface transportaton improvements contnues to signifcantly outpace the amount of available funding. A large number of roads, highways and bridges built following the establishment of the Interstate Highway System in 1956 now require major repair or reconstructon. According to the latest informaton available from The Road Informaton Program (TRIP), a natonal transportaton research group, vehicle travel on the naton's roads increased 18% from 2000 to 2022, while new lane road mileage increased only 9% over a similar period. TRIP also reports that 40% of the naton’s major roads are in poor or mediocre conditon, while 7% of the naton’s bridges are in poor/structurally defcient conditon. Additonally, there is an estmated backlog of $123 billion of improvements to the naton’s highway system that requires an increase in annual investment from $23 billion to $57 billion for the next 20 years to address these improvements and meet mobility and modernizaton needs. Management believes infrastructure actvity for 2024 and beyond should beneft from the IIJ Act and additonal state and local infrastructure initatves.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highways and bridges, transportaton infrastructure includes aviaton, mass transit, ports and waterways. Railroad constructon contnues to beneft from economic growth, which ultmately generates a need for additonal maintenance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8" w:name="page49"/>
    <w:bookmarkEnd w:id="48"/>
    <w:p>
      <w:pPr>
        <w:ind w:left="37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223"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Erratc weather can signifcantly impact operatons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Producton and shipment levels for the Building Materials business correlate with general constructon actvity, most of which occurs outdoors and, as a result, is afected by erratc weather, seasonal changes and other climate-related conditons. Typically, due to a general slowdown in constructon actvity during winter months, the frst and fourth quarters experience lower producton and shipment actvity. As such, temperatures in the months of March and November can meaningfully afect the Company’s frst- and fourth-quarter results, respectvely, where warm and/or moderate temperatures in March and November allow the constructon season to start earlier and end later, respectvely. Additonally, extreme heat during summer months can impact constructon actvites, as outdoor work may be limited to protect the health and safety of constructon workers.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Excessive rainfall jeopardizes producton efciencies, shipments and proftability in all markets served by the Company. In partcular, the Company’s operatons in the Atlantc and Gulf Coast regions of the United States and The Bahamas are at risk for hurricane actvity from June through November, but most notably in August, September and October. The Company’s California operatons are at risk for fooding, wildfre actvity and water use restrictons in severe drought conditons. Increased intensity and frequency of extreme weather events have been linked to climate change, and further global warming may increase the risk of adverse weather conditons.</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Capital investment decisions driven by capital intensity of the Building Materials business and focus on land</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organic capital program is designed to leverage constructon market growth through investment in both permanent and portable facilites at the Company’s operatons. Over an economic cycle, the Company typically invests organic capital at an annual level that approximates depreciaton expense. At mid-cycle and through cyclical peaks, organic capital investment typically exceeds depreciaton expense, as the Company supports current capacity needs and future growth. Conversely, at a cyclical trough, the Company may reduce levels of capital investment. Regardless of cycle, the Company sets a priority of investng capital to ensure safe, environmentally sound and efcient operatons, as well as to provide the highest quality of customer service and establish a foundaton for future growth.</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is diligent in its focus on land opportunites, including potental new sites (greensites) and existng site expansion. Land purchases are usually opportunistc and can include contguous property around existng quarry locatons. Such property can serve as bufer property or additonal mineral reserves, assuming regulatory hurdles can be cleared and the underlying geology supports economical aggregates mining. In either instance, the acquisiton of additonal property around an existng quarry typically allows the expansion of the quarry footprint and an extension of quarry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230505</wp:posOffset>
            </wp:positionV>
            <wp:extent cx="325755" cy="196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66"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49" w:name="page50"/>
    <w:bookmarkEnd w:id="49"/>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Magnesia Specialtes Business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Magnesia Specialtes business manufactures magnesia-based chemicals products for industrial, agricultural and environmental applicatons at its Manistee, Michigan facility. The Magnesia Specialtes business produces and sells dolomitc lime from its Woodville, Ohio facility. Of 2023 total Magnesia Specialtes revenues, 66% was atributable to chemicals products, 33% was atributable to lime and 1% was atributable to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84455</wp:posOffset>
            </wp:positionV>
            <wp:extent cx="3094355" cy="22631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09435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2023, 78% of lime shipments was sold to third-party customers, while the remaining 22% was used internally as a raw material for the manufacturing of chemicals products. Dolomitc lime products sold to external customers are primarily used by the domestc steel industry and, overall, 38% of Magnesia Specialtes’ 2023 total revenues was related to products used in the steel industry. Accordingly, a porton of the segment’s revenues and profts is afected by producton and inventory trends within the steel industry, which are guided by the rate of consumer consumpton, the fow of ofshore imports and other economic factors. The dolomitc lime business runs most proftably at 70% or greater steel capacity utlizaton. Domestc steel producton averaged 74% of capacity in 2023 and 75% in 2022. The chemical products business focuses on higher-margin specialty chemicals that can be produced at volumes that support efcient operatons.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total revenues of the Magnesia Specialtes business were predominantly derived from domestc customers in 2023, fnancial results can be afected by foreign currency exchange rates, increasing transportaton costs or weak economic conditons in foreign markets. To mitgate the short-term efect of currency exchange rates, foreign transactons are denominated in United States dollars.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signifcant porton of the Magnesia Specialtes business’ costs is of a fxed or semi-fxed nature. The producton process requires the use of natural gas, coal and petroleum coke; therefore, fuctuatons in their pricing directly afect operatng results. To help mitgate this risk, the Company has fxed-price agreements for 81% of its 2024 energy needs for coal, petroleum coke and natural gas. For 2023, the segment’s average cost per MMBtu (1,000,000 Britsh thermal units) of natural gas decreased 19% versus 2022. Given high fxed costs, low capacity utlizaton can negatvely afect the segment’s results of operatons. Management expects future organic proft growth to result from increased pricing, commercializaton of new products, entry into new markets and optmizaton of overall product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94615</wp:posOffset>
            </wp:positionV>
            <wp:extent cx="325755" cy="196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0" w:name="page51"/>
    <w:bookmarkEnd w:id="50"/>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124460</wp:posOffset>
            </wp:positionV>
            <wp:extent cx="3034665" cy="26403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3466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Magnesia Specialtes business is highly dependent on rail transportaton, partcularly for movement of dolomitc lime from Woodville to Manistee and direct customer shipments of dolomitc lime and magnesia chemicals products from both Woodville and Manistee. The segment can be afected by the risks mentoned in the long-haul distributon discussion in the </w:t>
      </w:r>
      <w:r>
        <w:rPr>
          <w:rFonts w:ascii="Calibri" w:cs="Calibri" w:eastAsia="Calibri" w:hAnsi="Calibri"/>
          <w:sz w:val="18"/>
          <w:szCs w:val="18"/>
          <w:i w:val="1"/>
          <w:iCs w:val="1"/>
          <w:color w:val="auto"/>
        </w:rPr>
        <w:t>Building Materials Business’ Key Consideratons</w:t>
      </w:r>
      <w:r>
        <w:rPr>
          <w:rFonts w:ascii="Calibri" w:cs="Calibri" w:eastAsia="Calibri" w:hAnsi="Calibri"/>
          <w:sz w:val="18"/>
          <w:szCs w:val="18"/>
          <w:color w:val="auto"/>
        </w:rPr>
        <w:t xml:space="preserve"> secton.</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Environmental Regulaton and Litgaton</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expansion and growth of the aggregates industry is subject to increasing challenges from environmental and politcal advocates aiming to control the pace and directon of future development. Certain environmental groups have published lists of targeted municipal areas, including areas within the Company’s marketplace, for environmental and suburban growth control. The efect of these initatves on the Company’s growth is typically localized. Further challenges are expected as the momentum of these initatves ebb and fow. Rail and other transportaton alternatves are being heralded by these special-interest groups as solutons to mitgate road trafc congeston and overcrowding.</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operatons are subject to and afected by federal, state and local laws, rules and regulatons relatng to the environment, health and safety and other regulatory maters. Certain of the Company’s operatons may occasionally use substances classifed as toxic or hazardous. The Company regularly monitors and reviews its operatons, procedures and policies for compliance with these laws and regulatons. Despite these compliance eforts, risk of environmental liability is inherent in the operaton of the Company’s businesses, as it is with other companies engaged in similar businesses.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Environmental operatng permits are, or may be, required for certain of the Company’s operatons; such permits are subject to modifcaton, renewal and revocaton. New permits are generally required for opening new sites or for expansion at existng operatons and can take several years to obtain. Moreover, land use, rezoning and special or conditonal use permits are increasingly difcult to obtain. Once a permit is issued, the locaton is required to generally operate in accordance with the approved site plan.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Clean Air Act, originally passed in 1963 and periodically updated by amendments, is the United States’ natonal air polluton control program that granted the United States Environmental Protecton Agency (USEPA) authority to set limits on the level of various air pollutants. To be in compliance with Natonal Ambient Air Quality Standards, a defned geographic area must be below established limits for six pollutants. Environmental groups have been successful in lawsuits against the federal and certain state departments of transportaton, delaying highway constructon in municipal areas not in compliance with the Clean Air Act. The USEPA designates geographic areas as nonatainment areas when the level of air pollutants exceeds the natonal standard. Nonatainment areas receive deadlines to reduce air pollutants by insttutng various control strategies or otherwise face fnes or control by the USEPA. Included as nonatainment areas are several major metropolitan areas in the Company’s markets, such as Houston/Brazoria/Galveston, Texas; Dallas/Fort Worth, Texas; Bexar County in San Antonio/New Braunfels, Texas; Denver, Colorado; Boulder, Colorado; Fort Collins/Greeley/Loveland, Colorado; Atlanta, Georgia; Baltmore, 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96520</wp:posOffset>
            </wp:positionV>
            <wp:extent cx="325755" cy="1968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1" w:name="page52"/>
    <w:bookmarkEnd w:id="51"/>
    <w:p>
      <w:pPr>
        <w:ind w:left="37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Los Angeles-San Bernardino Countes, California; Los Angeles – South Coast Basin, California; Phoenix/Mesa, Arizona; San Diego County, California; San Francisco Bay Area, California; San Joaquin Valley, California; and Sacramento County, California. Federal transportaton funding has been directly ted to compliance with the Clean Air Act.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Large emiters (facilites that emit 25,000 metric tons or more per year) of greenhouse gases (GHG) must report GHG generaton to comply with the USEPA’s Mandatory Greenhouse Gases Reportng Rule (GHG Rule). The Company in 2023 fled annual reports in accordance with the GHG Rule relatng to operatons at its two cement plants in Texas, as well as its Magnesia Specialtes facilites in Woodville, Ohio, and Manistee, Michigan, each of which emit certain GHG, including carbon dioxide, methane and nitrous oxide. If Congress passes additonal legislaton limitng GHG emissions, these operatons will likely be subject to such legislaton. The Company believes that any increased operatng costs or taxes related to GHG emission limitatons at its cement or Woodville operatons would be passed on to its customers. The Manistee facility may have to absorb extra costs due to the regulaton of GHG emissions in order to maintain compettve pricing in its markets. The Company cannot reasonably predict how much those increased costs may be.</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is engaged in certain legal and administratve proceedings incidental to its normal business actvites. In the opinion of management, based upon currently available facts, the likelihood is remote that the ultmate outcome of any litgaton or other proceedings, including those pertaining to environmental maters, relatng to the Company and its subsidiaries, will have a material adverse efect on the overall results of the Company’s operatons, cash fows or fnancial positon.</w:t>
      </w:r>
    </w:p>
    <w:p>
      <w:pPr>
        <w:spacing w:after="0" w:line="21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FINANCIAL OVERVIEW</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2023, the Company achieved record revenues, gross proft, diluted earnings per share and Adjusted EBITDA, extending its track record of proftability growth to twelve consecutve years. This secton presents metrics for contnuing operatons.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Results of Operatons</w:t>
      </w:r>
    </w:p>
    <w:p>
      <w:pPr>
        <w:spacing w:after="0" w:line="113" w:lineRule="exact"/>
        <w:rPr>
          <w:sz w:val="20"/>
          <w:szCs w:val="20"/>
          <w:color w:val="auto"/>
        </w:rPr>
      </w:pPr>
    </w:p>
    <w:p>
      <w:pPr>
        <w:jc w:val="both"/>
        <w:spacing w:after="0" w:line="235" w:lineRule="auto"/>
        <w:rPr>
          <w:rFonts w:ascii="Calibri" w:cs="Calibri" w:eastAsia="Calibri" w:hAnsi="Calibri"/>
          <w:sz w:val="18"/>
          <w:szCs w:val="18"/>
          <w:color w:val="007DC6"/>
        </w:rPr>
      </w:pPr>
      <w:r>
        <w:rPr>
          <w:rFonts w:ascii="Calibri" w:cs="Calibri" w:eastAsia="Calibri" w:hAnsi="Calibri"/>
          <w:sz w:val="18"/>
          <w:szCs w:val="18"/>
          <w:color w:val="auto"/>
        </w:rPr>
        <w:t xml:space="preserve">The discussion and analysis that follow refect management’s assessment of the fnancial conditon and results of operatons (MD&amp;A) of the Company and should be read in conjuncton with the audited consolidated fnancial statements. As discussed in more detail, the Company’s operatng results are highly dependent upon actvity within the constructon marketplace, economic cycles within the public and private business sectors, and seasonal and other weather-related conditons. Accordingly, fnancial results for any year presented, or year-to-year comparisons of reported results, may not be indicatve of future operatng results. As permited by the Securites and Exchange Commission (SEC) under the FAST Act Modernizaton and Simplifcaton of Regulaton S-K, the Company has elected to omit the discussion of the earliest period (2021) presented as it was included in its MD&amp;A in its 2022 Annual Report on Form </w:t>
      </w:r>
      <w:hyperlink r:id="rId201">
        <w:r>
          <w:rPr>
            <w:rFonts w:ascii="Calibri" w:cs="Calibri" w:eastAsia="Calibri" w:hAnsi="Calibri"/>
            <w:sz w:val="18"/>
            <w:szCs w:val="18"/>
            <w:color w:val="auto"/>
          </w:rPr>
          <w:t xml:space="preserve">10-K fled on February 24, 2023, incorporated by reference from </w:t>
        </w:r>
        <w:r>
          <w:rPr>
            <w:rFonts w:ascii="Calibri" w:cs="Calibri" w:eastAsia="Calibri" w:hAnsi="Calibri"/>
            <w:sz w:val="18"/>
            <w:szCs w:val="18"/>
            <w:u w:val="single" w:color="auto"/>
            <w:color w:val="007DC6"/>
          </w:rPr>
          <w:t>Item 7, “Management’s Discussion and Analysis of Financial Conditon and Results of</w:t>
        </w:r>
      </w:hyperlink>
      <w:r>
        <w:rPr>
          <w:rFonts w:ascii="Calibri" w:cs="Calibri" w:eastAsia="Calibri" w:hAnsi="Calibri"/>
          <w:sz w:val="18"/>
          <w:szCs w:val="18"/>
          <w:color w:val="auto"/>
        </w:rPr>
        <w:t xml:space="preserve"> </w:t>
      </w:r>
      <w:hyperlink r:id="rId201">
        <w:r>
          <w:rPr>
            <w:rFonts w:ascii="Calibri" w:cs="Calibri" w:eastAsia="Calibri" w:hAnsi="Calibri"/>
            <w:sz w:val="18"/>
            <w:szCs w:val="18"/>
            <w:u w:val="single" w:color="auto"/>
            <w:color w:val="007DC6"/>
          </w:rPr>
          <w:t>Operatons”</w:t>
        </w:r>
        <w:r>
          <w:rPr>
            <w:rFonts w:ascii="Calibri" w:cs="Calibri" w:eastAsia="Calibri" w:hAnsi="Calibri"/>
            <w:sz w:val="18"/>
            <w:szCs w:val="18"/>
            <w:color w:val="007DC6"/>
          </w:rPr>
          <w:t xml:space="preserve"> </w:t>
        </w:r>
        <w:r>
          <w:rPr>
            <w:rFonts w:ascii="Calibri" w:cs="Calibri" w:eastAsia="Calibri" w:hAnsi="Calibri"/>
            <w:sz w:val="18"/>
            <w:szCs w:val="18"/>
            <w:color w:val="000000"/>
          </w:rPr>
          <w:t>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-152400</wp:posOffset>
            </wp:positionV>
            <wp:extent cx="40233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40233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49974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499745" cy="8255"/>
                    </a:xfrm>
                    <a:prstGeom prst="rect">
                      <a:avLst/>
                    </a:prstGeom>
                    <a:noFill/>
                  </pic:spPr>
                </pic:pic>
              </a:graphicData>
            </a:graphic>
          </wp:anchor>
        </w:drawing>
      </w:r>
    </w:p>
    <w:p>
      <w:pPr>
        <w:spacing w:after="0" w:line="9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Building Materials business generated the majority of consolidated total revenues and earnings from contnuing operatons. The following comparatve analysis and discussion should be read within this context. Further, sensitvity analysis and certain other data are provided to enhance the reader’s understanding of MD&amp;A and are not intended to be indicatve of management’s judgment of materiality.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2" w:name="page53"/>
    <w:bookmarkEnd w:id="52"/>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20" w:type="dxa"/>
            <w:vAlign w:val="bottom"/>
            <w:gridSpan w:val="4"/>
          </w:tcPr>
          <w:p>
            <w:pPr>
              <w:spacing w:after="0"/>
              <w:rPr>
                <w:sz w:val="20"/>
                <w:szCs w:val="20"/>
                <w:color w:val="auto"/>
              </w:rPr>
            </w:pPr>
            <w:r>
              <w:rPr>
                <w:rFonts w:ascii="Calibri" w:cs="Calibri" w:eastAsia="Calibri" w:hAnsi="Calibri"/>
                <w:sz w:val="18"/>
                <w:szCs w:val="18"/>
                <w:color w:val="auto"/>
              </w:rPr>
              <w:t>The Company’s consolidated operatng results and operatng results as a percentage of total revenues are as follows:</w:t>
            </w: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5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5920" w:type="dxa"/>
            <w:vAlign w:val="bottom"/>
            <w:tcBorders>
              <w:right w:val="single" w:sz="8" w:color="007CBA"/>
            </w:tcBorders>
            <w:vMerge w:val="restart"/>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46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jc w:val="center"/>
              <w:spacing w:after="0" w:line="207" w:lineRule="exact"/>
              <w:rPr>
                <w:sz w:val="20"/>
                <w:szCs w:val="20"/>
                <w:color w:val="auto"/>
              </w:rPr>
            </w:pPr>
            <w:r>
              <w:rPr>
                <w:rFonts w:ascii="Calibri" w:cs="Calibri" w:eastAsia="Calibri" w:hAnsi="Calibri"/>
                <w:sz w:val="18"/>
                <w:szCs w:val="18"/>
                <w:b w:val="1"/>
                <w:bCs w:val="1"/>
                <w:color w:val="FFFFFF"/>
                <w:w w:val="98"/>
              </w:rPr>
              <w:t>% of</w:t>
            </w:r>
          </w:p>
        </w:tc>
        <w:tc>
          <w:tcPr>
            <w:tcW w:w="44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spacing w:after="0"/>
              <w:rPr>
                <w:sz w:val="18"/>
                <w:szCs w:val="18"/>
                <w:color w:val="auto"/>
              </w:rPr>
            </w:pPr>
          </w:p>
        </w:tc>
        <w:tc>
          <w:tcPr>
            <w:tcW w:w="1080" w:type="dxa"/>
            <w:vAlign w:val="bottom"/>
            <w:shd w:val="clear" w:color="auto" w:fill="007CBA"/>
          </w:tcPr>
          <w:p>
            <w:pPr>
              <w:jc w:val="center"/>
              <w:spacing w:after="0" w:line="207" w:lineRule="exact"/>
              <w:rPr>
                <w:sz w:val="20"/>
                <w:szCs w:val="20"/>
                <w:color w:val="auto"/>
              </w:rPr>
            </w:pPr>
            <w:r>
              <w:rPr>
                <w:rFonts w:ascii="Calibri" w:cs="Calibri" w:eastAsia="Calibri" w:hAnsi="Calibri"/>
                <w:sz w:val="18"/>
                <w:szCs w:val="18"/>
                <w:b w:val="1"/>
                <w:bCs w:val="1"/>
                <w:color w:val="FFFFFF"/>
                <w:w w:val="98"/>
              </w:rPr>
              <w:t>% of</w:t>
            </w:r>
          </w:p>
        </w:tc>
        <w:tc>
          <w:tcPr>
            <w:tcW w:w="0" w:type="dxa"/>
            <w:vAlign w:val="bottom"/>
          </w:tcPr>
          <w:p>
            <w:pPr>
              <w:spacing w:after="0"/>
              <w:rPr>
                <w:sz w:val="1"/>
                <w:szCs w:val="1"/>
                <w:color w:val="auto"/>
              </w:rPr>
            </w:pPr>
          </w:p>
        </w:tc>
      </w:tr>
      <w:tr>
        <w:trPr>
          <w:trHeight w:val="203"/>
        </w:trPr>
        <w:tc>
          <w:tcPr>
            <w:tcW w:w="5920" w:type="dxa"/>
            <w:vAlign w:val="bottom"/>
            <w:tcBorders>
              <w:right w:val="single" w:sz="8" w:color="007CBA"/>
            </w:tcBorders>
            <w:vMerge w:val="continue"/>
            <w:shd w:val="clear" w:color="auto" w:fill="007CBA"/>
          </w:tcPr>
          <w:p>
            <w:pPr>
              <w:spacing w:after="0"/>
              <w:rPr>
                <w:sz w:val="17"/>
                <w:szCs w:val="17"/>
                <w:color w:val="auto"/>
              </w:rPr>
            </w:pPr>
          </w:p>
        </w:tc>
        <w:tc>
          <w:tcPr>
            <w:tcW w:w="46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spacing w:after="0"/>
              <w:rPr>
                <w:sz w:val="17"/>
                <w:szCs w:val="17"/>
                <w:color w:val="auto"/>
              </w:rPr>
            </w:pPr>
          </w:p>
        </w:tc>
        <w:tc>
          <w:tcPr>
            <w:tcW w:w="1100" w:type="dxa"/>
            <w:vAlign w:val="bottom"/>
            <w:tcBorders>
              <w:right w:val="single" w:sz="8" w:color="007CBA"/>
            </w:tcBorders>
            <w:shd w:val="clear" w:color="auto" w:fill="007CBA"/>
          </w:tcPr>
          <w:p>
            <w:pPr>
              <w:jc w:val="center"/>
              <w:spacing w:after="0" w:line="203" w:lineRule="exact"/>
              <w:rPr>
                <w:sz w:val="20"/>
                <w:szCs w:val="20"/>
                <w:color w:val="auto"/>
              </w:rPr>
            </w:pPr>
            <w:r>
              <w:rPr>
                <w:rFonts w:ascii="Calibri" w:cs="Calibri" w:eastAsia="Calibri" w:hAnsi="Calibri"/>
                <w:sz w:val="18"/>
                <w:szCs w:val="18"/>
                <w:b w:val="1"/>
                <w:bCs w:val="1"/>
                <w:color w:val="FFFFFF"/>
                <w:w w:val="88"/>
              </w:rPr>
              <w:t>Total</w:t>
            </w:r>
          </w:p>
        </w:tc>
        <w:tc>
          <w:tcPr>
            <w:tcW w:w="440" w:type="dxa"/>
            <w:vAlign w:val="bottom"/>
            <w:shd w:val="clear" w:color="auto" w:fill="007CBA"/>
          </w:tcPr>
          <w:p>
            <w:pPr>
              <w:spacing w:after="0"/>
              <w:rPr>
                <w:sz w:val="17"/>
                <w:szCs w:val="17"/>
                <w:color w:val="auto"/>
              </w:rPr>
            </w:pPr>
          </w:p>
        </w:tc>
        <w:tc>
          <w:tcPr>
            <w:tcW w:w="1100" w:type="dxa"/>
            <w:vAlign w:val="bottom"/>
            <w:tcBorders>
              <w:right w:val="single" w:sz="8" w:color="007CBA"/>
            </w:tcBorders>
            <w:shd w:val="clear" w:color="auto" w:fill="007CBA"/>
          </w:tcPr>
          <w:p>
            <w:pPr>
              <w:spacing w:after="0"/>
              <w:rPr>
                <w:sz w:val="17"/>
                <w:szCs w:val="17"/>
                <w:color w:val="auto"/>
              </w:rPr>
            </w:pPr>
          </w:p>
        </w:tc>
        <w:tc>
          <w:tcPr>
            <w:tcW w:w="1080" w:type="dxa"/>
            <w:vAlign w:val="bottom"/>
            <w:shd w:val="clear" w:color="auto" w:fill="007CBA"/>
          </w:tcPr>
          <w:p>
            <w:pPr>
              <w:jc w:val="center"/>
              <w:spacing w:after="0" w:line="203" w:lineRule="exact"/>
              <w:rPr>
                <w:sz w:val="20"/>
                <w:szCs w:val="20"/>
                <w:color w:val="auto"/>
              </w:rPr>
            </w:pPr>
            <w:r>
              <w:rPr>
                <w:rFonts w:ascii="Calibri" w:cs="Calibri" w:eastAsia="Calibri" w:hAnsi="Calibri"/>
                <w:sz w:val="18"/>
                <w:szCs w:val="18"/>
                <w:b w:val="1"/>
                <w:bCs w:val="1"/>
                <w:color w:val="FFFFFF"/>
                <w:w w:val="94"/>
              </w:rPr>
              <w:t>Total</w:t>
            </w:r>
          </w:p>
        </w:tc>
        <w:tc>
          <w:tcPr>
            <w:tcW w:w="0" w:type="dxa"/>
            <w:vAlign w:val="bottom"/>
          </w:tcPr>
          <w:p>
            <w:pPr>
              <w:spacing w:after="0"/>
              <w:rPr>
                <w:sz w:val="1"/>
                <w:szCs w:val="1"/>
                <w:color w:val="auto"/>
              </w:rPr>
            </w:pPr>
          </w:p>
        </w:tc>
      </w:tr>
      <w:tr>
        <w:trPr>
          <w:trHeight w:val="257"/>
        </w:trPr>
        <w:tc>
          <w:tcPr>
            <w:tcW w:w="592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 except for % of total revenues)</w:t>
            </w:r>
          </w:p>
        </w:tc>
        <w:tc>
          <w:tcPr>
            <w:tcW w:w="46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right w:val="single" w:sz="8" w:color="007CBA"/>
            </w:tcBorders>
            <w:shd w:val="clear" w:color="auto" w:fill="007CBA"/>
          </w:tcPr>
          <w:p>
            <w:pPr>
              <w:jc w:val="right"/>
              <w:ind w:right="510"/>
              <w:spacing w:after="0"/>
              <w:rPr>
                <w:sz w:val="20"/>
                <w:szCs w:val="20"/>
                <w:color w:val="auto"/>
              </w:rPr>
            </w:pPr>
            <w:r>
              <w:rPr>
                <w:rFonts w:ascii="Calibri" w:cs="Calibri" w:eastAsia="Calibri" w:hAnsi="Calibri"/>
                <w:sz w:val="18"/>
                <w:szCs w:val="18"/>
                <w:b w:val="1"/>
                <w:bCs w:val="1"/>
                <w:color w:val="FFFFFF"/>
              </w:rPr>
              <w:t>2023</w:t>
            </w:r>
          </w:p>
        </w:tc>
        <w:tc>
          <w:tcPr>
            <w:tcW w:w="1100" w:type="dxa"/>
            <w:vAlign w:val="bottom"/>
            <w:tcBorders>
              <w:bottom w:val="single" w:sz="8" w:color="007CBA"/>
              <w:right w:val="single" w:sz="8" w:color="007CBA"/>
            </w:tcBorders>
            <w:shd w:val="clear" w:color="auto" w:fill="007CBA"/>
          </w:tcPr>
          <w:p>
            <w:pPr>
              <w:jc w:val="center"/>
              <w:spacing w:after="0"/>
              <w:rPr>
                <w:sz w:val="20"/>
                <w:szCs w:val="20"/>
                <w:color w:val="auto"/>
              </w:rPr>
            </w:pPr>
            <w:r>
              <w:rPr>
                <w:rFonts w:ascii="Calibri" w:cs="Calibri" w:eastAsia="Calibri" w:hAnsi="Calibri"/>
                <w:sz w:val="18"/>
                <w:szCs w:val="18"/>
                <w:b w:val="1"/>
                <w:bCs w:val="1"/>
                <w:color w:val="FFFFFF"/>
                <w:w w:val="96"/>
              </w:rPr>
              <w:t>revenues</w:t>
            </w:r>
          </w:p>
        </w:tc>
        <w:tc>
          <w:tcPr>
            <w:tcW w:w="440" w:type="dxa"/>
            <w:vAlign w:val="bottom"/>
            <w:tcBorders>
              <w:bottom w:val="single" w:sz="8" w:color="007CBA"/>
            </w:tcBorders>
            <w:shd w:val="clear" w:color="auto" w:fill="007CBA"/>
          </w:tcPr>
          <w:p>
            <w:pPr>
              <w:spacing w:after="0"/>
              <w:rPr>
                <w:sz w:val="21"/>
                <w:szCs w:val="21"/>
                <w:color w:val="auto"/>
              </w:rPr>
            </w:pPr>
          </w:p>
        </w:tc>
        <w:tc>
          <w:tcPr>
            <w:tcW w:w="1100" w:type="dxa"/>
            <w:vAlign w:val="bottom"/>
            <w:tcBorders>
              <w:bottom w:val="single" w:sz="8" w:color="007CBA"/>
              <w:right w:val="single" w:sz="8" w:color="007CBA"/>
            </w:tcBorders>
            <w:shd w:val="clear" w:color="auto" w:fill="007CBA"/>
          </w:tcPr>
          <w:p>
            <w:pPr>
              <w:jc w:val="right"/>
              <w:ind w:right="470"/>
              <w:spacing w:after="0"/>
              <w:rPr>
                <w:sz w:val="20"/>
                <w:szCs w:val="20"/>
                <w:color w:val="auto"/>
              </w:rPr>
            </w:pPr>
            <w:r>
              <w:rPr>
                <w:rFonts w:ascii="Calibri" w:cs="Calibri" w:eastAsia="Calibri" w:hAnsi="Calibri"/>
                <w:sz w:val="18"/>
                <w:szCs w:val="18"/>
                <w:color w:val="FFFFFF"/>
              </w:rPr>
              <w:t>2022</w:t>
            </w:r>
          </w:p>
        </w:tc>
        <w:tc>
          <w:tcPr>
            <w:tcW w:w="1080" w:type="dxa"/>
            <w:vAlign w:val="bottom"/>
            <w:tcBorders>
              <w:bottom w:val="single" w:sz="8" w:color="007CBA"/>
            </w:tcBorders>
            <w:shd w:val="clear" w:color="auto" w:fill="007CBA"/>
          </w:tcPr>
          <w:p>
            <w:pPr>
              <w:jc w:val="center"/>
              <w:spacing w:after="0"/>
              <w:rPr>
                <w:sz w:val="20"/>
                <w:szCs w:val="20"/>
                <w:color w:val="auto"/>
              </w:rPr>
            </w:pPr>
            <w:r>
              <w:rPr>
                <w:rFonts w:ascii="Calibri" w:cs="Calibri" w:eastAsia="Calibri" w:hAnsi="Calibri"/>
                <w:sz w:val="18"/>
                <w:szCs w:val="18"/>
                <w:b w:val="1"/>
                <w:bCs w:val="1"/>
                <w:color w:val="FFFFFF"/>
                <w:w w:val="99"/>
              </w:rPr>
              <w:t>revenues</w:t>
            </w:r>
          </w:p>
        </w:tc>
        <w:tc>
          <w:tcPr>
            <w:tcW w:w="0" w:type="dxa"/>
            <w:vAlign w:val="bottom"/>
          </w:tcPr>
          <w:p>
            <w:pPr>
              <w:spacing w:after="0"/>
              <w:rPr>
                <w:sz w:val="1"/>
                <w:szCs w:val="1"/>
                <w:color w:val="auto"/>
              </w:rPr>
            </w:pPr>
          </w:p>
        </w:tc>
      </w:tr>
      <w:tr>
        <w:trPr>
          <w:trHeight w:val="237"/>
        </w:trPr>
        <w:tc>
          <w:tcPr>
            <w:tcW w:w="592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b w:val="1"/>
                <w:bCs w:val="1"/>
                <w:color w:val="auto"/>
              </w:rPr>
              <w:t>Total Revenues</w:t>
            </w:r>
          </w:p>
        </w:tc>
        <w:tc>
          <w:tcPr>
            <w:tcW w:w="460" w:type="dxa"/>
            <w:vAlign w:val="bottom"/>
            <w:tcBorders>
              <w:top w:val="single" w:sz="8" w:color="007CBA"/>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40" w:type="dxa"/>
            <w:vAlign w:val="bottom"/>
            <w:tcBorders>
              <w:top w:val="single" w:sz="8" w:color="007CBA"/>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6,777.2</w:t>
            </w:r>
          </w:p>
        </w:tc>
        <w:tc>
          <w:tcPr>
            <w:tcW w:w="1100" w:type="dxa"/>
            <w:vAlign w:val="bottom"/>
            <w:tcBorders>
              <w:top w:val="single" w:sz="8" w:color="007CBA"/>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100.0</w:t>
            </w:r>
          </w:p>
        </w:tc>
        <w:tc>
          <w:tcPr>
            <w:tcW w:w="440" w:type="dxa"/>
            <w:vAlign w:val="bottom"/>
            <w:tcBorders>
              <w:top w:val="single" w:sz="8" w:color="007CBA"/>
            </w:tcBorders>
          </w:tcPr>
          <w:p>
            <w:pPr>
              <w:jc w:val="right"/>
              <w:ind w:right="90"/>
              <w:spacing w:after="0" w:line="208" w:lineRule="exact"/>
              <w:rPr>
                <w:sz w:val="20"/>
                <w:szCs w:val="20"/>
                <w:color w:val="auto"/>
              </w:rPr>
            </w:pPr>
            <w:r>
              <w:rPr>
                <w:rFonts w:ascii="Calibri" w:cs="Calibri" w:eastAsia="Calibri" w:hAnsi="Calibri"/>
                <w:sz w:val="18"/>
                <w:szCs w:val="18"/>
                <w:b w:val="1"/>
                <w:bCs w:val="1"/>
                <w:color w:val="auto"/>
              </w:rPr>
              <w:t>$</w:t>
            </w:r>
          </w:p>
        </w:tc>
        <w:tc>
          <w:tcPr>
            <w:tcW w:w="1100" w:type="dxa"/>
            <w:vAlign w:val="bottom"/>
            <w:tcBorders>
              <w:top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6,160.7</w:t>
            </w:r>
          </w:p>
        </w:tc>
        <w:tc>
          <w:tcPr>
            <w:tcW w:w="1080" w:type="dxa"/>
            <w:vAlign w:val="bottom"/>
            <w:tcBorders>
              <w:top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100.0</w:t>
            </w:r>
          </w:p>
        </w:tc>
        <w:tc>
          <w:tcPr>
            <w:tcW w:w="0" w:type="dxa"/>
            <w:vAlign w:val="bottom"/>
          </w:tcPr>
          <w:p>
            <w:pPr>
              <w:spacing w:after="0"/>
              <w:rPr>
                <w:sz w:val="1"/>
                <w:szCs w:val="1"/>
                <w:color w:val="auto"/>
              </w:rPr>
            </w:pPr>
          </w:p>
        </w:tc>
      </w:tr>
      <w:tr>
        <w:trPr>
          <w:trHeight w:val="248"/>
        </w:trPr>
        <w:tc>
          <w:tcPr>
            <w:tcW w:w="592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Total cost of revenues</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4,754.6</w:t>
            </w:r>
          </w:p>
        </w:tc>
        <w:tc>
          <w:tcPr>
            <w:tcW w:w="110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70.2</w:t>
            </w:r>
          </w:p>
        </w:tc>
        <w:tc>
          <w:tcPr>
            <w:tcW w:w="440" w:type="dxa"/>
            <w:vAlign w:val="bottom"/>
            <w:tcBorders>
              <w:bottom w:val="single" w:sz="8" w:color="E5F1F8"/>
            </w:tcBorders>
            <w:shd w:val="clear" w:color="auto" w:fill="E5F1F8"/>
          </w:tcPr>
          <w:p>
            <w:pPr>
              <w:spacing w:after="0"/>
              <w:rPr>
                <w:sz w:val="21"/>
                <w:szCs w:val="21"/>
                <w:color w:val="auto"/>
              </w:rPr>
            </w:pPr>
          </w:p>
        </w:tc>
        <w:tc>
          <w:tcPr>
            <w:tcW w:w="110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4,737.4</w:t>
            </w:r>
          </w:p>
        </w:tc>
        <w:tc>
          <w:tcPr>
            <w:tcW w:w="10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76.9</w:t>
            </w:r>
          </w:p>
        </w:tc>
        <w:tc>
          <w:tcPr>
            <w:tcW w:w="0" w:type="dxa"/>
            <w:vAlign w:val="bottom"/>
          </w:tcPr>
          <w:p>
            <w:pPr>
              <w:spacing w:after="0"/>
              <w:rPr>
                <w:sz w:val="1"/>
                <w:szCs w:val="1"/>
                <w:color w:val="auto"/>
              </w:rPr>
            </w:pPr>
          </w:p>
        </w:tc>
      </w:tr>
      <w:tr>
        <w:trPr>
          <w:trHeight w:val="208"/>
        </w:trPr>
        <w:tc>
          <w:tcPr>
            <w:tcW w:w="592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b w:val="1"/>
                <w:bCs w:val="1"/>
                <w:color w:val="auto"/>
              </w:rPr>
              <w:t>Gross Proft</w:t>
            </w: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2,022.6</w:t>
            </w:r>
          </w:p>
        </w:tc>
        <w:tc>
          <w:tcPr>
            <w:tcW w:w="110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29.8</w:t>
            </w:r>
          </w:p>
        </w:tc>
        <w:tc>
          <w:tcPr>
            <w:tcW w:w="44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1,423.3</w:t>
            </w:r>
          </w:p>
        </w:tc>
        <w:tc>
          <w:tcPr>
            <w:tcW w:w="10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23.1</w:t>
            </w:r>
          </w:p>
        </w:tc>
        <w:tc>
          <w:tcPr>
            <w:tcW w:w="0" w:type="dxa"/>
            <w:vAlign w:val="bottom"/>
          </w:tcPr>
          <w:p>
            <w:pPr>
              <w:spacing w:after="0"/>
              <w:rPr>
                <w:sz w:val="1"/>
                <w:szCs w:val="1"/>
                <w:color w:val="auto"/>
              </w:rPr>
            </w:pPr>
          </w:p>
        </w:tc>
      </w:tr>
      <w:tr>
        <w:trPr>
          <w:trHeight w:val="28"/>
        </w:trPr>
        <w:tc>
          <w:tcPr>
            <w:tcW w:w="592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110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Borders>
              <w:right w:val="single" w:sz="8" w:color="007CBA"/>
            </w:tcBorders>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Selling, general and administratve expenses</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442.8</w:t>
            </w:r>
          </w:p>
        </w:tc>
        <w:tc>
          <w:tcPr>
            <w:tcW w:w="11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6.5</w:t>
            </w:r>
          </w:p>
        </w:tc>
        <w:tc>
          <w:tcPr>
            <w:tcW w:w="440" w:type="dxa"/>
            <w:vAlign w:val="bottom"/>
            <w:tcBorders>
              <w:bottom w:val="single" w:sz="8" w:color="E5F1F8"/>
            </w:tcBorders>
            <w:shd w:val="clear" w:color="auto" w:fill="E5F1F8"/>
          </w:tcPr>
          <w:p>
            <w:pPr>
              <w:spacing w:after="0"/>
              <w:rPr>
                <w:sz w:val="19"/>
                <w:szCs w:val="19"/>
                <w:color w:val="auto"/>
              </w:rPr>
            </w:pPr>
          </w:p>
        </w:tc>
        <w:tc>
          <w:tcPr>
            <w:tcW w:w="11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396.7</w:t>
            </w:r>
          </w:p>
        </w:tc>
        <w:tc>
          <w:tcPr>
            <w:tcW w:w="10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6.4</w:t>
            </w:r>
          </w:p>
        </w:tc>
        <w:tc>
          <w:tcPr>
            <w:tcW w:w="0" w:type="dxa"/>
            <w:vAlign w:val="bottom"/>
          </w:tcPr>
          <w:p>
            <w:pPr>
              <w:spacing w:after="0"/>
              <w:rPr>
                <w:sz w:val="1"/>
                <w:szCs w:val="1"/>
                <w:color w:val="auto"/>
              </w:rPr>
            </w:pPr>
          </w:p>
        </w:tc>
      </w:tr>
      <w:tr>
        <w:trPr>
          <w:trHeight w:val="243"/>
        </w:trPr>
        <w:tc>
          <w:tcPr>
            <w:tcW w:w="59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Acquisiton, divestture and integraton expenses</w:t>
            </w:r>
          </w:p>
        </w:tc>
        <w:tc>
          <w:tcPr>
            <w:tcW w:w="460" w:type="dxa"/>
            <w:vAlign w:val="bottom"/>
          </w:tcPr>
          <w:p>
            <w:pPr>
              <w:spacing w:after="0"/>
              <w:rPr>
                <w:sz w:val="21"/>
                <w:szCs w:val="21"/>
                <w:color w:val="auto"/>
              </w:rPr>
            </w:pPr>
          </w:p>
        </w:tc>
        <w:tc>
          <w:tcPr>
            <w:tcW w:w="11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12.2</w:t>
            </w:r>
          </w:p>
        </w:tc>
        <w:tc>
          <w:tcPr>
            <w:tcW w:w="1100" w:type="dxa"/>
            <w:vAlign w:val="bottom"/>
            <w:tcBorders>
              <w:right w:val="single" w:sz="8" w:color="007CBA"/>
            </w:tcBorders>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9.1</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92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Other operatng income, net</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(28.4 )</w:t>
            </w:r>
          </w:p>
        </w:tc>
        <w:tc>
          <w:tcPr>
            <w:tcW w:w="1100" w:type="dxa"/>
            <w:vAlign w:val="bottom"/>
            <w:tcBorders>
              <w:bottom w:val="single" w:sz="8" w:color="E5F1F8"/>
              <w:right w:val="single" w:sz="8" w:color="E5F1F8"/>
            </w:tcBorders>
            <w:shd w:val="clear" w:color="auto" w:fill="E5F1F8"/>
          </w:tcPr>
          <w:p>
            <w:pPr>
              <w:spacing w:after="0"/>
              <w:rPr>
                <w:sz w:val="21"/>
                <w:szCs w:val="21"/>
                <w:color w:val="auto"/>
              </w:rPr>
            </w:pPr>
          </w:p>
        </w:tc>
        <w:tc>
          <w:tcPr>
            <w:tcW w:w="440" w:type="dxa"/>
            <w:vAlign w:val="bottom"/>
            <w:tcBorders>
              <w:bottom w:val="single" w:sz="8" w:color="E5F1F8"/>
            </w:tcBorders>
            <w:shd w:val="clear" w:color="auto" w:fill="E5F1F8"/>
          </w:tcPr>
          <w:p>
            <w:pPr>
              <w:spacing w:after="0"/>
              <w:rPr>
                <w:sz w:val="21"/>
                <w:szCs w:val="21"/>
                <w:color w:val="auto"/>
              </w:rPr>
            </w:pPr>
          </w:p>
        </w:tc>
        <w:tc>
          <w:tcPr>
            <w:tcW w:w="110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(189.2 )</w:t>
            </w:r>
          </w:p>
        </w:tc>
        <w:tc>
          <w:tcPr>
            <w:tcW w:w="1080" w:type="dxa"/>
            <w:vAlign w:val="bottom"/>
            <w:tcBorders>
              <w:bottom w:val="single" w:sz="8" w:color="E5F1F8"/>
            </w:tcBorders>
            <w:shd w:val="clear" w:color="auto" w:fill="E5F1F8"/>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92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b w:val="1"/>
                <w:bCs w:val="1"/>
                <w:color w:val="auto"/>
              </w:rPr>
              <w:t>Earnings from Operatons</w:t>
            </w: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1,596.0</w:t>
            </w:r>
          </w:p>
        </w:tc>
        <w:tc>
          <w:tcPr>
            <w:tcW w:w="110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23.5</w:t>
            </w:r>
          </w:p>
        </w:tc>
        <w:tc>
          <w:tcPr>
            <w:tcW w:w="44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1,206.7</w:t>
            </w:r>
          </w:p>
        </w:tc>
        <w:tc>
          <w:tcPr>
            <w:tcW w:w="10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19.6</w:t>
            </w:r>
          </w:p>
        </w:tc>
        <w:tc>
          <w:tcPr>
            <w:tcW w:w="0" w:type="dxa"/>
            <w:vAlign w:val="bottom"/>
          </w:tcPr>
          <w:p>
            <w:pPr>
              <w:spacing w:after="0"/>
              <w:rPr>
                <w:sz w:val="1"/>
                <w:szCs w:val="1"/>
                <w:color w:val="auto"/>
              </w:rPr>
            </w:pPr>
          </w:p>
        </w:tc>
      </w:tr>
      <w:tr>
        <w:trPr>
          <w:trHeight w:val="28"/>
        </w:trPr>
        <w:tc>
          <w:tcPr>
            <w:tcW w:w="592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110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Borders>
              <w:right w:val="single" w:sz="8" w:color="007CBA"/>
            </w:tcBorders>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9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Interest expense</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165.3</w:t>
            </w:r>
          </w:p>
        </w:tc>
        <w:tc>
          <w:tcPr>
            <w:tcW w:w="1100" w:type="dxa"/>
            <w:vAlign w:val="bottom"/>
            <w:tcBorders>
              <w:bottom w:val="single" w:sz="8" w:color="E5F1F8"/>
              <w:right w:val="single" w:sz="8" w:color="007CBA"/>
            </w:tcBorders>
            <w:shd w:val="clear" w:color="auto" w:fill="E5F1F8"/>
          </w:tcPr>
          <w:p>
            <w:pPr>
              <w:spacing w:after="0"/>
              <w:rPr>
                <w:sz w:val="19"/>
                <w:szCs w:val="19"/>
                <w:color w:val="auto"/>
              </w:rPr>
            </w:pPr>
          </w:p>
        </w:tc>
        <w:tc>
          <w:tcPr>
            <w:tcW w:w="440" w:type="dxa"/>
            <w:vAlign w:val="bottom"/>
            <w:tcBorders>
              <w:bottom w:val="single" w:sz="8" w:color="E5F1F8"/>
            </w:tcBorders>
            <w:shd w:val="clear" w:color="auto" w:fill="E5F1F8"/>
          </w:tcPr>
          <w:p>
            <w:pPr>
              <w:spacing w:after="0"/>
              <w:rPr>
                <w:sz w:val="19"/>
                <w:szCs w:val="19"/>
                <w:color w:val="auto"/>
              </w:rPr>
            </w:pPr>
          </w:p>
        </w:tc>
        <w:tc>
          <w:tcPr>
            <w:tcW w:w="11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169.0</w:t>
            </w:r>
          </w:p>
        </w:tc>
        <w:tc>
          <w:tcPr>
            <w:tcW w:w="1080" w:type="dxa"/>
            <w:vAlign w:val="bottom"/>
            <w:tcBorders>
              <w:bottom w:val="single" w:sz="8" w:color="E5F1F8"/>
            </w:tcBorders>
            <w:shd w:val="clear" w:color="auto" w:fill="E5F1F8"/>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20" w:type="dxa"/>
            <w:vAlign w:val="bottom"/>
          </w:tcPr>
          <w:p>
            <w:pPr>
              <w:ind w:left="120"/>
              <w:spacing w:after="0" w:line="215" w:lineRule="exact"/>
              <w:rPr>
                <w:sz w:val="20"/>
                <w:szCs w:val="20"/>
                <w:color w:val="auto"/>
              </w:rPr>
            </w:pPr>
            <w:r>
              <w:rPr>
                <w:rFonts w:ascii="Calibri" w:cs="Calibri" w:eastAsia="Calibri" w:hAnsi="Calibri"/>
                <w:sz w:val="18"/>
                <w:szCs w:val="18"/>
                <w:color w:val="auto"/>
              </w:rPr>
              <w:t>Other nonoperatng income, net</w:t>
            </w:r>
          </w:p>
        </w:tc>
        <w:tc>
          <w:tcPr>
            <w:tcW w:w="46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(62.1 )</w:t>
            </w: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(53.4 )</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920" w:type="dxa"/>
            <w:vAlign w:val="bottom"/>
            <w:tcBorders>
              <w:right w:val="single" w:sz="8" w:color="007CBA"/>
            </w:tcBorders>
            <w:shd w:val="clear" w:color="auto" w:fill="E5F1F8"/>
          </w:tcPr>
          <w:p>
            <w:pPr>
              <w:ind w:left="120"/>
              <w:spacing w:after="0" w:line="201" w:lineRule="exact"/>
              <w:rPr>
                <w:sz w:val="20"/>
                <w:szCs w:val="20"/>
                <w:color w:val="auto"/>
              </w:rPr>
            </w:pPr>
            <w:r>
              <w:rPr>
                <w:rFonts w:ascii="Calibri" w:cs="Calibri" w:eastAsia="Calibri" w:hAnsi="Calibri"/>
                <w:sz w:val="18"/>
                <w:szCs w:val="18"/>
                <w:color w:val="auto"/>
              </w:rPr>
              <w:t>Earnings from contnuing operatons before income tax</w:t>
            </w:r>
          </w:p>
        </w:tc>
        <w:tc>
          <w:tcPr>
            <w:tcW w:w="460" w:type="dxa"/>
            <w:vAlign w:val="bottom"/>
            <w:shd w:val="clear" w:color="auto" w:fill="E5F1F8"/>
          </w:tcPr>
          <w:p>
            <w:pPr>
              <w:spacing w:after="0"/>
              <w:rPr>
                <w:sz w:val="17"/>
                <w:szCs w:val="17"/>
                <w:color w:val="auto"/>
              </w:rPr>
            </w:pPr>
          </w:p>
        </w:tc>
        <w:tc>
          <w:tcPr>
            <w:tcW w:w="1140" w:type="dxa"/>
            <w:vAlign w:val="bottom"/>
            <w:tcBorders>
              <w:right w:val="single" w:sz="8" w:color="007CBA"/>
            </w:tcBorders>
            <w:shd w:val="clear" w:color="auto" w:fill="E5F1F8"/>
          </w:tcPr>
          <w:p>
            <w:pPr>
              <w:spacing w:after="0"/>
              <w:rPr>
                <w:sz w:val="17"/>
                <w:szCs w:val="17"/>
                <w:color w:val="auto"/>
              </w:rPr>
            </w:pPr>
          </w:p>
        </w:tc>
        <w:tc>
          <w:tcPr>
            <w:tcW w:w="1100" w:type="dxa"/>
            <w:vAlign w:val="bottom"/>
            <w:tcBorders>
              <w:right w:val="single" w:sz="8" w:color="007CBA"/>
            </w:tcBorders>
            <w:shd w:val="clear" w:color="auto" w:fill="E5F1F8"/>
          </w:tcPr>
          <w:p>
            <w:pPr>
              <w:spacing w:after="0"/>
              <w:rPr>
                <w:sz w:val="17"/>
                <w:szCs w:val="17"/>
                <w:color w:val="auto"/>
              </w:rPr>
            </w:pPr>
          </w:p>
        </w:tc>
        <w:tc>
          <w:tcPr>
            <w:tcW w:w="440" w:type="dxa"/>
            <w:vAlign w:val="bottom"/>
            <w:shd w:val="clear" w:color="auto" w:fill="E5F1F8"/>
          </w:tcPr>
          <w:p>
            <w:pPr>
              <w:spacing w:after="0"/>
              <w:rPr>
                <w:sz w:val="17"/>
                <w:szCs w:val="17"/>
                <w:color w:val="auto"/>
              </w:rPr>
            </w:pPr>
          </w:p>
        </w:tc>
        <w:tc>
          <w:tcPr>
            <w:tcW w:w="1100" w:type="dxa"/>
            <w:vAlign w:val="bottom"/>
            <w:tcBorders>
              <w:right w:val="single" w:sz="8" w:color="007CBA"/>
            </w:tcBorders>
            <w:shd w:val="clear" w:color="auto" w:fill="E5F1F8"/>
          </w:tcPr>
          <w:p>
            <w:pPr>
              <w:spacing w:after="0"/>
              <w:rPr>
                <w:sz w:val="17"/>
                <w:szCs w:val="17"/>
                <w:color w:val="auto"/>
              </w:rPr>
            </w:pPr>
          </w:p>
        </w:tc>
        <w:tc>
          <w:tcPr>
            <w:tcW w:w="1080" w:type="dxa"/>
            <w:vAlign w:val="bottom"/>
            <w:shd w:val="clear" w:color="auto" w:fill="E5F1F8"/>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92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expense</w:t>
            </w:r>
          </w:p>
        </w:tc>
        <w:tc>
          <w:tcPr>
            <w:tcW w:w="460" w:type="dxa"/>
            <w:vAlign w:val="bottom"/>
            <w:tcBorders>
              <w:bottom w:val="single" w:sz="8" w:color="E5F1F8"/>
            </w:tcBorders>
            <w:shd w:val="clear" w:color="auto" w:fill="E5F1F8"/>
          </w:tcPr>
          <w:p>
            <w:pPr>
              <w:spacing w:after="0"/>
              <w:rPr>
                <w:sz w:val="20"/>
                <w:szCs w:val="20"/>
                <w:color w:val="auto"/>
              </w:rPr>
            </w:pPr>
          </w:p>
        </w:tc>
        <w:tc>
          <w:tcPr>
            <w:tcW w:w="11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1,492.8</w:t>
            </w:r>
          </w:p>
        </w:tc>
        <w:tc>
          <w:tcPr>
            <w:tcW w:w="1100" w:type="dxa"/>
            <w:vAlign w:val="bottom"/>
            <w:tcBorders>
              <w:bottom w:val="single" w:sz="8" w:color="E5F1F8"/>
              <w:right w:val="single" w:sz="8" w:color="007CBA"/>
            </w:tcBorders>
            <w:shd w:val="clear" w:color="auto" w:fill="E5F1F8"/>
          </w:tcPr>
          <w:p>
            <w:pPr>
              <w:spacing w:after="0"/>
              <w:rPr>
                <w:sz w:val="20"/>
                <w:szCs w:val="20"/>
                <w:color w:val="auto"/>
              </w:rPr>
            </w:pPr>
          </w:p>
        </w:tc>
        <w:tc>
          <w:tcPr>
            <w:tcW w:w="440" w:type="dxa"/>
            <w:vAlign w:val="bottom"/>
            <w:tcBorders>
              <w:bottom w:val="single" w:sz="8" w:color="E5F1F8"/>
            </w:tcBorders>
            <w:shd w:val="clear" w:color="auto" w:fill="E5F1F8"/>
          </w:tcPr>
          <w:p>
            <w:pPr>
              <w:spacing w:after="0"/>
              <w:rPr>
                <w:sz w:val="20"/>
                <w:szCs w:val="20"/>
                <w:color w:val="auto"/>
              </w:rPr>
            </w:pPr>
          </w:p>
        </w:tc>
        <w:tc>
          <w:tcPr>
            <w:tcW w:w="11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1,091.1</w:t>
            </w:r>
          </w:p>
        </w:tc>
        <w:tc>
          <w:tcPr>
            <w:tcW w:w="1080" w:type="dxa"/>
            <w:vAlign w:val="bottom"/>
            <w:tcBorders>
              <w:bottom w:val="single" w:sz="8" w:color="E5F1F8"/>
            </w:tcBorders>
            <w:shd w:val="clear" w:color="auto" w:fill="E5F1F8"/>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920" w:type="dxa"/>
            <w:vAlign w:val="bottom"/>
          </w:tcPr>
          <w:p>
            <w:pPr>
              <w:ind w:left="120"/>
              <w:spacing w:after="0" w:line="215" w:lineRule="exact"/>
              <w:rPr>
                <w:sz w:val="20"/>
                <w:szCs w:val="20"/>
                <w:color w:val="auto"/>
              </w:rPr>
            </w:pPr>
            <w:r>
              <w:rPr>
                <w:rFonts w:ascii="Calibri" w:cs="Calibri" w:eastAsia="Calibri" w:hAnsi="Calibri"/>
                <w:sz w:val="18"/>
                <w:szCs w:val="18"/>
                <w:color w:val="auto"/>
              </w:rPr>
              <w:t>Income tax expense</w:t>
            </w:r>
          </w:p>
        </w:tc>
        <w:tc>
          <w:tcPr>
            <w:tcW w:w="460" w:type="dxa"/>
            <w:vAlign w:val="bottom"/>
          </w:tcPr>
          <w:p>
            <w:pPr>
              <w:spacing w:after="0"/>
              <w:rPr>
                <w:sz w:val="18"/>
                <w:szCs w:val="18"/>
                <w:color w:val="auto"/>
              </w:rPr>
            </w:pPr>
          </w:p>
        </w:tc>
        <w:tc>
          <w:tcPr>
            <w:tcW w:w="11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292.5</w:t>
            </w: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234.8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E5F1F8"/>
              <w:right w:val="single" w:sz="8" w:color="007CBA"/>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Earnings from contnuing operatons</w:t>
            </w:r>
          </w:p>
        </w:tc>
        <w:tc>
          <w:tcPr>
            <w:tcW w:w="46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right w:val="single" w:sz="8" w:color="007CBA"/>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1,200.3</w:t>
            </w:r>
          </w:p>
        </w:tc>
        <w:tc>
          <w:tcPr>
            <w:tcW w:w="1100" w:type="dxa"/>
            <w:vAlign w:val="bottom"/>
            <w:tcBorders>
              <w:bottom w:val="single" w:sz="8" w:color="E5F1F8"/>
              <w:right w:val="single" w:sz="8" w:color="007CBA"/>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17.7</w:t>
            </w:r>
          </w:p>
        </w:tc>
        <w:tc>
          <w:tcPr>
            <w:tcW w:w="440" w:type="dxa"/>
            <w:vAlign w:val="bottom"/>
            <w:tcBorders>
              <w:bottom w:val="single" w:sz="8" w:color="E5F1F8"/>
            </w:tcBorders>
            <w:shd w:val="clear" w:color="auto" w:fill="E5F1F8"/>
          </w:tcPr>
          <w:p>
            <w:pPr>
              <w:spacing w:after="0"/>
              <w:rPr>
                <w:sz w:val="18"/>
                <w:szCs w:val="18"/>
                <w:color w:val="auto"/>
              </w:rPr>
            </w:pPr>
          </w:p>
        </w:tc>
        <w:tc>
          <w:tcPr>
            <w:tcW w:w="1100" w:type="dxa"/>
            <w:vAlign w:val="bottom"/>
            <w:tcBorders>
              <w:bottom w:val="single" w:sz="8" w:color="E5F1F8"/>
              <w:right w:val="single" w:sz="8" w:color="007CBA"/>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856.3</w:t>
            </w:r>
          </w:p>
        </w:tc>
        <w:tc>
          <w:tcPr>
            <w:tcW w:w="108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13.9</w:t>
            </w:r>
          </w:p>
        </w:tc>
        <w:tc>
          <w:tcPr>
            <w:tcW w:w="0" w:type="dxa"/>
            <w:vAlign w:val="bottom"/>
          </w:tcPr>
          <w:p>
            <w:pPr>
              <w:spacing w:after="0"/>
              <w:rPr>
                <w:sz w:val="1"/>
                <w:szCs w:val="1"/>
                <w:color w:val="auto"/>
              </w:rPr>
            </w:pPr>
          </w:p>
        </w:tc>
      </w:tr>
      <w:tr>
        <w:trPr>
          <w:trHeight w:val="207"/>
        </w:trPr>
        <w:tc>
          <w:tcPr>
            <w:tcW w:w="5920" w:type="dxa"/>
            <w:vAlign w:val="bottom"/>
          </w:tcPr>
          <w:p>
            <w:pPr>
              <w:ind w:left="120"/>
              <w:spacing w:after="0" w:line="207" w:lineRule="exact"/>
              <w:rPr>
                <w:sz w:val="20"/>
                <w:szCs w:val="20"/>
                <w:color w:val="auto"/>
              </w:rPr>
            </w:pPr>
            <w:r>
              <w:rPr>
                <w:rFonts w:ascii="Calibri" w:cs="Calibri" w:eastAsia="Calibri" w:hAnsi="Calibri"/>
                <w:sz w:val="18"/>
                <w:szCs w:val="18"/>
                <w:color w:val="auto"/>
              </w:rPr>
              <w:t>(Loss) Earnings from discontnued operatons, net of income</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20" w:type="dxa"/>
            <w:vAlign w:val="bottom"/>
          </w:tcPr>
          <w:p>
            <w:pPr>
              <w:ind w:left="200"/>
              <w:spacing w:after="0" w:line="215" w:lineRule="exact"/>
              <w:rPr>
                <w:sz w:val="20"/>
                <w:szCs w:val="20"/>
                <w:color w:val="auto"/>
              </w:rPr>
            </w:pPr>
            <w:r>
              <w:rPr>
                <w:rFonts w:ascii="Calibri" w:cs="Calibri" w:eastAsia="Calibri" w:hAnsi="Calibri"/>
                <w:sz w:val="18"/>
                <w:szCs w:val="18"/>
                <w:color w:val="auto"/>
              </w:rPr>
              <w:t>tax (beneft) expense</w:t>
            </w:r>
          </w:p>
        </w:tc>
        <w:tc>
          <w:tcPr>
            <w:tcW w:w="46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(30.9 )</w:t>
            </w: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5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920" w:type="dxa"/>
            <w:vAlign w:val="bottom"/>
            <w:tcBorders>
              <w:bottom w:val="single" w:sz="8" w:color="E5F1F8"/>
              <w:right w:val="single" w:sz="8" w:color="007CBA"/>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Consolidated net earnings</w:t>
            </w:r>
          </w:p>
        </w:tc>
        <w:tc>
          <w:tcPr>
            <w:tcW w:w="46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right w:val="single" w:sz="8" w:color="007CBA"/>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1,169.4</w:t>
            </w:r>
          </w:p>
        </w:tc>
        <w:tc>
          <w:tcPr>
            <w:tcW w:w="1100" w:type="dxa"/>
            <w:vAlign w:val="bottom"/>
            <w:tcBorders>
              <w:bottom w:val="single" w:sz="8" w:color="E5F1F8"/>
              <w:right w:val="single" w:sz="8" w:color="007CBA"/>
            </w:tcBorders>
            <w:shd w:val="clear" w:color="auto" w:fill="E5F1F8"/>
          </w:tcPr>
          <w:p>
            <w:pPr>
              <w:spacing w:after="0"/>
              <w:rPr>
                <w:sz w:val="18"/>
                <w:szCs w:val="18"/>
                <w:color w:val="auto"/>
              </w:rPr>
            </w:pPr>
          </w:p>
        </w:tc>
        <w:tc>
          <w:tcPr>
            <w:tcW w:w="440" w:type="dxa"/>
            <w:vAlign w:val="bottom"/>
            <w:tcBorders>
              <w:bottom w:val="single" w:sz="8" w:color="E5F1F8"/>
            </w:tcBorders>
            <w:shd w:val="clear" w:color="auto" w:fill="E5F1F8"/>
          </w:tcPr>
          <w:p>
            <w:pPr>
              <w:spacing w:after="0"/>
              <w:rPr>
                <w:sz w:val="18"/>
                <w:szCs w:val="18"/>
                <w:color w:val="auto"/>
              </w:rPr>
            </w:pPr>
          </w:p>
        </w:tc>
        <w:tc>
          <w:tcPr>
            <w:tcW w:w="1100" w:type="dxa"/>
            <w:vAlign w:val="bottom"/>
            <w:tcBorders>
              <w:bottom w:val="single" w:sz="8" w:color="E5F1F8"/>
              <w:right w:val="single" w:sz="8" w:color="007CBA"/>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866.8</w:t>
            </w:r>
          </w:p>
        </w:tc>
        <w:tc>
          <w:tcPr>
            <w:tcW w:w="1080" w:type="dxa"/>
            <w:vAlign w:val="bottom"/>
            <w:tcBorders>
              <w:bottom w:val="single" w:sz="8" w:color="E5F1F8"/>
            </w:tcBorders>
            <w:shd w:val="clear" w:color="auto" w:fill="E5F1F8"/>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20" w:type="dxa"/>
            <w:vAlign w:val="bottom"/>
          </w:tcPr>
          <w:p>
            <w:pPr>
              <w:ind w:left="120"/>
              <w:spacing w:after="0" w:line="215" w:lineRule="exact"/>
              <w:rPr>
                <w:sz w:val="20"/>
                <w:szCs w:val="20"/>
                <w:color w:val="auto"/>
              </w:rPr>
            </w:pPr>
            <w:r>
              <w:rPr>
                <w:rFonts w:ascii="Calibri" w:cs="Calibri" w:eastAsia="Calibri" w:hAnsi="Calibri"/>
                <w:sz w:val="18"/>
                <w:szCs w:val="18"/>
                <w:color w:val="auto"/>
              </w:rPr>
              <w:t>Less: Net earnings atributable to noncontrolling interests</w:t>
            </w:r>
          </w:p>
        </w:tc>
        <w:tc>
          <w:tcPr>
            <w:tcW w:w="460" w:type="dxa"/>
            <w:vAlign w:val="bottom"/>
          </w:tcPr>
          <w:p>
            <w:pPr>
              <w:spacing w:after="0"/>
              <w:rPr>
                <w:sz w:val="18"/>
                <w:szCs w:val="18"/>
                <w:color w:val="auto"/>
              </w:rPr>
            </w:pPr>
          </w:p>
        </w:tc>
        <w:tc>
          <w:tcPr>
            <w:tcW w:w="11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0.5</w:t>
            </w: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592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b w:val="1"/>
                <w:bCs w:val="1"/>
                <w:color w:val="auto"/>
              </w:rPr>
              <w:t>Net Earnings Atributable to Martn Marieta</w:t>
            </w:r>
          </w:p>
        </w:tc>
        <w:tc>
          <w:tcPr>
            <w:tcW w:w="46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4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1,168.9</w:t>
            </w:r>
          </w:p>
        </w:tc>
        <w:tc>
          <w:tcPr>
            <w:tcW w:w="110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17.2</w:t>
            </w:r>
          </w:p>
        </w:tc>
        <w:tc>
          <w:tcPr>
            <w:tcW w:w="440" w:type="dxa"/>
            <w:vAlign w:val="bottom"/>
            <w:tcBorders>
              <w:bottom w:val="single" w:sz="8" w:color="E5F1F8"/>
            </w:tcBorders>
            <w:shd w:val="clear" w:color="auto" w:fill="E5F1F8"/>
          </w:tcPr>
          <w:p>
            <w:pPr>
              <w:jc w:val="right"/>
              <w:ind w:right="90"/>
              <w:spacing w:after="0" w:line="208" w:lineRule="exact"/>
              <w:rPr>
                <w:sz w:val="20"/>
                <w:szCs w:val="20"/>
                <w:color w:val="auto"/>
              </w:rPr>
            </w:pPr>
            <w:r>
              <w:rPr>
                <w:rFonts w:ascii="Calibri" w:cs="Calibri" w:eastAsia="Calibri" w:hAnsi="Calibri"/>
                <w:sz w:val="18"/>
                <w:szCs w:val="18"/>
                <w:b w:val="1"/>
                <w:bCs w:val="1"/>
                <w:color w:val="auto"/>
              </w:rPr>
              <w:t>$</w:t>
            </w:r>
          </w:p>
        </w:tc>
        <w:tc>
          <w:tcPr>
            <w:tcW w:w="110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866.8</w:t>
            </w:r>
          </w:p>
        </w:tc>
        <w:tc>
          <w:tcPr>
            <w:tcW w:w="108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14.1</w:t>
            </w:r>
          </w:p>
        </w:tc>
        <w:tc>
          <w:tcPr>
            <w:tcW w:w="0" w:type="dxa"/>
            <w:vAlign w:val="bottom"/>
          </w:tcPr>
          <w:p>
            <w:pPr>
              <w:spacing w:after="0"/>
              <w:rPr>
                <w:sz w:val="1"/>
                <w:szCs w:val="1"/>
                <w:color w:val="auto"/>
              </w:rPr>
            </w:pPr>
          </w:p>
        </w:tc>
      </w:tr>
      <w:tr>
        <w:trPr>
          <w:trHeight w:val="20"/>
        </w:trPr>
        <w:tc>
          <w:tcPr>
            <w:tcW w:w="59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-2828290</wp:posOffset>
            </wp:positionV>
            <wp:extent cx="1028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-2677795</wp:posOffset>
            </wp:positionV>
            <wp:extent cx="33655"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-2677795</wp:posOffset>
            </wp:positionV>
            <wp:extent cx="33655"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-2677795</wp:posOffset>
            </wp:positionV>
            <wp:extent cx="3429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-2677795</wp:posOffset>
            </wp:positionV>
            <wp:extent cx="33655"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-2052320</wp:posOffset>
            </wp:positionV>
            <wp:extent cx="33655" cy="1879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-2052320</wp:posOffset>
            </wp:positionV>
            <wp:extent cx="33655" cy="1879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-2052320</wp:posOffset>
            </wp:positionV>
            <wp:extent cx="34290" cy="1879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-2052320</wp:posOffset>
            </wp:positionV>
            <wp:extent cx="33655" cy="1879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-1580515</wp:posOffset>
            </wp:positionV>
            <wp:extent cx="33655" cy="1879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-1580515</wp:posOffset>
            </wp:positionV>
            <wp:extent cx="33655" cy="1879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-1580515</wp:posOffset>
            </wp:positionV>
            <wp:extent cx="34290" cy="1879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-1580515</wp:posOffset>
            </wp:positionV>
            <wp:extent cx="33655" cy="1879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-1126490</wp:posOffset>
            </wp:positionV>
            <wp:extent cx="33655" cy="1885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-1126490</wp:posOffset>
            </wp:positionV>
            <wp:extent cx="33655"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-1126490</wp:posOffset>
            </wp:positionV>
            <wp:extent cx="34290"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-1126490</wp:posOffset>
            </wp:positionV>
            <wp:extent cx="33655"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-809625</wp:posOffset>
            </wp:positionV>
            <wp:extent cx="33655" cy="3257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33655" cy="325755"/>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-809625</wp:posOffset>
            </wp:positionV>
            <wp:extent cx="33655" cy="3257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33655" cy="325755"/>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-809625</wp:posOffset>
            </wp:positionV>
            <wp:extent cx="34290" cy="3257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34290" cy="325755"/>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-809625</wp:posOffset>
            </wp:positionV>
            <wp:extent cx="33655" cy="3257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33655" cy="3257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-354965</wp:posOffset>
            </wp:positionV>
            <wp:extent cx="33655" cy="3683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4749800</wp:posOffset>
            </wp:positionH>
            <wp:positionV relativeFrom="paragraph">
              <wp:posOffset>-354965</wp:posOffset>
            </wp:positionV>
            <wp:extent cx="33655" cy="3683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-354965</wp:posOffset>
            </wp:positionV>
            <wp:extent cx="34290" cy="3683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6430010</wp:posOffset>
            </wp:positionH>
            <wp:positionV relativeFrom="paragraph">
              <wp:posOffset>-354965</wp:posOffset>
            </wp:positionV>
            <wp:extent cx="33655" cy="3683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Consolidated Adjusted EBITDA</w:t>
      </w:r>
    </w:p>
    <w:p>
      <w:pPr>
        <w:spacing w:after="0" w:line="5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Earnings from contnuing operatons before interest; income taxes; depreciaton, depleton and amortzaton; earnings/loss from nonconsolidated equity afliates; acquisiton, divestture and integraton expenses; and the nonrecurring gain on the divestture of certain ready mixed concrete operatons (Adjusted EBITDA) is an indicator used by the Company and investors to evaluate the Company’s operatng performance from period to period. Adjusted EBITDA is not defned by U.S. generally accepted accountng principles (GAAP) and, as such, should not be construed as an alternatve to net earnings atributable to Martn Marieta, earnings from operatons or operatng cash fow. Since Adjusted EBITDA excludes some, but not all, items that afect net earnings and may vary among companies, Adjusted EBITDA as presented by the Company may not be comparable to similarly ttled measures of other companies.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a reconciliaton of net earnings from contnuing operatons atributable to Martn Marieta to consolidated Adjusted EBITDA: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560" w:type="dxa"/>
            <w:vAlign w:val="bottom"/>
            <w:shd w:val="clear" w:color="auto" w:fill="007CBA"/>
          </w:tcPr>
          <w:p>
            <w:pPr>
              <w:spacing w:after="0"/>
              <w:rPr>
                <w:sz w:val="20"/>
                <w:szCs w:val="20"/>
                <w:color w:val="auto"/>
              </w:rPr>
            </w:pPr>
          </w:p>
        </w:tc>
        <w:tc>
          <w:tcPr>
            <w:tcW w:w="1380" w:type="dxa"/>
            <w:vAlign w:val="bottom"/>
            <w:tcBorders>
              <w:right w:val="single" w:sz="8" w:color="007CBA"/>
            </w:tcBorders>
            <w:shd w:val="clear" w:color="auto" w:fill="007CBA"/>
          </w:tcPr>
          <w:p>
            <w:pPr>
              <w:spacing w:after="0"/>
              <w:rPr>
                <w:sz w:val="20"/>
                <w:szCs w:val="20"/>
                <w:color w:val="auto"/>
              </w:rPr>
            </w:pPr>
          </w:p>
        </w:tc>
        <w:tc>
          <w:tcPr>
            <w:tcW w:w="540" w:type="dxa"/>
            <w:vAlign w:val="bottom"/>
            <w:shd w:val="clear" w:color="auto" w:fill="007CBA"/>
          </w:tcPr>
          <w:p>
            <w:pPr>
              <w:spacing w:after="0"/>
              <w:rPr>
                <w:sz w:val="20"/>
                <w:szCs w:val="20"/>
                <w:color w:val="auto"/>
              </w:rPr>
            </w:pPr>
          </w:p>
        </w:tc>
        <w:tc>
          <w:tcPr>
            <w:tcW w:w="1520" w:type="dxa"/>
            <w:vAlign w:val="bottom"/>
            <w:shd w:val="clear" w:color="auto" w:fill="007CBA"/>
          </w:tcPr>
          <w:p>
            <w:pPr>
              <w:spacing w:after="0"/>
              <w:rPr>
                <w:sz w:val="20"/>
                <w:szCs w:val="20"/>
                <w:color w:val="auto"/>
              </w:rPr>
            </w:pPr>
          </w:p>
        </w:tc>
      </w:tr>
      <w:tr>
        <w:trPr>
          <w:trHeight w:val="231"/>
        </w:trPr>
        <w:tc>
          <w:tcPr>
            <w:tcW w:w="72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tcBorders>
              <w:bottom w:val="single" w:sz="8" w:color="007CBA"/>
            </w:tcBorders>
            <w:shd w:val="clear" w:color="auto" w:fill="007CBA"/>
          </w:tcPr>
          <w:p>
            <w:pPr>
              <w:spacing w:after="0"/>
              <w:rPr>
                <w:sz w:val="20"/>
                <w:szCs w:val="20"/>
                <w:color w:val="auto"/>
              </w:rPr>
            </w:pPr>
          </w:p>
        </w:tc>
        <w:tc>
          <w:tcPr>
            <w:tcW w:w="1380" w:type="dxa"/>
            <w:vAlign w:val="bottom"/>
            <w:tcBorders>
              <w:bottom w:val="single" w:sz="8" w:color="007CBA"/>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2023</w:t>
            </w:r>
          </w:p>
        </w:tc>
        <w:tc>
          <w:tcPr>
            <w:tcW w:w="540" w:type="dxa"/>
            <w:vAlign w:val="bottom"/>
            <w:tcBorders>
              <w:bottom w:val="single" w:sz="8" w:color="007CBA"/>
            </w:tcBorders>
            <w:shd w:val="clear" w:color="auto" w:fill="007CBA"/>
          </w:tcPr>
          <w:p>
            <w:pPr>
              <w:spacing w:after="0"/>
              <w:rPr>
                <w:sz w:val="20"/>
                <w:szCs w:val="20"/>
                <w:color w:val="auto"/>
              </w:rPr>
            </w:pPr>
          </w:p>
        </w:tc>
        <w:tc>
          <w:tcPr>
            <w:tcW w:w="1520" w:type="dxa"/>
            <w:vAlign w:val="bottom"/>
            <w:tcBorders>
              <w:bottom w:val="single" w:sz="8" w:color="007CBA"/>
            </w:tcBorders>
            <w:shd w:val="clear" w:color="auto" w:fill="007CBA"/>
          </w:tcPr>
          <w:p>
            <w:pPr>
              <w:jc w:val="right"/>
              <w:ind w:right="810"/>
              <w:spacing w:after="0" w:line="215" w:lineRule="exact"/>
              <w:rPr>
                <w:sz w:val="20"/>
                <w:szCs w:val="20"/>
                <w:color w:val="auto"/>
              </w:rPr>
            </w:pPr>
            <w:r>
              <w:rPr>
                <w:rFonts w:ascii="Calibri" w:cs="Calibri" w:eastAsia="Calibri" w:hAnsi="Calibri"/>
                <w:sz w:val="18"/>
                <w:szCs w:val="18"/>
                <w:color w:val="FFFFFF"/>
              </w:rPr>
              <w:t>2022</w:t>
            </w:r>
          </w:p>
        </w:tc>
      </w:tr>
      <w:tr>
        <w:trPr>
          <w:trHeight w:val="223"/>
        </w:trPr>
        <w:tc>
          <w:tcPr>
            <w:tcW w:w="72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Net earnings from contnuing operatons atributable to Martn Marieta</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1,199.8</w:t>
            </w:r>
          </w:p>
        </w:tc>
        <w:tc>
          <w:tcPr>
            <w:tcW w:w="54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5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856.3</w:t>
            </w:r>
          </w:p>
        </w:tc>
      </w:tr>
      <w:tr>
        <w:trPr>
          <w:trHeight w:val="215"/>
        </w:trPr>
        <w:tc>
          <w:tcPr>
            <w:tcW w:w="72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Add back (subtract):</w:t>
            </w:r>
          </w:p>
        </w:tc>
        <w:tc>
          <w:tcPr>
            <w:tcW w:w="560" w:type="dxa"/>
            <w:vAlign w:val="bottom"/>
          </w:tcPr>
          <w:p>
            <w:pPr>
              <w:spacing w:after="0"/>
              <w:rPr>
                <w:sz w:val="18"/>
                <w:szCs w:val="18"/>
                <w:color w:val="auto"/>
              </w:rPr>
            </w:pPr>
          </w:p>
        </w:tc>
        <w:tc>
          <w:tcPr>
            <w:tcW w:w="1380" w:type="dxa"/>
            <w:vAlign w:val="bottom"/>
            <w:tcBorders>
              <w:right w:val="single" w:sz="8" w:color="007CBA"/>
            </w:tcBorders>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8"/>
        </w:trPr>
        <w:tc>
          <w:tcPr>
            <w:tcW w:w="72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724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Interest expense, net of interest income</w:t>
            </w:r>
          </w:p>
        </w:tc>
        <w:tc>
          <w:tcPr>
            <w:tcW w:w="560" w:type="dxa"/>
            <w:vAlign w:val="bottom"/>
            <w:tcBorders>
              <w:bottom w:val="single" w:sz="8" w:color="E5F1F8"/>
            </w:tcBorders>
            <w:shd w:val="clear" w:color="auto" w:fill="E5F1F8"/>
          </w:tcPr>
          <w:p>
            <w:pPr>
              <w:spacing w:after="0"/>
              <w:rPr>
                <w:sz w:val="19"/>
                <w:szCs w:val="19"/>
                <w:color w:val="auto"/>
              </w:rPr>
            </w:pPr>
          </w:p>
        </w:tc>
        <w:tc>
          <w:tcPr>
            <w:tcW w:w="13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118.6</w:t>
            </w:r>
          </w:p>
        </w:tc>
        <w:tc>
          <w:tcPr>
            <w:tcW w:w="540" w:type="dxa"/>
            <w:vAlign w:val="bottom"/>
            <w:tcBorders>
              <w:bottom w:val="single" w:sz="8" w:color="E5F1F8"/>
            </w:tcBorders>
            <w:shd w:val="clear" w:color="auto" w:fill="E5F1F8"/>
          </w:tcPr>
          <w:p>
            <w:pPr>
              <w:spacing w:after="0"/>
              <w:rPr>
                <w:sz w:val="19"/>
                <w:szCs w:val="19"/>
                <w:color w:val="auto"/>
              </w:rPr>
            </w:pPr>
          </w:p>
        </w:tc>
        <w:tc>
          <w:tcPr>
            <w:tcW w:w="15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155.4</w:t>
            </w:r>
          </w:p>
        </w:tc>
      </w:tr>
      <w:tr>
        <w:trPr>
          <w:trHeight w:val="215"/>
        </w:trPr>
        <w:tc>
          <w:tcPr>
            <w:tcW w:w="724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Income tax expense for controlling interests</w:t>
            </w:r>
          </w:p>
        </w:tc>
        <w:tc>
          <w:tcPr>
            <w:tcW w:w="560" w:type="dxa"/>
            <w:vAlign w:val="bottom"/>
          </w:tcPr>
          <w:p>
            <w:pPr>
              <w:spacing w:after="0"/>
              <w:rPr>
                <w:sz w:val="18"/>
                <w:szCs w:val="18"/>
                <w:color w:val="auto"/>
              </w:rPr>
            </w:pP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292.3</w:t>
            </w:r>
          </w:p>
        </w:tc>
        <w:tc>
          <w:tcPr>
            <w:tcW w:w="540" w:type="dxa"/>
            <w:vAlign w:val="bottom"/>
          </w:tcPr>
          <w:p>
            <w:pPr>
              <w:spacing w:after="0"/>
              <w:rPr>
                <w:sz w:val="18"/>
                <w:szCs w:val="18"/>
                <w:color w:val="auto"/>
              </w:rPr>
            </w:pPr>
          </w:p>
        </w:tc>
        <w:tc>
          <w:tcPr>
            <w:tcW w:w="152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234.8</w:t>
            </w:r>
          </w:p>
        </w:tc>
      </w:tr>
      <w:tr>
        <w:trPr>
          <w:trHeight w:val="28"/>
        </w:trPr>
        <w:tc>
          <w:tcPr>
            <w:tcW w:w="72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07"/>
        </w:trPr>
        <w:tc>
          <w:tcPr>
            <w:tcW w:w="7240" w:type="dxa"/>
            <w:vAlign w:val="bottom"/>
            <w:tcBorders>
              <w:right w:val="single" w:sz="8" w:color="007CBA"/>
            </w:tcBorders>
            <w:shd w:val="clear" w:color="auto" w:fill="E5F1F8"/>
          </w:tcPr>
          <w:p>
            <w:pPr>
              <w:ind w:left="200"/>
              <w:spacing w:after="0" w:line="207" w:lineRule="exact"/>
              <w:rPr>
                <w:sz w:val="20"/>
                <w:szCs w:val="20"/>
                <w:color w:val="auto"/>
              </w:rPr>
            </w:pPr>
            <w:r>
              <w:rPr>
                <w:rFonts w:ascii="Calibri" w:cs="Calibri" w:eastAsia="Calibri" w:hAnsi="Calibri"/>
                <w:sz w:val="18"/>
                <w:szCs w:val="18"/>
                <w:color w:val="auto"/>
              </w:rPr>
              <w:t>Depreciaton, depleton and amortzaton expense and earnings/loss from</w:t>
            </w:r>
          </w:p>
        </w:tc>
        <w:tc>
          <w:tcPr>
            <w:tcW w:w="560" w:type="dxa"/>
            <w:vAlign w:val="bottom"/>
            <w:shd w:val="clear" w:color="auto" w:fill="E5F1F8"/>
          </w:tcPr>
          <w:p>
            <w:pPr>
              <w:spacing w:after="0"/>
              <w:rPr>
                <w:sz w:val="18"/>
                <w:szCs w:val="18"/>
                <w:color w:val="auto"/>
              </w:rPr>
            </w:pPr>
          </w:p>
        </w:tc>
        <w:tc>
          <w:tcPr>
            <w:tcW w:w="1380" w:type="dxa"/>
            <w:vAlign w:val="bottom"/>
            <w:tcBorders>
              <w:right w:val="single" w:sz="8" w:color="007CBA"/>
            </w:tcBorders>
            <w:shd w:val="clear" w:color="auto" w:fill="E5F1F8"/>
          </w:tcPr>
          <w:p>
            <w:pPr>
              <w:spacing w:after="0"/>
              <w:rPr>
                <w:sz w:val="18"/>
                <w:szCs w:val="18"/>
                <w:color w:val="auto"/>
              </w:rPr>
            </w:pPr>
          </w:p>
        </w:tc>
        <w:tc>
          <w:tcPr>
            <w:tcW w:w="540" w:type="dxa"/>
            <w:vAlign w:val="bottom"/>
            <w:shd w:val="clear" w:color="auto" w:fill="E5F1F8"/>
          </w:tcPr>
          <w:p>
            <w:pPr>
              <w:spacing w:after="0"/>
              <w:rPr>
                <w:sz w:val="18"/>
                <w:szCs w:val="18"/>
                <w:color w:val="auto"/>
              </w:rPr>
            </w:pPr>
          </w:p>
        </w:tc>
        <w:tc>
          <w:tcPr>
            <w:tcW w:w="1520" w:type="dxa"/>
            <w:vAlign w:val="bottom"/>
            <w:shd w:val="clear" w:color="auto" w:fill="E5F1F8"/>
          </w:tcPr>
          <w:p>
            <w:pPr>
              <w:spacing w:after="0"/>
              <w:rPr>
                <w:sz w:val="18"/>
                <w:szCs w:val="18"/>
                <w:color w:val="auto"/>
              </w:rPr>
            </w:pPr>
          </w:p>
        </w:tc>
      </w:tr>
      <w:tr>
        <w:trPr>
          <w:trHeight w:val="232"/>
        </w:trPr>
        <w:tc>
          <w:tcPr>
            <w:tcW w:w="7240" w:type="dxa"/>
            <w:vAlign w:val="bottom"/>
            <w:tcBorders>
              <w:bottom w:val="single" w:sz="8" w:color="E5F1F8"/>
              <w:right w:val="single" w:sz="8" w:color="007CBA"/>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nonconsolidated equity afliates</w:t>
            </w:r>
          </w:p>
        </w:tc>
        <w:tc>
          <w:tcPr>
            <w:tcW w:w="560" w:type="dxa"/>
            <w:vAlign w:val="bottom"/>
            <w:tcBorders>
              <w:bottom w:val="single" w:sz="8" w:color="E5F1F8"/>
            </w:tcBorders>
            <w:shd w:val="clear" w:color="auto" w:fill="E5F1F8"/>
          </w:tcPr>
          <w:p>
            <w:pPr>
              <w:spacing w:after="0"/>
              <w:rPr>
                <w:sz w:val="20"/>
                <w:szCs w:val="20"/>
                <w:color w:val="auto"/>
              </w:rPr>
            </w:pPr>
          </w:p>
        </w:tc>
        <w:tc>
          <w:tcPr>
            <w:tcW w:w="13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504.8</w:t>
            </w:r>
          </w:p>
        </w:tc>
        <w:tc>
          <w:tcPr>
            <w:tcW w:w="540" w:type="dxa"/>
            <w:vAlign w:val="bottom"/>
            <w:tcBorders>
              <w:bottom w:val="single" w:sz="8" w:color="E5F1F8"/>
            </w:tcBorders>
            <w:shd w:val="clear" w:color="auto" w:fill="E5F1F8"/>
          </w:tcPr>
          <w:p>
            <w:pPr>
              <w:spacing w:after="0"/>
              <w:rPr>
                <w:sz w:val="20"/>
                <w:szCs w:val="20"/>
                <w:color w:val="auto"/>
              </w:rPr>
            </w:pPr>
          </w:p>
        </w:tc>
        <w:tc>
          <w:tcPr>
            <w:tcW w:w="15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496.6</w:t>
            </w:r>
          </w:p>
        </w:tc>
      </w:tr>
      <w:tr>
        <w:trPr>
          <w:trHeight w:val="243"/>
        </w:trPr>
        <w:tc>
          <w:tcPr>
            <w:tcW w:w="724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Acquisiton, divestture and integraton expenses</w:t>
            </w:r>
          </w:p>
        </w:tc>
        <w:tc>
          <w:tcPr>
            <w:tcW w:w="560" w:type="dxa"/>
            <w:vAlign w:val="bottom"/>
          </w:tcPr>
          <w:p>
            <w:pPr>
              <w:spacing w:after="0"/>
              <w:rPr>
                <w:sz w:val="21"/>
                <w:szCs w:val="21"/>
                <w:color w:val="auto"/>
              </w:rPr>
            </w:pP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12.2</w:t>
            </w:r>
          </w:p>
        </w:tc>
        <w:tc>
          <w:tcPr>
            <w:tcW w:w="540" w:type="dxa"/>
            <w:vAlign w:val="bottom"/>
          </w:tcPr>
          <w:p>
            <w:pPr>
              <w:spacing w:after="0"/>
              <w:rPr>
                <w:sz w:val="21"/>
                <w:szCs w:val="21"/>
                <w:color w:val="auto"/>
              </w:rPr>
            </w:pPr>
          </w:p>
        </w:tc>
        <w:tc>
          <w:tcPr>
            <w:tcW w:w="152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9.1</w:t>
            </w:r>
          </w:p>
        </w:tc>
      </w:tr>
      <w:tr>
        <w:trPr>
          <w:trHeight w:val="248"/>
        </w:trPr>
        <w:tc>
          <w:tcPr>
            <w:tcW w:w="7240" w:type="dxa"/>
            <w:vAlign w:val="bottom"/>
            <w:tcBorders>
              <w:bottom w:val="single" w:sz="8" w:color="E5F1F8"/>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Nonrecurring gain on divestture</w:t>
            </w:r>
          </w:p>
        </w:tc>
        <w:tc>
          <w:tcPr>
            <w:tcW w:w="560" w:type="dxa"/>
            <w:vAlign w:val="bottom"/>
            <w:tcBorders>
              <w:bottom w:val="single" w:sz="8" w:color="E5F1F8"/>
            </w:tcBorders>
            <w:shd w:val="clear" w:color="auto" w:fill="E5F1F8"/>
          </w:tcPr>
          <w:p>
            <w:pPr>
              <w:spacing w:after="0"/>
              <w:rPr>
                <w:sz w:val="21"/>
                <w:szCs w:val="21"/>
                <w:color w:val="auto"/>
              </w:rPr>
            </w:pPr>
          </w:p>
        </w:tc>
        <w:tc>
          <w:tcPr>
            <w:tcW w:w="138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540" w:type="dxa"/>
            <w:vAlign w:val="bottom"/>
            <w:tcBorders>
              <w:bottom w:val="single" w:sz="8" w:color="E5F1F8"/>
            </w:tcBorders>
            <w:shd w:val="clear" w:color="auto" w:fill="E5F1F8"/>
          </w:tcPr>
          <w:p>
            <w:pPr>
              <w:spacing w:after="0"/>
              <w:rPr>
                <w:sz w:val="21"/>
                <w:szCs w:val="21"/>
                <w:color w:val="auto"/>
              </w:rPr>
            </w:pPr>
          </w:p>
        </w:tc>
        <w:tc>
          <w:tcPr>
            <w:tcW w:w="1520" w:type="dxa"/>
            <w:vAlign w:val="bottom"/>
            <w:tcBorders>
              <w:bottom w:val="single" w:sz="8" w:color="E5F1F8"/>
            </w:tcBorders>
            <w:shd w:val="clear" w:color="auto" w:fill="E5F1F8"/>
          </w:tcPr>
          <w:p>
            <w:pPr>
              <w:jc w:val="right"/>
              <w:ind w:right="130"/>
              <w:spacing w:after="0" w:line="215" w:lineRule="exact"/>
              <w:rPr>
                <w:sz w:val="20"/>
                <w:szCs w:val="20"/>
                <w:color w:val="auto"/>
              </w:rPr>
            </w:pPr>
            <w:r>
              <w:rPr>
                <w:rFonts w:ascii="Calibri" w:cs="Calibri" w:eastAsia="Calibri" w:hAnsi="Calibri"/>
                <w:sz w:val="18"/>
                <w:szCs w:val="18"/>
                <w:color w:val="auto"/>
              </w:rPr>
              <w:t>(151.9 )</w:t>
            </w:r>
          </w:p>
        </w:tc>
      </w:tr>
      <w:tr>
        <w:trPr>
          <w:trHeight w:val="208"/>
        </w:trPr>
        <w:tc>
          <w:tcPr>
            <w:tcW w:w="72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Consolidated Adjusted EBITDA</w:t>
            </w:r>
          </w:p>
        </w:tc>
        <w:tc>
          <w:tcPr>
            <w:tcW w:w="560" w:type="dxa"/>
            <w:vAlign w:val="bottom"/>
            <w:tcBorders>
              <w:top w:val="single" w:sz="8" w:color="auto"/>
            </w:tcBorders>
          </w:tcPr>
          <w:p>
            <w:pPr>
              <w:jc w:val="right"/>
              <w:ind w:right="190"/>
              <w:spacing w:after="0" w:line="208"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2,127.7</w:t>
            </w:r>
          </w:p>
        </w:tc>
        <w:tc>
          <w:tcPr>
            <w:tcW w:w="54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520" w:type="dxa"/>
            <w:vAlign w:val="bottom"/>
            <w:tcBorders>
              <w:top w:val="single" w:sz="8" w:color="auto"/>
            </w:tcBorders>
          </w:tcPr>
          <w:p>
            <w:pPr>
              <w:jc w:val="right"/>
              <w:ind w:right="210"/>
              <w:spacing w:after="0" w:line="208" w:lineRule="exact"/>
              <w:rPr>
                <w:sz w:val="20"/>
                <w:szCs w:val="20"/>
                <w:color w:val="auto"/>
              </w:rPr>
            </w:pPr>
            <w:r>
              <w:rPr>
                <w:rFonts w:ascii="Calibri" w:cs="Calibri" w:eastAsia="Calibri" w:hAnsi="Calibri"/>
                <w:sz w:val="18"/>
                <w:szCs w:val="18"/>
                <w:color w:val="auto"/>
              </w:rPr>
              <w:t>1,600.3</w:t>
            </w:r>
          </w:p>
        </w:tc>
      </w:tr>
      <w:tr>
        <w:trPr>
          <w:trHeight w:val="28"/>
        </w:trPr>
        <w:tc>
          <w:tcPr>
            <w:tcW w:w="7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-354965</wp:posOffset>
            </wp:positionV>
            <wp:extent cx="34290" cy="3683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-354965</wp:posOffset>
            </wp:positionV>
            <wp:extent cx="33655" cy="3683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213995</wp:posOffset>
            </wp:positionV>
            <wp:extent cx="325755" cy="1968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3" w:name="page54"/>
    <w:bookmarkEnd w:id="53"/>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Mix-Adjusted Average Selling Price</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Mix-adjusted average selling price (mix-adjusted ASP) is a non-GAAP measure that excludes the impacts of period-over-period product, geographic and other mix on the average selling price. Mix-adjusted ASP is calculated by comparing current-period shipments to like-for-like shipments in the comparable prior period. Management uses this metric to evaluate the realizaton of pricing increases and believes this informaton is useful to investors as it provides same-on-same pricing trends.</w:t>
      </w:r>
    </w:p>
    <w:p>
      <w:pPr>
        <w:spacing w:after="0" w:line="53"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reconciles reported average selling price to mix-adjusted ASP and corresponding variances: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20" w:type="dxa"/>
            <w:vAlign w:val="bottom"/>
            <w:gridSpan w:val="2"/>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1060" w:type="dxa"/>
            <w:vAlign w:val="bottom"/>
            <w:shd w:val="clear" w:color="auto" w:fill="007CBA"/>
          </w:tcPr>
          <w:p>
            <w:pPr>
              <w:jc w:val="right"/>
              <w:spacing w:after="0"/>
              <w:rPr>
                <w:sz w:val="20"/>
                <w:szCs w:val="20"/>
                <w:color w:val="auto"/>
              </w:rPr>
            </w:pPr>
            <w:r>
              <w:rPr>
                <w:rFonts w:ascii="Calibri" w:cs="Calibri" w:eastAsia="Calibri" w:hAnsi="Calibri"/>
                <w:sz w:val="18"/>
                <w:szCs w:val="18"/>
                <w:b w:val="1"/>
                <w:bCs w:val="1"/>
                <w:color w:val="FFFFFF"/>
              </w:rPr>
              <w:t>2023</w:t>
            </w:r>
          </w:p>
        </w:tc>
        <w:tc>
          <w:tcPr>
            <w:tcW w:w="700" w:type="dxa"/>
            <w:vAlign w:val="bottom"/>
            <w:tcBorders>
              <w:right w:val="single" w:sz="8" w:color="007CBA"/>
            </w:tcBorders>
            <w:shd w:val="clear" w:color="auto" w:fill="007CBA"/>
          </w:tcPr>
          <w:p>
            <w:pPr>
              <w:spacing w:after="0"/>
              <w:rPr>
                <w:sz w:val="21"/>
                <w:szCs w:val="21"/>
                <w:color w:val="auto"/>
              </w:rPr>
            </w:pPr>
          </w:p>
        </w:tc>
        <w:tc>
          <w:tcPr>
            <w:tcW w:w="160" w:type="dxa"/>
            <w:vAlign w:val="bottom"/>
            <w:shd w:val="clear" w:color="auto" w:fill="007CBA"/>
          </w:tcPr>
          <w:p>
            <w:pPr>
              <w:spacing w:after="0"/>
              <w:rPr>
                <w:sz w:val="21"/>
                <w:szCs w:val="21"/>
                <w:color w:val="auto"/>
              </w:rPr>
            </w:pPr>
          </w:p>
        </w:tc>
        <w:tc>
          <w:tcPr>
            <w:tcW w:w="380" w:type="dxa"/>
            <w:vAlign w:val="bottom"/>
            <w:shd w:val="clear" w:color="auto" w:fill="007CBA"/>
          </w:tcPr>
          <w:p>
            <w:pPr>
              <w:spacing w:after="0"/>
              <w:rPr>
                <w:sz w:val="21"/>
                <w:szCs w:val="21"/>
                <w:color w:val="auto"/>
              </w:rPr>
            </w:pPr>
          </w:p>
        </w:tc>
        <w:tc>
          <w:tcPr>
            <w:tcW w:w="1340" w:type="dxa"/>
            <w:vAlign w:val="bottom"/>
            <w:shd w:val="clear" w:color="auto" w:fill="007CBA"/>
          </w:tcPr>
          <w:p>
            <w:pPr>
              <w:jc w:val="right"/>
              <w:ind w:right="630"/>
              <w:spacing w:after="0"/>
              <w:rPr>
                <w:sz w:val="20"/>
                <w:szCs w:val="20"/>
                <w:color w:val="auto"/>
              </w:rPr>
            </w:pPr>
            <w:r>
              <w:rPr>
                <w:rFonts w:ascii="Calibri" w:cs="Calibri" w:eastAsia="Calibri" w:hAnsi="Calibri"/>
                <w:sz w:val="18"/>
                <w:szCs w:val="18"/>
                <w:color w:val="FFFFFF"/>
              </w:rPr>
              <w:t>2022</w:t>
            </w:r>
          </w:p>
        </w:tc>
        <w:tc>
          <w:tcPr>
            <w:tcW w:w="180" w:type="dxa"/>
            <w:vAlign w:val="bottom"/>
            <w:shd w:val="clear" w:color="auto" w:fill="007CBA"/>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2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b w:val="1"/>
                <w:bCs w:val="1"/>
                <w:color w:val="auto"/>
              </w:rPr>
              <w:t>Aggregates: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Borders>
              <w:right w:val="single" w:sz="8" w:color="007CBA"/>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240" w:type="dxa"/>
            <w:vAlign w:val="bottom"/>
            <w:tcBorders>
              <w:right w:val="single" w:sz="8" w:color="007CBA"/>
            </w:tcBorders>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Borders>
              <w:right w:val="single" w:sz="8" w:color="007CBA"/>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240" w:type="dxa"/>
            <w:vAlign w:val="bottom"/>
            <w:tcBorders>
              <w:bottom w:val="single" w:sz="8" w:color="E5F1F8"/>
              <w:right w:val="single" w:sz="8" w:color="007CBA"/>
            </w:tcBorders>
            <w:shd w:val="clear" w:color="auto" w:fill="E5F1F8"/>
          </w:tcPr>
          <w:p>
            <w:pPr>
              <w:ind w:left="120"/>
              <w:spacing w:after="0"/>
              <w:rPr>
                <w:sz w:val="20"/>
                <w:szCs w:val="20"/>
                <w:color w:val="auto"/>
              </w:rPr>
            </w:pPr>
            <w:r>
              <w:rPr>
                <w:rFonts w:ascii="Calibri" w:cs="Calibri" w:eastAsia="Calibri" w:hAnsi="Calibri"/>
                <w:sz w:val="18"/>
                <w:szCs w:val="18"/>
                <w:color w:val="auto"/>
              </w:rPr>
              <w:t>Reported average selling price</w:t>
            </w:r>
          </w:p>
        </w:tc>
        <w:tc>
          <w:tcPr>
            <w:tcW w:w="180" w:type="dxa"/>
            <w:vAlign w:val="bottom"/>
            <w:tcBorders>
              <w:bottom w:val="single" w:sz="8" w:color="E5F1F8"/>
            </w:tcBorders>
            <w:shd w:val="clear" w:color="auto" w:fill="E5F1F8"/>
          </w:tcPr>
          <w:p>
            <w:pPr>
              <w:spacing w:after="0"/>
              <w:rPr>
                <w:sz w:val="24"/>
                <w:szCs w:val="24"/>
                <w:color w:val="auto"/>
              </w:rPr>
            </w:pPr>
          </w:p>
        </w:tc>
        <w:tc>
          <w:tcPr>
            <w:tcW w:w="1060" w:type="dxa"/>
            <w:vAlign w:val="bottom"/>
            <w:tcBorders>
              <w:bottom w:val="single" w:sz="8" w:color="E5F1F8"/>
            </w:tcBorders>
            <w:shd w:val="clear" w:color="auto" w:fill="E5F1F8"/>
          </w:tcPr>
          <w:p>
            <w:pPr>
              <w:jc w:val="right"/>
              <w:ind w:right="870"/>
              <w:spacing w:after="0"/>
              <w:rPr>
                <w:sz w:val="20"/>
                <w:szCs w:val="20"/>
                <w:color w:val="auto"/>
              </w:rPr>
            </w:pPr>
            <w:r>
              <w:rPr>
                <w:rFonts w:ascii="Calibri" w:cs="Calibri" w:eastAsia="Calibri" w:hAnsi="Calibri"/>
                <w:sz w:val="18"/>
                <w:szCs w:val="18"/>
                <w:b w:val="1"/>
                <w:bCs w:val="1"/>
                <w:color w:val="auto"/>
                <w:w w:val="87"/>
              </w:rPr>
              <w:t>$</w:t>
            </w:r>
          </w:p>
        </w:tc>
        <w:tc>
          <w:tcPr>
            <w:tcW w:w="700" w:type="dxa"/>
            <w:vAlign w:val="bottom"/>
            <w:tcBorders>
              <w:bottom w:val="single" w:sz="8" w:color="E5F1F8"/>
              <w:right w:val="single" w:sz="8" w:color="007CBA"/>
            </w:tcBorders>
            <w:shd w:val="clear" w:color="auto" w:fill="E5F1F8"/>
          </w:tcPr>
          <w:p>
            <w:pPr>
              <w:jc w:val="right"/>
              <w:ind w:right="50"/>
              <w:spacing w:after="0"/>
              <w:rPr>
                <w:sz w:val="20"/>
                <w:szCs w:val="20"/>
                <w:color w:val="auto"/>
              </w:rPr>
            </w:pPr>
            <w:r>
              <w:rPr>
                <w:rFonts w:ascii="Calibri" w:cs="Calibri" w:eastAsia="Calibri" w:hAnsi="Calibri"/>
                <w:sz w:val="18"/>
                <w:szCs w:val="18"/>
                <w:b w:val="1"/>
                <w:bCs w:val="1"/>
                <w:color w:val="auto"/>
              </w:rPr>
              <w:t>19.84</w:t>
            </w:r>
          </w:p>
        </w:tc>
        <w:tc>
          <w:tcPr>
            <w:tcW w:w="160" w:type="dxa"/>
            <w:vAlign w:val="bottom"/>
            <w:tcBorders>
              <w:bottom w:val="single" w:sz="8" w:color="E5F1F8"/>
            </w:tcBorders>
            <w:shd w:val="clear" w:color="auto" w:fill="E5F1F8"/>
          </w:tcPr>
          <w:p>
            <w:pPr>
              <w:spacing w:after="0"/>
              <w:rPr>
                <w:sz w:val="24"/>
                <w:szCs w:val="24"/>
                <w:color w:val="auto"/>
              </w:rPr>
            </w:pPr>
          </w:p>
        </w:tc>
        <w:tc>
          <w:tcPr>
            <w:tcW w:w="380" w:type="dxa"/>
            <w:vAlign w:val="bottom"/>
            <w:tcBorders>
              <w:bottom w:val="single" w:sz="8" w:color="auto"/>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auto"/>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16.68</w:t>
            </w:r>
          </w:p>
        </w:tc>
        <w:tc>
          <w:tcPr>
            <w:tcW w:w="180" w:type="dxa"/>
            <w:vAlign w:val="bottom"/>
            <w:tcBorders>
              <w:bottom w:val="single" w:sz="8" w:color="E5F1F8"/>
            </w:tcBorders>
            <w:shd w:val="clear" w:color="auto" w:fill="E5F1F8"/>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240" w:type="dxa"/>
            <w:vAlign w:val="bottom"/>
            <w:tcBorders>
              <w:right w:val="single" w:sz="8" w:color="007CBA"/>
            </w:tcBorders>
          </w:tcPr>
          <w:p>
            <w:pPr>
              <w:ind w:left="120"/>
              <w:spacing w:after="0" w:line="200" w:lineRule="exact"/>
              <w:rPr>
                <w:sz w:val="20"/>
                <w:szCs w:val="20"/>
                <w:color w:val="auto"/>
              </w:rPr>
            </w:pPr>
            <w:r>
              <w:rPr>
                <w:rFonts w:ascii="Calibri" w:cs="Calibri" w:eastAsia="Calibri" w:hAnsi="Calibri"/>
                <w:sz w:val="18"/>
                <w:szCs w:val="18"/>
                <w:color w:val="auto"/>
              </w:rPr>
              <w:t>Adjustment for impact of product, geographic and other mix</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Calibri" w:cs="Calibri" w:eastAsia="Calibri" w:hAnsi="Calibri"/>
                <w:sz w:val="18"/>
                <w:szCs w:val="18"/>
                <w:b w:val="1"/>
                <w:bCs w:val="1"/>
                <w:color w:val="auto"/>
              </w:rPr>
              <w:t>(0.28 )</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240" w:type="dxa"/>
            <w:vAlign w:val="bottom"/>
            <w:tcBorders>
              <w:right w:val="single" w:sz="8" w:color="007CBA"/>
            </w:tcBorders>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240" w:type="dxa"/>
            <w:vAlign w:val="bottom"/>
            <w:tcBorders>
              <w:bottom w:val="single" w:sz="8" w:color="E5F1F8"/>
              <w:right w:val="single" w:sz="8" w:color="007CBA"/>
            </w:tcBorders>
            <w:shd w:val="clear" w:color="auto" w:fill="E5F1F8"/>
          </w:tcPr>
          <w:p>
            <w:pPr>
              <w:ind w:left="120"/>
              <w:spacing w:after="0"/>
              <w:rPr>
                <w:sz w:val="20"/>
                <w:szCs w:val="20"/>
                <w:color w:val="auto"/>
              </w:rPr>
            </w:pPr>
            <w:r>
              <w:rPr>
                <w:rFonts w:ascii="Calibri" w:cs="Calibri" w:eastAsia="Calibri" w:hAnsi="Calibri"/>
                <w:sz w:val="18"/>
                <w:szCs w:val="18"/>
                <w:color w:val="auto"/>
              </w:rPr>
              <w:t>Mix-adjusted ASP</w:t>
            </w:r>
          </w:p>
        </w:tc>
        <w:tc>
          <w:tcPr>
            <w:tcW w:w="180" w:type="dxa"/>
            <w:vAlign w:val="bottom"/>
            <w:tcBorders>
              <w:bottom w:val="single" w:sz="8" w:color="E5F1F8"/>
            </w:tcBorders>
            <w:shd w:val="clear" w:color="auto" w:fill="E5F1F8"/>
          </w:tcPr>
          <w:p>
            <w:pPr>
              <w:spacing w:after="0"/>
              <w:rPr>
                <w:sz w:val="24"/>
                <w:szCs w:val="24"/>
                <w:color w:val="auto"/>
              </w:rPr>
            </w:pPr>
          </w:p>
        </w:tc>
        <w:tc>
          <w:tcPr>
            <w:tcW w:w="1060" w:type="dxa"/>
            <w:vAlign w:val="bottom"/>
            <w:tcBorders>
              <w:bottom w:val="single" w:sz="8" w:color="auto"/>
            </w:tcBorders>
            <w:shd w:val="clear" w:color="auto" w:fill="E5F1F8"/>
          </w:tcPr>
          <w:p>
            <w:pPr>
              <w:jc w:val="right"/>
              <w:ind w:right="870"/>
              <w:spacing w:after="0" w:line="215" w:lineRule="exact"/>
              <w:rPr>
                <w:sz w:val="20"/>
                <w:szCs w:val="20"/>
                <w:color w:val="auto"/>
              </w:rPr>
            </w:pPr>
            <w:r>
              <w:rPr>
                <w:rFonts w:ascii="Calibri" w:cs="Calibri" w:eastAsia="Calibri" w:hAnsi="Calibri"/>
                <w:sz w:val="18"/>
                <w:szCs w:val="18"/>
                <w:b w:val="1"/>
                <w:bCs w:val="1"/>
                <w:color w:val="auto"/>
                <w:w w:val="87"/>
              </w:rPr>
              <w:t>$</w:t>
            </w:r>
          </w:p>
        </w:tc>
        <w:tc>
          <w:tcPr>
            <w:tcW w:w="70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19.56</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40" w:type="dxa"/>
            <w:vAlign w:val="bottom"/>
            <w:tcBorders>
              <w:right w:val="single" w:sz="8" w:color="007CBA"/>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Borders>
              <w:right w:val="single" w:sz="8" w:color="007CBA"/>
            </w:tcBorders>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7240" w:type="dxa"/>
            <w:vAlign w:val="bottom"/>
            <w:tcBorders>
              <w:bottom w:val="single" w:sz="8" w:color="E5F1F8"/>
              <w:right w:val="single" w:sz="8" w:color="007CBA"/>
            </w:tcBorders>
            <w:shd w:val="clear" w:color="auto" w:fill="E5F1F8"/>
          </w:tcPr>
          <w:p>
            <w:pPr>
              <w:ind w:left="120"/>
              <w:spacing w:after="0"/>
              <w:rPr>
                <w:sz w:val="20"/>
                <w:szCs w:val="20"/>
                <w:color w:val="auto"/>
              </w:rPr>
            </w:pPr>
            <w:r>
              <w:rPr>
                <w:rFonts w:ascii="Calibri" w:cs="Calibri" w:eastAsia="Calibri" w:hAnsi="Calibri"/>
                <w:sz w:val="18"/>
                <w:szCs w:val="18"/>
                <w:color w:val="auto"/>
              </w:rPr>
              <w:t>Reported average selling price variance</w:t>
            </w:r>
          </w:p>
        </w:tc>
        <w:tc>
          <w:tcPr>
            <w:tcW w:w="180" w:type="dxa"/>
            <w:vAlign w:val="bottom"/>
            <w:tcBorders>
              <w:bottom w:val="single" w:sz="8" w:color="E5F1F8"/>
            </w:tcBorders>
            <w:shd w:val="clear" w:color="auto" w:fill="E5F1F8"/>
          </w:tcPr>
          <w:p>
            <w:pPr>
              <w:spacing w:after="0"/>
              <w:rPr>
                <w:sz w:val="24"/>
                <w:szCs w:val="24"/>
                <w:color w:val="auto"/>
              </w:rPr>
            </w:pPr>
          </w:p>
        </w:tc>
        <w:tc>
          <w:tcPr>
            <w:tcW w:w="1060" w:type="dxa"/>
            <w:vAlign w:val="bottom"/>
            <w:tcBorders>
              <w:bottom w:val="single" w:sz="8" w:color="auto"/>
            </w:tcBorders>
            <w:shd w:val="clear" w:color="auto" w:fill="E5F1F8"/>
          </w:tcPr>
          <w:p>
            <w:pPr>
              <w:spacing w:after="0"/>
              <w:rPr>
                <w:sz w:val="24"/>
                <w:szCs w:val="24"/>
                <w:color w:val="auto"/>
              </w:rPr>
            </w:pPr>
          </w:p>
        </w:tc>
        <w:tc>
          <w:tcPr>
            <w:tcW w:w="70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18.9 %</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40" w:type="dxa"/>
            <w:vAlign w:val="bottom"/>
            <w:tcBorders>
              <w:right w:val="single" w:sz="8" w:color="007CBA"/>
            </w:tcBorders>
          </w:tcPr>
          <w:p>
            <w:pPr>
              <w:ind w:left="120"/>
              <w:spacing w:after="0"/>
              <w:rPr>
                <w:sz w:val="20"/>
                <w:szCs w:val="20"/>
                <w:color w:val="auto"/>
              </w:rPr>
            </w:pPr>
            <w:r>
              <w:rPr>
                <w:rFonts w:ascii="Calibri" w:cs="Calibri" w:eastAsia="Calibri" w:hAnsi="Calibri"/>
                <w:sz w:val="18"/>
                <w:szCs w:val="18"/>
                <w:color w:val="auto"/>
              </w:rPr>
              <w:t>Mix-adjusted ASP variance</w:t>
            </w:r>
          </w:p>
        </w:tc>
        <w:tc>
          <w:tcPr>
            <w:tcW w:w="1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17.2 %</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Borders>
              <w:right w:val="single" w:sz="8" w:color="007CBA"/>
            </w:tcBorders>
            <w:vMerge w:val="restart"/>
          </w:tcPr>
          <w:p>
            <w:pPr>
              <w:ind w:left="120"/>
              <w:spacing w:after="0"/>
              <w:rPr>
                <w:sz w:val="20"/>
                <w:szCs w:val="20"/>
                <w:color w:val="auto"/>
              </w:rPr>
            </w:pPr>
            <w:r>
              <w:rPr>
                <w:rFonts w:ascii="Calibri" w:cs="Calibri" w:eastAsia="Calibri" w:hAnsi="Calibri"/>
                <w:sz w:val="18"/>
                <w:szCs w:val="18"/>
                <w:b w:val="1"/>
                <w:bCs w:val="1"/>
                <w:color w:val="auto"/>
              </w:rPr>
              <w:t>Cement - Contnuing Operatons:</w:t>
            </w: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7240" w:type="dxa"/>
            <w:vAlign w:val="bottom"/>
            <w:tcBorders>
              <w:right w:val="single" w:sz="8" w:color="007CBA"/>
            </w:tcBorders>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Borders>
              <w:right w:val="single" w:sz="8" w:color="007CBA"/>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240" w:type="dxa"/>
            <w:vAlign w:val="bottom"/>
            <w:tcBorders>
              <w:right w:val="single" w:sz="8" w:color="007CBA"/>
            </w:tcBorders>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Borders>
              <w:right w:val="single" w:sz="8" w:color="007CBA"/>
            </w:tcBorders>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3"/>
        </w:trPr>
        <w:tc>
          <w:tcPr>
            <w:tcW w:w="7240" w:type="dxa"/>
            <w:vAlign w:val="bottom"/>
            <w:tcBorders>
              <w:bottom w:val="single" w:sz="8" w:color="E5F1F8"/>
              <w:right w:val="single" w:sz="8" w:color="007CBA"/>
            </w:tcBorders>
            <w:shd w:val="clear" w:color="auto" w:fill="E5F1F8"/>
          </w:tcPr>
          <w:p>
            <w:pPr>
              <w:ind w:left="120"/>
              <w:spacing w:after="0"/>
              <w:rPr>
                <w:sz w:val="20"/>
                <w:szCs w:val="20"/>
                <w:color w:val="auto"/>
              </w:rPr>
            </w:pPr>
            <w:r>
              <w:rPr>
                <w:rFonts w:ascii="Calibri" w:cs="Calibri" w:eastAsia="Calibri" w:hAnsi="Calibri"/>
                <w:sz w:val="18"/>
                <w:szCs w:val="18"/>
                <w:color w:val="auto"/>
              </w:rPr>
              <w:t>Reported average selling price</w:t>
            </w:r>
          </w:p>
        </w:tc>
        <w:tc>
          <w:tcPr>
            <w:tcW w:w="180" w:type="dxa"/>
            <w:vAlign w:val="bottom"/>
            <w:tcBorders>
              <w:bottom w:val="single" w:sz="8" w:color="E5F1F8"/>
            </w:tcBorders>
            <w:shd w:val="clear" w:color="auto" w:fill="E5F1F8"/>
          </w:tcPr>
          <w:p>
            <w:pPr>
              <w:spacing w:after="0"/>
              <w:rPr>
                <w:sz w:val="24"/>
                <w:szCs w:val="24"/>
                <w:color w:val="auto"/>
              </w:rPr>
            </w:pPr>
          </w:p>
        </w:tc>
        <w:tc>
          <w:tcPr>
            <w:tcW w:w="1060" w:type="dxa"/>
            <w:vAlign w:val="bottom"/>
            <w:tcBorders>
              <w:bottom w:val="single" w:sz="8" w:color="E5F1F8"/>
            </w:tcBorders>
            <w:shd w:val="clear" w:color="auto" w:fill="E5F1F8"/>
          </w:tcPr>
          <w:p>
            <w:pPr>
              <w:jc w:val="right"/>
              <w:ind w:right="870"/>
              <w:spacing w:after="0"/>
              <w:rPr>
                <w:sz w:val="20"/>
                <w:szCs w:val="20"/>
                <w:color w:val="auto"/>
              </w:rPr>
            </w:pPr>
            <w:r>
              <w:rPr>
                <w:rFonts w:ascii="Calibri" w:cs="Calibri" w:eastAsia="Calibri" w:hAnsi="Calibri"/>
                <w:sz w:val="18"/>
                <w:szCs w:val="18"/>
                <w:b w:val="1"/>
                <w:bCs w:val="1"/>
                <w:color w:val="auto"/>
                <w:w w:val="87"/>
              </w:rPr>
              <w:t>$</w:t>
            </w:r>
          </w:p>
        </w:tc>
        <w:tc>
          <w:tcPr>
            <w:tcW w:w="700" w:type="dxa"/>
            <w:vAlign w:val="bottom"/>
            <w:tcBorders>
              <w:bottom w:val="single" w:sz="8" w:color="E5F1F8"/>
              <w:right w:val="single" w:sz="8" w:color="007CBA"/>
            </w:tcBorders>
            <w:shd w:val="clear" w:color="auto" w:fill="E5F1F8"/>
          </w:tcPr>
          <w:p>
            <w:pPr>
              <w:jc w:val="right"/>
              <w:ind w:right="50"/>
              <w:spacing w:after="0"/>
              <w:rPr>
                <w:sz w:val="20"/>
                <w:szCs w:val="20"/>
                <w:color w:val="auto"/>
              </w:rPr>
            </w:pPr>
            <w:r>
              <w:rPr>
                <w:rFonts w:ascii="Calibri" w:cs="Calibri" w:eastAsia="Calibri" w:hAnsi="Calibri"/>
                <w:sz w:val="18"/>
                <w:szCs w:val="18"/>
                <w:b w:val="1"/>
                <w:bCs w:val="1"/>
                <w:color w:val="auto"/>
              </w:rPr>
              <w:t>174.27</w:t>
            </w:r>
          </w:p>
        </w:tc>
        <w:tc>
          <w:tcPr>
            <w:tcW w:w="160" w:type="dxa"/>
            <w:vAlign w:val="bottom"/>
            <w:tcBorders>
              <w:bottom w:val="single" w:sz="8" w:color="E5F1F8"/>
            </w:tcBorders>
            <w:shd w:val="clear" w:color="auto" w:fill="E5F1F8"/>
          </w:tcPr>
          <w:p>
            <w:pPr>
              <w:spacing w:after="0"/>
              <w:rPr>
                <w:sz w:val="24"/>
                <w:szCs w:val="24"/>
                <w:color w:val="auto"/>
              </w:rPr>
            </w:pPr>
          </w:p>
        </w:tc>
        <w:tc>
          <w:tcPr>
            <w:tcW w:w="380" w:type="dxa"/>
            <w:vAlign w:val="bottom"/>
            <w:tcBorders>
              <w:bottom w:val="single" w:sz="8" w:color="auto"/>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auto"/>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142.83</w:t>
            </w:r>
          </w:p>
        </w:tc>
        <w:tc>
          <w:tcPr>
            <w:tcW w:w="180" w:type="dxa"/>
            <w:vAlign w:val="bottom"/>
            <w:tcBorders>
              <w:bottom w:val="single" w:sz="8" w:color="E5F1F8"/>
            </w:tcBorders>
            <w:shd w:val="clear" w:color="auto" w:fill="E5F1F8"/>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240" w:type="dxa"/>
            <w:vAlign w:val="bottom"/>
            <w:tcBorders>
              <w:right w:val="single" w:sz="8" w:color="007CBA"/>
            </w:tcBorders>
          </w:tcPr>
          <w:p>
            <w:pPr>
              <w:ind w:left="120"/>
              <w:spacing w:after="0" w:line="200" w:lineRule="exact"/>
              <w:rPr>
                <w:sz w:val="20"/>
                <w:szCs w:val="20"/>
                <w:color w:val="auto"/>
              </w:rPr>
            </w:pPr>
            <w:r>
              <w:rPr>
                <w:rFonts w:ascii="Calibri" w:cs="Calibri" w:eastAsia="Calibri" w:hAnsi="Calibri"/>
                <w:sz w:val="18"/>
                <w:szCs w:val="18"/>
                <w:color w:val="auto"/>
              </w:rPr>
              <w:t>Adjustment for impact of product, geographic and other mix</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Calibri" w:cs="Calibri" w:eastAsia="Calibri" w:hAnsi="Calibri"/>
                <w:sz w:val="18"/>
                <w:szCs w:val="18"/>
                <w:b w:val="1"/>
                <w:bCs w:val="1"/>
                <w:color w:val="auto"/>
              </w:rPr>
              <w:t>(0.62 )</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240" w:type="dxa"/>
            <w:vAlign w:val="bottom"/>
            <w:tcBorders>
              <w:right w:val="single" w:sz="8" w:color="007CBA"/>
            </w:tcBorders>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7240" w:type="dxa"/>
            <w:vAlign w:val="bottom"/>
            <w:tcBorders>
              <w:bottom w:val="single" w:sz="8" w:color="E5F1F8"/>
              <w:right w:val="single" w:sz="8" w:color="007CBA"/>
            </w:tcBorders>
            <w:shd w:val="clear" w:color="auto" w:fill="E5F1F8"/>
          </w:tcPr>
          <w:p>
            <w:pPr>
              <w:ind w:left="120"/>
              <w:spacing w:after="0"/>
              <w:rPr>
                <w:sz w:val="20"/>
                <w:szCs w:val="20"/>
                <w:color w:val="auto"/>
              </w:rPr>
            </w:pPr>
            <w:r>
              <w:rPr>
                <w:rFonts w:ascii="Calibri" w:cs="Calibri" w:eastAsia="Calibri" w:hAnsi="Calibri"/>
                <w:sz w:val="18"/>
                <w:szCs w:val="18"/>
                <w:color w:val="auto"/>
              </w:rPr>
              <w:t>Mix-adjusted ASP</w:t>
            </w:r>
          </w:p>
        </w:tc>
        <w:tc>
          <w:tcPr>
            <w:tcW w:w="180" w:type="dxa"/>
            <w:vAlign w:val="bottom"/>
            <w:tcBorders>
              <w:bottom w:val="single" w:sz="8" w:color="E5F1F8"/>
            </w:tcBorders>
            <w:shd w:val="clear" w:color="auto" w:fill="E5F1F8"/>
          </w:tcPr>
          <w:p>
            <w:pPr>
              <w:spacing w:after="0"/>
              <w:rPr>
                <w:sz w:val="24"/>
                <w:szCs w:val="24"/>
                <w:color w:val="auto"/>
              </w:rPr>
            </w:pPr>
          </w:p>
        </w:tc>
        <w:tc>
          <w:tcPr>
            <w:tcW w:w="1060" w:type="dxa"/>
            <w:vAlign w:val="bottom"/>
            <w:tcBorders>
              <w:bottom w:val="single" w:sz="8" w:color="auto"/>
            </w:tcBorders>
            <w:shd w:val="clear" w:color="auto" w:fill="E5F1F8"/>
          </w:tcPr>
          <w:p>
            <w:pPr>
              <w:jc w:val="right"/>
              <w:ind w:right="870"/>
              <w:spacing w:after="0" w:line="215" w:lineRule="exact"/>
              <w:rPr>
                <w:sz w:val="20"/>
                <w:szCs w:val="20"/>
                <w:color w:val="auto"/>
              </w:rPr>
            </w:pPr>
            <w:r>
              <w:rPr>
                <w:rFonts w:ascii="Calibri" w:cs="Calibri" w:eastAsia="Calibri" w:hAnsi="Calibri"/>
                <w:sz w:val="18"/>
                <w:szCs w:val="18"/>
                <w:b w:val="1"/>
                <w:bCs w:val="1"/>
                <w:color w:val="auto"/>
                <w:w w:val="87"/>
              </w:rPr>
              <w:t>$</w:t>
            </w:r>
          </w:p>
        </w:tc>
        <w:tc>
          <w:tcPr>
            <w:tcW w:w="700" w:type="dxa"/>
            <w:vAlign w:val="bottom"/>
            <w:tcBorders>
              <w:bottom w:val="single" w:sz="8" w:color="auto"/>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173.65</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240" w:type="dxa"/>
            <w:vAlign w:val="bottom"/>
            <w:tcBorders>
              <w:right w:val="single" w:sz="8" w:color="007CBA"/>
            </w:tcBorders>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Borders>
              <w:right w:val="single" w:sz="8" w:color="007CBA"/>
            </w:tcBorders>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7240" w:type="dxa"/>
            <w:vAlign w:val="bottom"/>
            <w:tcBorders>
              <w:bottom w:val="single" w:sz="8" w:color="E5F1F8"/>
              <w:right w:val="single" w:sz="8" w:color="007CBA"/>
            </w:tcBorders>
            <w:shd w:val="clear" w:color="auto" w:fill="E5F1F8"/>
          </w:tcPr>
          <w:p>
            <w:pPr>
              <w:ind w:left="120"/>
              <w:spacing w:after="0"/>
              <w:rPr>
                <w:sz w:val="20"/>
                <w:szCs w:val="20"/>
                <w:color w:val="auto"/>
              </w:rPr>
            </w:pPr>
            <w:r>
              <w:rPr>
                <w:rFonts w:ascii="Calibri" w:cs="Calibri" w:eastAsia="Calibri" w:hAnsi="Calibri"/>
                <w:sz w:val="18"/>
                <w:szCs w:val="18"/>
                <w:color w:val="auto"/>
              </w:rPr>
              <w:t>Reported average selling price variance</w:t>
            </w:r>
          </w:p>
        </w:tc>
        <w:tc>
          <w:tcPr>
            <w:tcW w:w="180" w:type="dxa"/>
            <w:vAlign w:val="bottom"/>
            <w:tcBorders>
              <w:bottom w:val="single" w:sz="8" w:color="E5F1F8"/>
            </w:tcBorders>
            <w:shd w:val="clear" w:color="auto" w:fill="E5F1F8"/>
          </w:tcPr>
          <w:p>
            <w:pPr>
              <w:spacing w:after="0"/>
              <w:rPr>
                <w:sz w:val="24"/>
                <w:szCs w:val="24"/>
                <w:color w:val="auto"/>
              </w:rPr>
            </w:pPr>
          </w:p>
        </w:tc>
        <w:tc>
          <w:tcPr>
            <w:tcW w:w="1060" w:type="dxa"/>
            <w:vAlign w:val="bottom"/>
            <w:tcBorders>
              <w:bottom w:val="single" w:sz="8" w:color="auto"/>
            </w:tcBorders>
            <w:shd w:val="clear" w:color="auto" w:fill="E5F1F8"/>
          </w:tcPr>
          <w:p>
            <w:pPr>
              <w:spacing w:after="0"/>
              <w:rPr>
                <w:sz w:val="24"/>
                <w:szCs w:val="24"/>
                <w:color w:val="auto"/>
              </w:rPr>
            </w:pPr>
          </w:p>
        </w:tc>
        <w:tc>
          <w:tcPr>
            <w:tcW w:w="700" w:type="dxa"/>
            <w:vAlign w:val="bottom"/>
            <w:tcBorders>
              <w:bottom w:val="single" w:sz="8" w:color="auto"/>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22.0 %</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240" w:type="dxa"/>
            <w:vAlign w:val="bottom"/>
            <w:tcBorders>
              <w:right w:val="single" w:sz="8" w:color="007CBA"/>
            </w:tcBorders>
          </w:tcPr>
          <w:p>
            <w:pPr>
              <w:ind w:left="120"/>
              <w:spacing w:after="0"/>
              <w:rPr>
                <w:sz w:val="20"/>
                <w:szCs w:val="20"/>
                <w:color w:val="auto"/>
              </w:rPr>
            </w:pPr>
            <w:r>
              <w:rPr>
                <w:rFonts w:ascii="Calibri" w:cs="Calibri" w:eastAsia="Calibri" w:hAnsi="Calibri"/>
                <w:sz w:val="18"/>
                <w:szCs w:val="18"/>
                <w:color w:val="auto"/>
              </w:rPr>
              <w:t>Mix-adjusted ASP variance</w:t>
            </w:r>
          </w:p>
        </w:tc>
        <w:tc>
          <w:tcPr>
            <w:tcW w:w="1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21.6 %</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Borders>
              <w:right w:val="single" w:sz="8" w:color="007CBA"/>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5804535</wp:posOffset>
            </wp:positionH>
            <wp:positionV relativeFrom="paragraph">
              <wp:posOffset>-2228215</wp:posOffset>
            </wp:positionV>
            <wp:extent cx="1332865" cy="3816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332865" cy="38163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-1718310</wp:posOffset>
            </wp:positionV>
            <wp:extent cx="1332865" cy="3854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332865" cy="38544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-882650</wp:posOffset>
            </wp:positionV>
            <wp:extent cx="1332865" cy="3816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332865" cy="38163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-372110</wp:posOffset>
            </wp:positionV>
            <wp:extent cx="1332865" cy="3854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332865" cy="38544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Total Revenues</w:t>
      </w:r>
    </w:p>
    <w:p>
      <w:pPr>
        <w:spacing w:after="0" w:line="5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total revenues for the Company and its reportable segments by product line for contnuing operatons: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560" w:type="dxa"/>
            <w:vAlign w:val="bottom"/>
            <w:shd w:val="clear" w:color="auto" w:fill="007CBA"/>
          </w:tcPr>
          <w:p>
            <w:pPr>
              <w:spacing w:after="0"/>
              <w:rPr>
                <w:sz w:val="20"/>
                <w:szCs w:val="20"/>
                <w:color w:val="auto"/>
              </w:rPr>
            </w:pPr>
          </w:p>
        </w:tc>
        <w:tc>
          <w:tcPr>
            <w:tcW w:w="1380" w:type="dxa"/>
            <w:vAlign w:val="bottom"/>
            <w:tcBorders>
              <w:right w:val="single" w:sz="8" w:color="007CBA"/>
            </w:tcBorders>
            <w:shd w:val="clear" w:color="auto" w:fill="007CBA"/>
          </w:tcPr>
          <w:p>
            <w:pPr>
              <w:spacing w:after="0"/>
              <w:rPr>
                <w:sz w:val="20"/>
                <w:szCs w:val="20"/>
                <w:color w:val="auto"/>
              </w:rPr>
            </w:pPr>
          </w:p>
        </w:tc>
        <w:tc>
          <w:tcPr>
            <w:tcW w:w="560" w:type="dxa"/>
            <w:vAlign w:val="bottom"/>
            <w:shd w:val="clear" w:color="auto" w:fill="007CBA"/>
          </w:tcPr>
          <w:p>
            <w:pPr>
              <w:spacing w:after="0"/>
              <w:rPr>
                <w:sz w:val="20"/>
                <w:szCs w:val="20"/>
                <w:color w:val="auto"/>
              </w:rPr>
            </w:pPr>
          </w:p>
        </w:tc>
        <w:tc>
          <w:tcPr>
            <w:tcW w:w="1480" w:type="dxa"/>
            <w:vAlign w:val="bottom"/>
            <w:shd w:val="clear" w:color="auto" w:fill="007CBA"/>
          </w:tcPr>
          <w:p>
            <w:pPr>
              <w:spacing w:after="0"/>
              <w:rPr>
                <w:sz w:val="20"/>
                <w:szCs w:val="20"/>
                <w:color w:val="auto"/>
              </w:rPr>
            </w:pPr>
          </w:p>
        </w:tc>
      </w:tr>
      <w:tr>
        <w:trPr>
          <w:trHeight w:val="231"/>
        </w:trPr>
        <w:tc>
          <w:tcPr>
            <w:tcW w:w="72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tcBorders>
              <w:bottom w:val="single" w:sz="8" w:color="007CBA"/>
            </w:tcBorders>
            <w:shd w:val="clear" w:color="auto" w:fill="007CBA"/>
          </w:tcPr>
          <w:p>
            <w:pPr>
              <w:spacing w:after="0"/>
              <w:rPr>
                <w:sz w:val="20"/>
                <w:szCs w:val="20"/>
                <w:color w:val="auto"/>
              </w:rPr>
            </w:pPr>
          </w:p>
        </w:tc>
        <w:tc>
          <w:tcPr>
            <w:tcW w:w="1380" w:type="dxa"/>
            <w:vAlign w:val="bottom"/>
            <w:tcBorders>
              <w:bottom w:val="single" w:sz="8" w:color="007CBA"/>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2023</w:t>
            </w:r>
          </w:p>
        </w:tc>
        <w:tc>
          <w:tcPr>
            <w:tcW w:w="560" w:type="dxa"/>
            <w:vAlign w:val="bottom"/>
            <w:tcBorders>
              <w:bottom w:val="single" w:sz="8" w:color="007CBA"/>
            </w:tcBorders>
            <w:shd w:val="clear" w:color="auto" w:fill="007CBA"/>
          </w:tcPr>
          <w:p>
            <w:pPr>
              <w:spacing w:after="0"/>
              <w:rPr>
                <w:sz w:val="20"/>
                <w:szCs w:val="20"/>
                <w:color w:val="auto"/>
              </w:rPr>
            </w:pPr>
          </w:p>
        </w:tc>
        <w:tc>
          <w:tcPr>
            <w:tcW w:w="1480" w:type="dxa"/>
            <w:vAlign w:val="bottom"/>
            <w:tcBorders>
              <w:bottom w:val="single" w:sz="8" w:color="007CBA"/>
            </w:tcBorders>
            <w:shd w:val="clear" w:color="auto" w:fill="007CBA"/>
          </w:tcPr>
          <w:p>
            <w:pPr>
              <w:jc w:val="right"/>
              <w:ind w:right="770"/>
              <w:spacing w:after="0" w:line="215" w:lineRule="exact"/>
              <w:rPr>
                <w:sz w:val="20"/>
                <w:szCs w:val="20"/>
                <w:color w:val="auto"/>
              </w:rPr>
            </w:pPr>
            <w:r>
              <w:rPr>
                <w:rFonts w:ascii="Calibri" w:cs="Calibri" w:eastAsia="Calibri" w:hAnsi="Calibri"/>
                <w:sz w:val="18"/>
                <w:szCs w:val="18"/>
                <w:color w:val="FFFFFF"/>
              </w:rPr>
              <w:t>2022</w:t>
            </w:r>
          </w:p>
        </w:tc>
      </w:tr>
      <w:tr>
        <w:trPr>
          <w:trHeight w:val="223"/>
        </w:trPr>
        <w:tc>
          <w:tcPr>
            <w:tcW w:w="72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Building Materials business:</w:t>
            </w:r>
          </w:p>
        </w:tc>
        <w:tc>
          <w:tcPr>
            <w:tcW w:w="560" w:type="dxa"/>
            <w:vAlign w:val="bottom"/>
            <w:tcBorders>
              <w:bottom w:val="single" w:sz="8" w:color="E5F1F8"/>
            </w:tcBorders>
            <w:shd w:val="clear" w:color="auto" w:fill="E5F1F8"/>
          </w:tcPr>
          <w:p>
            <w:pPr>
              <w:spacing w:after="0"/>
              <w:rPr>
                <w:sz w:val="19"/>
                <w:szCs w:val="19"/>
                <w:color w:val="auto"/>
              </w:rPr>
            </w:pPr>
          </w:p>
        </w:tc>
        <w:tc>
          <w:tcPr>
            <w:tcW w:w="1380" w:type="dxa"/>
            <w:vAlign w:val="bottom"/>
            <w:tcBorders>
              <w:bottom w:val="single" w:sz="8" w:color="E5F1F8"/>
              <w:right w:val="single" w:sz="8" w:color="007CBA"/>
            </w:tcBorders>
            <w:shd w:val="clear" w:color="auto" w:fill="E5F1F8"/>
          </w:tcPr>
          <w:p>
            <w:pPr>
              <w:spacing w:after="0"/>
              <w:rPr>
                <w:sz w:val="19"/>
                <w:szCs w:val="19"/>
                <w:color w:val="auto"/>
              </w:rPr>
            </w:pPr>
          </w:p>
        </w:tc>
        <w:tc>
          <w:tcPr>
            <w:tcW w:w="560" w:type="dxa"/>
            <w:vAlign w:val="bottom"/>
            <w:tcBorders>
              <w:bottom w:val="single" w:sz="8" w:color="E5F1F8"/>
            </w:tcBorders>
            <w:shd w:val="clear" w:color="auto" w:fill="E5F1F8"/>
          </w:tcPr>
          <w:p>
            <w:pPr>
              <w:spacing w:after="0"/>
              <w:rPr>
                <w:sz w:val="19"/>
                <w:szCs w:val="19"/>
                <w:color w:val="auto"/>
              </w:rPr>
            </w:pPr>
          </w:p>
        </w:tc>
        <w:tc>
          <w:tcPr>
            <w:tcW w:w="1480" w:type="dxa"/>
            <w:vAlign w:val="bottom"/>
            <w:tcBorders>
              <w:bottom w:val="single" w:sz="8" w:color="E5F1F8"/>
            </w:tcBorders>
            <w:shd w:val="clear" w:color="auto" w:fill="E5F1F8"/>
          </w:tcPr>
          <w:p>
            <w:pPr>
              <w:spacing w:after="0"/>
              <w:rPr>
                <w:sz w:val="19"/>
                <w:szCs w:val="19"/>
                <w:color w:val="auto"/>
              </w:rPr>
            </w:pPr>
          </w:p>
        </w:tc>
      </w:tr>
      <w:tr>
        <w:trPr>
          <w:trHeight w:val="215"/>
        </w:trPr>
        <w:tc>
          <w:tcPr>
            <w:tcW w:w="726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East Group:</w:t>
            </w:r>
          </w:p>
        </w:tc>
        <w:tc>
          <w:tcPr>
            <w:tcW w:w="560" w:type="dxa"/>
            <w:vAlign w:val="bottom"/>
          </w:tcPr>
          <w:p>
            <w:pPr>
              <w:spacing w:after="0"/>
              <w:rPr>
                <w:sz w:val="18"/>
                <w:szCs w:val="18"/>
                <w:color w:val="auto"/>
              </w:rPr>
            </w:pPr>
          </w:p>
        </w:tc>
        <w:tc>
          <w:tcPr>
            <w:tcW w:w="1380" w:type="dxa"/>
            <w:vAlign w:val="bottom"/>
            <w:tcBorders>
              <w:right w:val="single" w:sz="8" w:color="007CBA"/>
            </w:tcBorders>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8"/>
        </w:trPr>
        <w:tc>
          <w:tcPr>
            <w:tcW w:w="726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3"/>
        </w:trPr>
        <w:tc>
          <w:tcPr>
            <w:tcW w:w="7260" w:type="dxa"/>
            <w:vAlign w:val="bottom"/>
            <w:tcBorders>
              <w:bottom w:val="single" w:sz="8" w:color="E5F1F8"/>
              <w:right w:val="single" w:sz="8" w:color="007CBA"/>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Aggregates</w:t>
            </w:r>
          </w:p>
        </w:tc>
        <w:tc>
          <w:tcPr>
            <w:tcW w:w="56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2,592.5</w:t>
            </w:r>
          </w:p>
        </w:tc>
        <w:tc>
          <w:tcPr>
            <w:tcW w:w="56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2,294.3</w:t>
            </w:r>
          </w:p>
        </w:tc>
      </w:tr>
      <w:tr>
        <w:trPr>
          <w:trHeight w:val="243"/>
        </w:trPr>
        <w:tc>
          <w:tcPr>
            <w:tcW w:w="7260" w:type="dxa"/>
            <w:vAlign w:val="bottom"/>
            <w:tcBorders>
              <w:right w:val="single" w:sz="8" w:color="007CBA"/>
            </w:tcBorders>
          </w:tcPr>
          <w:p>
            <w:pPr>
              <w:ind w:left="380"/>
              <w:spacing w:after="0" w:line="215" w:lineRule="exact"/>
              <w:rPr>
                <w:sz w:val="20"/>
                <w:szCs w:val="20"/>
                <w:color w:val="auto"/>
              </w:rPr>
            </w:pPr>
            <w:r>
              <w:rPr>
                <w:rFonts w:ascii="Calibri" w:cs="Calibri" w:eastAsia="Calibri" w:hAnsi="Calibri"/>
                <w:sz w:val="18"/>
                <w:szCs w:val="18"/>
                <w:color w:val="auto"/>
              </w:rPr>
              <w:t>Asphalt</w:t>
            </w:r>
          </w:p>
        </w:tc>
        <w:tc>
          <w:tcPr>
            <w:tcW w:w="560" w:type="dxa"/>
            <w:vAlign w:val="bottom"/>
          </w:tcPr>
          <w:p>
            <w:pPr>
              <w:spacing w:after="0"/>
              <w:rPr>
                <w:sz w:val="21"/>
                <w:szCs w:val="21"/>
                <w:color w:val="auto"/>
              </w:rPr>
            </w:pP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198.9</w:t>
            </w:r>
          </w:p>
        </w:tc>
        <w:tc>
          <w:tcPr>
            <w:tcW w:w="560" w:type="dxa"/>
            <w:vAlign w:val="bottom"/>
          </w:tcPr>
          <w:p>
            <w:pPr>
              <w:spacing w:after="0"/>
              <w:rPr>
                <w:sz w:val="21"/>
                <w:szCs w:val="21"/>
                <w:color w:val="auto"/>
              </w:rPr>
            </w:pPr>
          </w:p>
        </w:tc>
        <w:tc>
          <w:tcPr>
            <w:tcW w:w="14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194.2</w:t>
            </w:r>
          </w:p>
        </w:tc>
      </w:tr>
      <w:tr>
        <w:trPr>
          <w:trHeight w:val="248"/>
        </w:trPr>
        <w:tc>
          <w:tcPr>
            <w:tcW w:w="7260" w:type="dxa"/>
            <w:vAlign w:val="bottom"/>
            <w:tcBorders>
              <w:bottom w:val="single" w:sz="8" w:color="E5F1F8"/>
              <w:right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Less: interproduct revenues</w:t>
            </w:r>
          </w:p>
        </w:tc>
        <w:tc>
          <w:tcPr>
            <w:tcW w:w="560" w:type="dxa"/>
            <w:vAlign w:val="bottom"/>
            <w:tcBorders>
              <w:bottom w:val="single" w:sz="8" w:color="E5F1F8"/>
            </w:tcBorders>
            <w:shd w:val="clear" w:color="auto" w:fill="E5F1F8"/>
          </w:tcPr>
          <w:p>
            <w:pPr>
              <w:spacing w:after="0"/>
              <w:rPr>
                <w:sz w:val="21"/>
                <w:szCs w:val="21"/>
                <w:color w:val="auto"/>
              </w:rPr>
            </w:pPr>
          </w:p>
        </w:tc>
        <w:tc>
          <w:tcPr>
            <w:tcW w:w="138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(28.0 )</w:t>
            </w:r>
          </w:p>
        </w:tc>
        <w:tc>
          <w:tcPr>
            <w:tcW w:w="560" w:type="dxa"/>
            <w:vAlign w:val="bottom"/>
            <w:tcBorders>
              <w:bottom w:val="single" w:sz="8" w:color="E5F1F8"/>
            </w:tcBorders>
            <w:shd w:val="clear" w:color="auto" w:fill="E5F1F8"/>
          </w:tcPr>
          <w:p>
            <w:pPr>
              <w:spacing w:after="0"/>
              <w:rPr>
                <w:sz w:val="21"/>
                <w:szCs w:val="21"/>
                <w:color w:val="auto"/>
              </w:rPr>
            </w:pPr>
          </w:p>
        </w:tc>
        <w:tc>
          <w:tcPr>
            <w:tcW w:w="148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(20.4 )</w:t>
            </w:r>
          </w:p>
        </w:tc>
      </w:tr>
      <w:tr>
        <w:trPr>
          <w:trHeight w:val="208"/>
        </w:trPr>
        <w:tc>
          <w:tcPr>
            <w:tcW w:w="7260" w:type="dxa"/>
            <w:vAlign w:val="bottom"/>
            <w:tcBorders>
              <w:top w:val="single" w:sz="8" w:color="auto"/>
            </w:tcBorders>
          </w:tcPr>
          <w:p>
            <w:pPr>
              <w:ind w:left="300"/>
              <w:spacing w:after="0" w:line="208" w:lineRule="exact"/>
              <w:rPr>
                <w:sz w:val="20"/>
                <w:szCs w:val="20"/>
                <w:color w:val="auto"/>
              </w:rPr>
            </w:pPr>
            <w:r>
              <w:rPr>
                <w:rFonts w:ascii="Calibri" w:cs="Calibri" w:eastAsia="Calibri" w:hAnsi="Calibri"/>
                <w:sz w:val="18"/>
                <w:szCs w:val="18"/>
                <w:color w:val="auto"/>
              </w:rPr>
              <w:t>East Group Total</w:t>
            </w:r>
          </w:p>
        </w:tc>
        <w:tc>
          <w:tcPr>
            <w:tcW w:w="5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2,763.4</w:t>
            </w:r>
          </w:p>
        </w:tc>
        <w:tc>
          <w:tcPr>
            <w:tcW w:w="5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color w:val="auto"/>
              </w:rPr>
              <w:t>2,468.1</w:t>
            </w:r>
          </w:p>
        </w:tc>
      </w:tr>
      <w:tr>
        <w:trPr>
          <w:trHeight w:val="28"/>
        </w:trPr>
        <w:tc>
          <w:tcPr>
            <w:tcW w:w="7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7260" w:type="dxa"/>
            <w:vAlign w:val="bottom"/>
            <w:tcBorders>
              <w:bottom w:val="single" w:sz="8" w:color="E5F1F8"/>
              <w:right w:val="single" w:sz="8" w:color="007CBA"/>
            </w:tcBorders>
            <w:shd w:val="clear" w:color="auto" w:fill="E5F1F8"/>
          </w:tcPr>
          <w:p>
            <w:pPr>
              <w:ind w:left="300"/>
              <w:spacing w:after="0" w:line="208" w:lineRule="exact"/>
              <w:rPr>
                <w:sz w:val="20"/>
                <w:szCs w:val="20"/>
                <w:color w:val="auto"/>
              </w:rPr>
            </w:pPr>
            <w:r>
              <w:rPr>
                <w:rFonts w:ascii="Calibri" w:cs="Calibri" w:eastAsia="Calibri" w:hAnsi="Calibri"/>
                <w:sz w:val="18"/>
                <w:szCs w:val="18"/>
                <w:color w:val="auto"/>
              </w:rPr>
              <w:t>West Group:</w:t>
            </w:r>
          </w:p>
        </w:tc>
        <w:tc>
          <w:tcPr>
            <w:tcW w:w="560" w:type="dxa"/>
            <w:vAlign w:val="bottom"/>
            <w:tcBorders>
              <w:bottom w:val="single" w:sz="8" w:color="E5F1F8"/>
            </w:tcBorders>
            <w:shd w:val="clear" w:color="auto" w:fill="E5F1F8"/>
          </w:tcPr>
          <w:p>
            <w:pPr>
              <w:spacing w:after="0"/>
              <w:rPr>
                <w:sz w:val="18"/>
                <w:szCs w:val="18"/>
                <w:color w:val="auto"/>
              </w:rPr>
            </w:pPr>
          </w:p>
        </w:tc>
        <w:tc>
          <w:tcPr>
            <w:tcW w:w="1380" w:type="dxa"/>
            <w:vAlign w:val="bottom"/>
            <w:tcBorders>
              <w:bottom w:val="single" w:sz="8" w:color="E5F1F8"/>
              <w:right w:val="single" w:sz="8" w:color="007CBA"/>
            </w:tcBorders>
            <w:shd w:val="clear" w:color="auto" w:fill="E5F1F8"/>
          </w:tcPr>
          <w:p>
            <w:pPr>
              <w:spacing w:after="0"/>
              <w:rPr>
                <w:sz w:val="18"/>
                <w:szCs w:val="18"/>
                <w:color w:val="auto"/>
              </w:rPr>
            </w:pPr>
          </w:p>
        </w:tc>
        <w:tc>
          <w:tcPr>
            <w:tcW w:w="560" w:type="dxa"/>
            <w:vAlign w:val="bottom"/>
            <w:tcBorders>
              <w:bottom w:val="single" w:sz="8" w:color="E5F1F8"/>
            </w:tcBorders>
            <w:shd w:val="clear" w:color="auto" w:fill="E5F1F8"/>
          </w:tcPr>
          <w:p>
            <w:pPr>
              <w:spacing w:after="0"/>
              <w:rPr>
                <w:sz w:val="18"/>
                <w:szCs w:val="18"/>
                <w:color w:val="auto"/>
              </w:rPr>
            </w:pPr>
          </w:p>
        </w:tc>
        <w:tc>
          <w:tcPr>
            <w:tcW w:w="1480" w:type="dxa"/>
            <w:vAlign w:val="bottom"/>
            <w:tcBorders>
              <w:bottom w:val="single" w:sz="8" w:color="E5F1F8"/>
            </w:tcBorders>
            <w:shd w:val="clear" w:color="auto" w:fill="E5F1F8"/>
          </w:tcPr>
          <w:p>
            <w:pPr>
              <w:spacing w:after="0"/>
              <w:rPr>
                <w:sz w:val="18"/>
                <w:szCs w:val="18"/>
                <w:color w:val="auto"/>
              </w:rPr>
            </w:pPr>
          </w:p>
        </w:tc>
      </w:tr>
      <w:tr>
        <w:trPr>
          <w:trHeight w:val="215"/>
        </w:trPr>
        <w:tc>
          <w:tcPr>
            <w:tcW w:w="7260" w:type="dxa"/>
            <w:vAlign w:val="bottom"/>
            <w:tcBorders>
              <w:right w:val="single" w:sz="8" w:color="007CBA"/>
            </w:tcBorders>
          </w:tcPr>
          <w:p>
            <w:pPr>
              <w:ind w:left="380"/>
              <w:spacing w:after="0" w:line="215" w:lineRule="exact"/>
              <w:rPr>
                <w:sz w:val="20"/>
                <w:szCs w:val="20"/>
                <w:color w:val="auto"/>
              </w:rPr>
            </w:pPr>
            <w:r>
              <w:rPr>
                <w:rFonts w:ascii="Calibri" w:cs="Calibri" w:eastAsia="Calibri" w:hAnsi="Calibri"/>
                <w:sz w:val="18"/>
                <w:szCs w:val="18"/>
                <w:color w:val="auto"/>
              </w:rPr>
              <w:t>Aggregates</w:t>
            </w:r>
          </w:p>
        </w:tc>
        <w:tc>
          <w:tcPr>
            <w:tcW w:w="560" w:type="dxa"/>
            <w:vAlign w:val="bottom"/>
          </w:tcPr>
          <w:p>
            <w:pPr>
              <w:spacing w:after="0"/>
              <w:rPr>
                <w:sz w:val="18"/>
                <w:szCs w:val="18"/>
                <w:color w:val="auto"/>
              </w:rPr>
            </w:pP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1,709.1</w:t>
            </w:r>
          </w:p>
        </w:tc>
        <w:tc>
          <w:tcPr>
            <w:tcW w:w="560" w:type="dxa"/>
            <w:vAlign w:val="bottom"/>
          </w:tcPr>
          <w:p>
            <w:pPr>
              <w:spacing w:after="0"/>
              <w:rPr>
                <w:sz w:val="18"/>
                <w:szCs w:val="18"/>
                <w:color w:val="auto"/>
              </w:rPr>
            </w:pPr>
          </w:p>
        </w:tc>
        <w:tc>
          <w:tcPr>
            <w:tcW w:w="14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1,584.7</w:t>
            </w:r>
          </w:p>
        </w:tc>
      </w:tr>
      <w:tr>
        <w:trPr>
          <w:trHeight w:val="28"/>
        </w:trPr>
        <w:tc>
          <w:tcPr>
            <w:tcW w:w="726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3"/>
        </w:trPr>
        <w:tc>
          <w:tcPr>
            <w:tcW w:w="7260" w:type="dxa"/>
            <w:vAlign w:val="bottom"/>
            <w:tcBorders>
              <w:bottom w:val="single" w:sz="8" w:color="E5F1F8"/>
              <w:right w:val="single" w:sz="8" w:color="007CBA"/>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Cement</w:t>
            </w:r>
          </w:p>
        </w:tc>
        <w:tc>
          <w:tcPr>
            <w:tcW w:w="560" w:type="dxa"/>
            <w:vAlign w:val="bottom"/>
            <w:tcBorders>
              <w:bottom w:val="single" w:sz="8" w:color="E5F1F8"/>
            </w:tcBorders>
            <w:shd w:val="clear" w:color="auto" w:fill="E5F1F8"/>
          </w:tcPr>
          <w:p>
            <w:pPr>
              <w:spacing w:after="0"/>
              <w:rPr>
                <w:sz w:val="19"/>
                <w:szCs w:val="19"/>
                <w:color w:val="auto"/>
              </w:rPr>
            </w:pPr>
          </w:p>
        </w:tc>
        <w:tc>
          <w:tcPr>
            <w:tcW w:w="13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725.5</w:t>
            </w:r>
          </w:p>
        </w:tc>
        <w:tc>
          <w:tcPr>
            <w:tcW w:w="560" w:type="dxa"/>
            <w:vAlign w:val="bottom"/>
            <w:tcBorders>
              <w:bottom w:val="single" w:sz="8" w:color="E5F1F8"/>
            </w:tcBorders>
            <w:shd w:val="clear" w:color="auto" w:fill="E5F1F8"/>
          </w:tcPr>
          <w:p>
            <w:pPr>
              <w:spacing w:after="0"/>
              <w:rPr>
                <w:sz w:val="19"/>
                <w:szCs w:val="19"/>
                <w:color w:val="auto"/>
              </w:rPr>
            </w:pPr>
          </w:p>
        </w:tc>
        <w:tc>
          <w:tcPr>
            <w:tcW w:w="14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620.0</w:t>
            </w:r>
          </w:p>
        </w:tc>
      </w:tr>
      <w:tr>
        <w:trPr>
          <w:trHeight w:val="215"/>
        </w:trPr>
        <w:tc>
          <w:tcPr>
            <w:tcW w:w="7260" w:type="dxa"/>
            <w:vAlign w:val="bottom"/>
            <w:tcBorders>
              <w:right w:val="single" w:sz="8" w:color="007CBA"/>
            </w:tcBorders>
          </w:tcPr>
          <w:p>
            <w:pPr>
              <w:ind w:left="380"/>
              <w:spacing w:after="0" w:line="215" w:lineRule="exact"/>
              <w:rPr>
                <w:sz w:val="20"/>
                <w:szCs w:val="20"/>
                <w:color w:val="auto"/>
              </w:rPr>
            </w:pPr>
            <w:r>
              <w:rPr>
                <w:rFonts w:ascii="Calibri" w:cs="Calibri" w:eastAsia="Calibri" w:hAnsi="Calibri"/>
                <w:sz w:val="18"/>
                <w:szCs w:val="18"/>
                <w:color w:val="auto"/>
              </w:rPr>
              <w:t>Ready mixed concrete</w:t>
            </w:r>
          </w:p>
        </w:tc>
        <w:tc>
          <w:tcPr>
            <w:tcW w:w="560" w:type="dxa"/>
            <w:vAlign w:val="bottom"/>
          </w:tcPr>
          <w:p>
            <w:pPr>
              <w:spacing w:after="0"/>
              <w:rPr>
                <w:sz w:val="18"/>
                <w:szCs w:val="18"/>
                <w:color w:val="auto"/>
              </w:rPr>
            </w:pPr>
          </w:p>
        </w:tc>
        <w:tc>
          <w:tcPr>
            <w:tcW w:w="13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1,009.3</w:t>
            </w:r>
          </w:p>
        </w:tc>
        <w:tc>
          <w:tcPr>
            <w:tcW w:w="560" w:type="dxa"/>
            <w:vAlign w:val="bottom"/>
          </w:tcPr>
          <w:p>
            <w:pPr>
              <w:spacing w:after="0"/>
              <w:rPr>
                <w:sz w:val="18"/>
                <w:szCs w:val="18"/>
                <w:color w:val="auto"/>
              </w:rPr>
            </w:pPr>
          </w:p>
        </w:tc>
        <w:tc>
          <w:tcPr>
            <w:tcW w:w="148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953.2</w:t>
            </w:r>
          </w:p>
        </w:tc>
      </w:tr>
      <w:tr>
        <w:trPr>
          <w:trHeight w:val="28"/>
        </w:trPr>
        <w:tc>
          <w:tcPr>
            <w:tcW w:w="726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3"/>
        </w:trPr>
        <w:tc>
          <w:tcPr>
            <w:tcW w:w="7260" w:type="dxa"/>
            <w:vAlign w:val="bottom"/>
            <w:tcBorders>
              <w:bottom w:val="single" w:sz="8" w:color="E5F1F8"/>
              <w:right w:val="single" w:sz="8" w:color="007CBA"/>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Asphalt and paving services</w:t>
            </w:r>
          </w:p>
        </w:tc>
        <w:tc>
          <w:tcPr>
            <w:tcW w:w="560" w:type="dxa"/>
            <w:vAlign w:val="bottom"/>
            <w:tcBorders>
              <w:bottom w:val="single" w:sz="8" w:color="E5F1F8"/>
            </w:tcBorders>
            <w:shd w:val="clear" w:color="auto" w:fill="E5F1F8"/>
          </w:tcPr>
          <w:p>
            <w:pPr>
              <w:spacing w:after="0"/>
              <w:rPr>
                <w:sz w:val="19"/>
                <w:szCs w:val="19"/>
                <w:color w:val="auto"/>
              </w:rPr>
            </w:pPr>
          </w:p>
        </w:tc>
        <w:tc>
          <w:tcPr>
            <w:tcW w:w="13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688.2</w:t>
            </w:r>
          </w:p>
        </w:tc>
        <w:tc>
          <w:tcPr>
            <w:tcW w:w="560" w:type="dxa"/>
            <w:vAlign w:val="bottom"/>
            <w:tcBorders>
              <w:bottom w:val="single" w:sz="8" w:color="E5F1F8"/>
            </w:tcBorders>
            <w:shd w:val="clear" w:color="auto" w:fill="E5F1F8"/>
          </w:tcPr>
          <w:p>
            <w:pPr>
              <w:spacing w:after="0"/>
              <w:rPr>
                <w:sz w:val="19"/>
                <w:szCs w:val="19"/>
                <w:color w:val="auto"/>
              </w:rPr>
            </w:pPr>
          </w:p>
        </w:tc>
        <w:tc>
          <w:tcPr>
            <w:tcW w:w="14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593.7</w:t>
            </w:r>
          </w:p>
        </w:tc>
      </w:tr>
      <w:tr>
        <w:trPr>
          <w:trHeight w:val="215"/>
        </w:trPr>
        <w:tc>
          <w:tcPr>
            <w:tcW w:w="7260" w:type="dxa"/>
            <w:vAlign w:val="bottom"/>
          </w:tcPr>
          <w:p>
            <w:pPr>
              <w:ind w:left="380"/>
              <w:spacing w:after="0" w:line="215" w:lineRule="exact"/>
              <w:rPr>
                <w:sz w:val="20"/>
                <w:szCs w:val="20"/>
                <w:color w:val="auto"/>
              </w:rPr>
            </w:pPr>
            <w:r>
              <w:rPr>
                <w:rFonts w:ascii="Calibri" w:cs="Calibri" w:eastAsia="Calibri" w:hAnsi="Calibri"/>
                <w:sz w:val="18"/>
                <w:szCs w:val="18"/>
                <w:color w:val="auto"/>
              </w:rPr>
              <w:t>Less: interproduct revenues</w:t>
            </w:r>
          </w:p>
        </w:tc>
        <w:tc>
          <w:tcPr>
            <w:tcW w:w="560" w:type="dxa"/>
            <w:vAlign w:val="bottom"/>
          </w:tcPr>
          <w:p>
            <w:pPr>
              <w:spacing w:after="0"/>
              <w:rPr>
                <w:sz w:val="18"/>
                <w:szCs w:val="18"/>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(433.7 )</w:t>
            </w:r>
          </w:p>
        </w:tc>
        <w:tc>
          <w:tcPr>
            <w:tcW w:w="560" w:type="dxa"/>
            <w:vAlign w:val="bottom"/>
          </w:tcPr>
          <w:p>
            <w:pPr>
              <w:spacing w:after="0"/>
              <w:rPr>
                <w:sz w:val="18"/>
                <w:szCs w:val="18"/>
                <w:color w:val="auto"/>
              </w:rPr>
            </w:pPr>
          </w:p>
        </w:tc>
        <w:tc>
          <w:tcPr>
            <w:tcW w:w="14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(363.0 )</w:t>
            </w:r>
          </w:p>
        </w:tc>
      </w:tr>
      <w:tr>
        <w:trPr>
          <w:trHeight w:val="28"/>
        </w:trPr>
        <w:tc>
          <w:tcPr>
            <w:tcW w:w="7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2"/>
        </w:trPr>
        <w:tc>
          <w:tcPr>
            <w:tcW w:w="7260" w:type="dxa"/>
            <w:vAlign w:val="bottom"/>
            <w:tcBorders>
              <w:bottom w:val="single" w:sz="8" w:color="E5F1F8"/>
              <w:right w:val="single" w:sz="8" w:color="E5F1F8"/>
            </w:tcBorders>
            <w:shd w:val="clear" w:color="auto" w:fill="E5F1F8"/>
          </w:tcPr>
          <w:p>
            <w:pPr>
              <w:ind w:left="300"/>
              <w:spacing w:after="0" w:line="208" w:lineRule="exact"/>
              <w:rPr>
                <w:sz w:val="20"/>
                <w:szCs w:val="20"/>
                <w:color w:val="auto"/>
              </w:rPr>
            </w:pPr>
            <w:r>
              <w:rPr>
                <w:rFonts w:ascii="Calibri" w:cs="Calibri" w:eastAsia="Calibri" w:hAnsi="Calibri"/>
                <w:sz w:val="18"/>
                <w:szCs w:val="18"/>
                <w:color w:val="auto"/>
              </w:rPr>
              <w:t>West Group Total</w:t>
            </w:r>
          </w:p>
        </w:tc>
        <w:tc>
          <w:tcPr>
            <w:tcW w:w="560" w:type="dxa"/>
            <w:vAlign w:val="bottom"/>
            <w:tcBorders>
              <w:bottom w:val="single" w:sz="8" w:color="E5F1F8"/>
            </w:tcBorders>
            <w:shd w:val="clear" w:color="auto" w:fill="E5F1F8"/>
          </w:tcPr>
          <w:p>
            <w:pPr>
              <w:spacing w:after="0"/>
              <w:rPr>
                <w:sz w:val="20"/>
                <w:szCs w:val="20"/>
                <w:color w:val="auto"/>
              </w:rPr>
            </w:pPr>
          </w:p>
        </w:tc>
        <w:tc>
          <w:tcPr>
            <w:tcW w:w="138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3,698.4</w:t>
            </w:r>
          </w:p>
        </w:tc>
        <w:tc>
          <w:tcPr>
            <w:tcW w:w="560" w:type="dxa"/>
            <w:vAlign w:val="bottom"/>
            <w:tcBorders>
              <w:bottom w:val="single" w:sz="8" w:color="E5F1F8"/>
            </w:tcBorders>
            <w:shd w:val="clear" w:color="auto" w:fill="E5F1F8"/>
          </w:tcPr>
          <w:p>
            <w:pPr>
              <w:spacing w:after="0"/>
              <w:rPr>
                <w:sz w:val="20"/>
                <w:szCs w:val="20"/>
                <w:color w:val="auto"/>
              </w:rPr>
            </w:pPr>
          </w:p>
        </w:tc>
        <w:tc>
          <w:tcPr>
            <w:tcW w:w="148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color w:val="auto"/>
              </w:rPr>
              <w:t>3,388.6</w:t>
            </w:r>
          </w:p>
        </w:tc>
      </w:tr>
      <w:tr>
        <w:trPr>
          <w:trHeight w:val="236"/>
        </w:trPr>
        <w:tc>
          <w:tcPr>
            <w:tcW w:w="726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560" w:type="dxa"/>
            <w:vAlign w:val="bottom"/>
            <w:tcBorders>
              <w:top w:val="single" w:sz="8" w:color="auto"/>
            </w:tcBorders>
          </w:tcPr>
          <w:p>
            <w:pPr>
              <w:spacing w:after="0"/>
              <w:rPr>
                <w:sz w:val="20"/>
                <w:szCs w:val="20"/>
                <w:color w:val="auto"/>
              </w:rPr>
            </w:pPr>
          </w:p>
        </w:tc>
        <w:tc>
          <w:tcPr>
            <w:tcW w:w="138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6,461.8</w:t>
            </w:r>
          </w:p>
        </w:tc>
        <w:tc>
          <w:tcPr>
            <w:tcW w:w="5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color w:val="auto"/>
              </w:rPr>
              <w:t>5,856.7</w:t>
            </w:r>
          </w:p>
        </w:tc>
      </w:tr>
      <w:tr>
        <w:trPr>
          <w:trHeight w:val="248"/>
        </w:trPr>
        <w:tc>
          <w:tcPr>
            <w:tcW w:w="72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560" w:type="dxa"/>
            <w:vAlign w:val="bottom"/>
            <w:tcBorders>
              <w:bottom w:val="single" w:sz="8" w:color="E5F1F8"/>
            </w:tcBorders>
            <w:shd w:val="clear" w:color="auto" w:fill="E5F1F8"/>
          </w:tcPr>
          <w:p>
            <w:pPr>
              <w:spacing w:after="0"/>
              <w:rPr>
                <w:sz w:val="21"/>
                <w:szCs w:val="21"/>
                <w:color w:val="auto"/>
              </w:rPr>
            </w:pPr>
          </w:p>
        </w:tc>
        <w:tc>
          <w:tcPr>
            <w:tcW w:w="138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315.4</w:t>
            </w:r>
          </w:p>
        </w:tc>
        <w:tc>
          <w:tcPr>
            <w:tcW w:w="560" w:type="dxa"/>
            <w:vAlign w:val="bottom"/>
            <w:tcBorders>
              <w:bottom w:val="single" w:sz="8" w:color="E5F1F8"/>
            </w:tcBorders>
            <w:shd w:val="clear" w:color="auto" w:fill="E5F1F8"/>
          </w:tcPr>
          <w:p>
            <w:pPr>
              <w:spacing w:after="0"/>
              <w:rPr>
                <w:sz w:val="21"/>
                <w:szCs w:val="21"/>
                <w:color w:val="auto"/>
              </w:rPr>
            </w:pPr>
          </w:p>
        </w:tc>
        <w:tc>
          <w:tcPr>
            <w:tcW w:w="14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304.0</w:t>
            </w:r>
          </w:p>
        </w:tc>
      </w:tr>
      <w:tr>
        <w:trPr>
          <w:trHeight w:val="208"/>
        </w:trPr>
        <w:tc>
          <w:tcPr>
            <w:tcW w:w="72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consolidated revenues</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38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6,777.2</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48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color w:val="auto"/>
              </w:rPr>
              <w:t>6,160.7</w:t>
            </w:r>
          </w:p>
        </w:tc>
      </w:tr>
      <w:tr>
        <w:trPr>
          <w:trHeight w:val="28"/>
        </w:trPr>
        <w:tc>
          <w:tcPr>
            <w:tcW w:w="7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4587240</wp:posOffset>
            </wp:positionH>
            <wp:positionV relativeFrom="paragraph">
              <wp:posOffset>-1932305</wp:posOffset>
            </wp:positionV>
            <wp:extent cx="34290" cy="3511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-1932305</wp:posOffset>
            </wp:positionV>
            <wp:extent cx="34290" cy="3511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-835025</wp:posOffset>
            </wp:positionV>
            <wp:extent cx="34290" cy="3511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-835025</wp:posOffset>
            </wp:positionV>
            <wp:extent cx="34290" cy="3511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-354965</wp:posOffset>
            </wp:positionV>
            <wp:extent cx="34290" cy="3683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-354965</wp:posOffset>
            </wp:positionV>
            <wp:extent cx="34290" cy="3683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213995</wp:posOffset>
            </wp:positionV>
            <wp:extent cx="325755" cy="1968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4" w:name="page55"/>
    <w:bookmarkEnd w:id="54"/>
    <w:p>
      <w:pPr>
        <w:ind w:left="3700"/>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Gross Proft</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gross proft and gross margin data for the Company by product line for contnuing operatons: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80" w:type="dxa"/>
            <w:vAlign w:val="bottom"/>
            <w:tcBorders>
              <w:right w:val="single" w:sz="8" w:color="007CBA"/>
            </w:tcBorders>
            <w:shd w:val="clear" w:color="auto" w:fill="007CBA"/>
          </w:tcPr>
          <w:p>
            <w:pPr>
              <w:spacing w:after="0"/>
              <w:rPr>
                <w:sz w:val="20"/>
                <w:szCs w:val="20"/>
                <w:color w:val="auto"/>
              </w:rPr>
            </w:pPr>
          </w:p>
        </w:tc>
        <w:tc>
          <w:tcPr>
            <w:tcW w:w="380" w:type="dxa"/>
            <w:vAlign w:val="bottom"/>
            <w:shd w:val="clear" w:color="auto" w:fill="007CBA"/>
          </w:tcPr>
          <w:p>
            <w:pPr>
              <w:spacing w:after="0"/>
              <w:rPr>
                <w:sz w:val="20"/>
                <w:szCs w:val="20"/>
                <w:color w:val="auto"/>
              </w:rPr>
            </w:pPr>
          </w:p>
        </w:tc>
        <w:tc>
          <w:tcPr>
            <w:tcW w:w="1120" w:type="dxa"/>
            <w:vAlign w:val="bottom"/>
            <w:tcBorders>
              <w:right w:val="single" w:sz="8" w:color="007CBA"/>
            </w:tcBorders>
            <w:shd w:val="clear" w:color="auto" w:fill="007CBA"/>
          </w:tcPr>
          <w:p>
            <w:pPr>
              <w:jc w:val="right"/>
              <w:ind w:right="10"/>
              <w:spacing w:after="0"/>
              <w:rPr>
                <w:sz w:val="20"/>
                <w:szCs w:val="20"/>
                <w:color w:val="auto"/>
              </w:rPr>
            </w:pPr>
            <w:r>
              <w:rPr>
                <w:rFonts w:ascii="Calibri" w:cs="Calibri" w:eastAsia="Calibri" w:hAnsi="Calibri"/>
                <w:sz w:val="18"/>
                <w:szCs w:val="18"/>
                <w:b w:val="1"/>
                <w:bCs w:val="1"/>
                <w:color w:val="FFFFFF"/>
              </w:rPr>
              <w:t>2023</w:t>
            </w:r>
          </w:p>
        </w:tc>
        <w:tc>
          <w:tcPr>
            <w:tcW w:w="980" w:type="dxa"/>
            <w:vAlign w:val="bottom"/>
            <w:shd w:val="clear" w:color="auto" w:fill="007CBA"/>
          </w:tcPr>
          <w:p>
            <w:pPr>
              <w:spacing w:after="0"/>
              <w:rPr>
                <w:sz w:val="20"/>
                <w:szCs w:val="20"/>
                <w:color w:val="auto"/>
              </w:rPr>
            </w:pPr>
          </w:p>
        </w:tc>
        <w:tc>
          <w:tcPr>
            <w:tcW w:w="260" w:type="dxa"/>
            <w:vAlign w:val="bottom"/>
            <w:shd w:val="clear" w:color="auto" w:fill="007CBA"/>
          </w:tcPr>
          <w:p>
            <w:pPr>
              <w:spacing w:after="0"/>
              <w:rPr>
                <w:sz w:val="20"/>
                <w:szCs w:val="20"/>
                <w:color w:val="auto"/>
              </w:rPr>
            </w:pPr>
          </w:p>
        </w:tc>
        <w:tc>
          <w:tcPr>
            <w:tcW w:w="1080" w:type="dxa"/>
            <w:vAlign w:val="bottom"/>
            <w:tcBorders>
              <w:right w:val="single" w:sz="8" w:color="007CBA"/>
            </w:tcBorders>
            <w:shd w:val="clear" w:color="auto" w:fill="007CBA"/>
          </w:tcPr>
          <w:p>
            <w:pPr>
              <w:jc w:val="right"/>
              <w:spacing w:after="0"/>
              <w:rPr>
                <w:sz w:val="20"/>
                <w:szCs w:val="20"/>
                <w:color w:val="auto"/>
              </w:rPr>
            </w:pPr>
            <w:r>
              <w:rPr>
                <w:rFonts w:ascii="Calibri" w:cs="Calibri" w:eastAsia="Calibri" w:hAnsi="Calibri"/>
                <w:sz w:val="18"/>
                <w:szCs w:val="18"/>
                <w:color w:val="FFFFFF"/>
              </w:rPr>
              <w:t>2022</w:t>
            </w:r>
          </w:p>
        </w:tc>
        <w:tc>
          <w:tcPr>
            <w:tcW w:w="1040" w:type="dxa"/>
            <w:vAlign w:val="bottom"/>
            <w:shd w:val="clear" w:color="auto" w:fill="007CBA"/>
          </w:tcPr>
          <w:p>
            <w:pPr>
              <w:spacing w:after="0"/>
              <w:rPr>
                <w:sz w:val="20"/>
                <w:szCs w:val="20"/>
                <w:color w:val="auto"/>
              </w:rPr>
            </w:pPr>
          </w:p>
        </w:tc>
      </w:tr>
      <w:tr>
        <w:trPr>
          <w:trHeight w:val="228"/>
        </w:trPr>
        <w:tc>
          <w:tcPr>
            <w:tcW w:w="63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380" w:type="dxa"/>
            <w:vAlign w:val="bottom"/>
            <w:shd w:val="clear" w:color="auto" w:fill="007CBA"/>
          </w:tcPr>
          <w:p>
            <w:pPr>
              <w:spacing w:after="0"/>
              <w:rPr>
                <w:sz w:val="19"/>
                <w:szCs w:val="19"/>
                <w:color w:val="auto"/>
              </w:rPr>
            </w:pPr>
          </w:p>
        </w:tc>
        <w:tc>
          <w:tcPr>
            <w:tcW w:w="1120" w:type="dxa"/>
            <w:vAlign w:val="bottom"/>
            <w:tcBorders>
              <w:right w:val="single" w:sz="8" w:color="007CBA"/>
            </w:tcBorders>
            <w:shd w:val="clear" w:color="auto" w:fill="007CBA"/>
          </w:tcPr>
          <w:p>
            <w:pPr>
              <w:spacing w:after="0"/>
              <w:rPr>
                <w:sz w:val="19"/>
                <w:szCs w:val="19"/>
                <w:color w:val="auto"/>
              </w:rPr>
            </w:pPr>
          </w:p>
        </w:tc>
        <w:tc>
          <w:tcPr>
            <w:tcW w:w="980" w:type="dxa"/>
            <w:vAlign w:val="bottom"/>
            <w:shd w:val="clear" w:color="auto" w:fill="007CBA"/>
          </w:tcPr>
          <w:p>
            <w:pPr>
              <w:jc w:val="right"/>
              <w:ind w:right="370"/>
              <w:spacing w:after="0"/>
              <w:rPr>
                <w:sz w:val="20"/>
                <w:szCs w:val="20"/>
                <w:color w:val="auto"/>
              </w:rPr>
            </w:pPr>
            <w:r>
              <w:rPr>
                <w:rFonts w:ascii="Calibri" w:cs="Calibri" w:eastAsia="Calibri" w:hAnsi="Calibri"/>
                <w:sz w:val="18"/>
                <w:szCs w:val="18"/>
                <w:b w:val="1"/>
                <w:bCs w:val="1"/>
                <w:color w:val="FFFFFF"/>
              </w:rPr>
              <w:t>% of</w:t>
            </w:r>
          </w:p>
        </w:tc>
        <w:tc>
          <w:tcPr>
            <w:tcW w:w="260" w:type="dxa"/>
            <w:vAlign w:val="bottom"/>
            <w:shd w:val="clear" w:color="auto" w:fill="007CBA"/>
          </w:tcPr>
          <w:p>
            <w:pPr>
              <w:spacing w:after="0"/>
              <w:rPr>
                <w:sz w:val="19"/>
                <w:szCs w:val="19"/>
                <w:color w:val="auto"/>
              </w:rPr>
            </w:pPr>
          </w:p>
        </w:tc>
        <w:tc>
          <w:tcPr>
            <w:tcW w:w="1080" w:type="dxa"/>
            <w:vAlign w:val="bottom"/>
            <w:tcBorders>
              <w:right w:val="single" w:sz="8" w:color="007CBA"/>
            </w:tcBorders>
            <w:shd w:val="clear" w:color="auto" w:fill="007CBA"/>
          </w:tcPr>
          <w:p>
            <w:pPr>
              <w:spacing w:after="0"/>
              <w:rPr>
                <w:sz w:val="19"/>
                <w:szCs w:val="19"/>
                <w:color w:val="auto"/>
              </w:rPr>
            </w:pPr>
          </w:p>
        </w:tc>
        <w:tc>
          <w:tcPr>
            <w:tcW w:w="1040" w:type="dxa"/>
            <w:vAlign w:val="bottom"/>
            <w:shd w:val="clear" w:color="auto" w:fill="007CBA"/>
          </w:tcPr>
          <w:p>
            <w:pPr>
              <w:jc w:val="right"/>
              <w:ind w:right="430"/>
              <w:spacing w:after="0"/>
              <w:rPr>
                <w:sz w:val="20"/>
                <w:szCs w:val="20"/>
                <w:color w:val="auto"/>
              </w:rPr>
            </w:pPr>
            <w:r>
              <w:rPr>
                <w:rFonts w:ascii="Calibri" w:cs="Calibri" w:eastAsia="Calibri" w:hAnsi="Calibri"/>
                <w:sz w:val="18"/>
                <w:szCs w:val="18"/>
                <w:color w:val="FFFFFF"/>
              </w:rPr>
              <w:t>% of</w:t>
            </w:r>
          </w:p>
        </w:tc>
      </w:tr>
      <w:tr>
        <w:trPr>
          <w:trHeight w:val="233"/>
        </w:trPr>
        <w:tc>
          <w:tcPr>
            <w:tcW w:w="638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color w:val="FFFFFF"/>
              </w:rPr>
              <w:t>(dollars in millions)</w:t>
            </w:r>
          </w:p>
        </w:tc>
        <w:tc>
          <w:tcPr>
            <w:tcW w:w="380" w:type="dxa"/>
            <w:vAlign w:val="bottom"/>
            <w:tcBorders>
              <w:bottom w:val="single" w:sz="8" w:color="007CBA"/>
            </w:tcBorders>
            <w:shd w:val="clear" w:color="auto" w:fill="007CBA"/>
          </w:tcPr>
          <w:p>
            <w:pPr>
              <w:spacing w:after="0"/>
              <w:rPr>
                <w:sz w:val="20"/>
                <w:szCs w:val="20"/>
                <w:color w:val="auto"/>
              </w:rPr>
            </w:pPr>
          </w:p>
        </w:tc>
        <w:tc>
          <w:tcPr>
            <w:tcW w:w="1120" w:type="dxa"/>
            <w:vAlign w:val="bottom"/>
            <w:tcBorders>
              <w:bottom w:val="single" w:sz="8" w:color="007CBA"/>
              <w:right w:val="single" w:sz="8" w:color="007CBA"/>
            </w:tcBorders>
            <w:shd w:val="clear" w:color="auto" w:fill="007CBA"/>
          </w:tcPr>
          <w:p>
            <w:pPr>
              <w:jc w:val="right"/>
              <w:ind w:right="330"/>
              <w:spacing w:after="0" w:line="216" w:lineRule="exact"/>
              <w:rPr>
                <w:sz w:val="20"/>
                <w:szCs w:val="20"/>
                <w:color w:val="auto"/>
              </w:rPr>
            </w:pPr>
            <w:r>
              <w:rPr>
                <w:rFonts w:ascii="Calibri" w:cs="Calibri" w:eastAsia="Calibri" w:hAnsi="Calibri"/>
                <w:sz w:val="18"/>
                <w:szCs w:val="18"/>
                <w:b w:val="1"/>
                <w:bCs w:val="1"/>
                <w:color w:val="FFFFFF"/>
              </w:rPr>
              <w:t>Amount</w:t>
            </w:r>
          </w:p>
        </w:tc>
        <w:tc>
          <w:tcPr>
            <w:tcW w:w="980" w:type="dxa"/>
            <w:vAlign w:val="bottom"/>
            <w:tcBorders>
              <w:bottom w:val="single" w:sz="8" w:color="007CBA"/>
            </w:tcBorders>
            <w:shd w:val="clear" w:color="auto" w:fill="007CBA"/>
          </w:tcPr>
          <w:p>
            <w:pPr>
              <w:jc w:val="right"/>
              <w:ind w:right="150"/>
              <w:spacing w:after="0" w:line="216" w:lineRule="exact"/>
              <w:rPr>
                <w:sz w:val="20"/>
                <w:szCs w:val="20"/>
                <w:color w:val="auto"/>
              </w:rPr>
            </w:pPr>
            <w:r>
              <w:rPr>
                <w:rFonts w:ascii="Calibri" w:cs="Calibri" w:eastAsia="Calibri" w:hAnsi="Calibri"/>
                <w:sz w:val="18"/>
                <w:szCs w:val="18"/>
                <w:b w:val="1"/>
                <w:bCs w:val="1"/>
                <w:color w:val="FFFFFF"/>
                <w:w w:val="99"/>
              </w:rPr>
              <w:t>Revenues</w:t>
            </w:r>
          </w:p>
        </w:tc>
        <w:tc>
          <w:tcPr>
            <w:tcW w:w="260" w:type="dxa"/>
            <w:vAlign w:val="bottom"/>
            <w:tcBorders>
              <w:bottom w:val="single" w:sz="8" w:color="007CBA"/>
            </w:tcBorders>
            <w:shd w:val="clear" w:color="auto" w:fill="007CBA"/>
          </w:tcPr>
          <w:p>
            <w:pPr>
              <w:spacing w:after="0"/>
              <w:rPr>
                <w:sz w:val="20"/>
                <w:szCs w:val="20"/>
                <w:color w:val="auto"/>
              </w:rPr>
            </w:pPr>
          </w:p>
        </w:tc>
        <w:tc>
          <w:tcPr>
            <w:tcW w:w="1080" w:type="dxa"/>
            <w:vAlign w:val="bottom"/>
            <w:tcBorders>
              <w:bottom w:val="single" w:sz="8" w:color="007CBA"/>
              <w:right w:val="single" w:sz="8" w:color="007CBA"/>
            </w:tcBorders>
            <w:shd w:val="clear" w:color="auto" w:fill="007CBA"/>
          </w:tcPr>
          <w:p>
            <w:pPr>
              <w:jc w:val="right"/>
              <w:ind w:right="310"/>
              <w:spacing w:after="0" w:line="216" w:lineRule="exact"/>
              <w:rPr>
                <w:sz w:val="20"/>
                <w:szCs w:val="20"/>
                <w:color w:val="auto"/>
              </w:rPr>
            </w:pPr>
            <w:r>
              <w:rPr>
                <w:rFonts w:ascii="Calibri" w:cs="Calibri" w:eastAsia="Calibri" w:hAnsi="Calibri"/>
                <w:sz w:val="18"/>
                <w:szCs w:val="18"/>
                <w:color w:val="FFFFFF"/>
              </w:rPr>
              <w:t>Amount</w:t>
            </w:r>
          </w:p>
        </w:tc>
        <w:tc>
          <w:tcPr>
            <w:tcW w:w="1040" w:type="dxa"/>
            <w:vAlign w:val="bottom"/>
            <w:tcBorders>
              <w:bottom w:val="single" w:sz="8" w:color="007CBA"/>
            </w:tcBorders>
            <w:shd w:val="clear" w:color="auto" w:fill="007CBA"/>
          </w:tcPr>
          <w:p>
            <w:pPr>
              <w:jc w:val="right"/>
              <w:ind w:right="230"/>
              <w:spacing w:after="0" w:line="216" w:lineRule="exact"/>
              <w:rPr>
                <w:sz w:val="20"/>
                <w:szCs w:val="20"/>
                <w:color w:val="auto"/>
              </w:rPr>
            </w:pPr>
            <w:r>
              <w:rPr>
                <w:rFonts w:ascii="Calibri" w:cs="Calibri" w:eastAsia="Calibri" w:hAnsi="Calibri"/>
                <w:sz w:val="18"/>
                <w:szCs w:val="18"/>
                <w:color w:val="FFFFFF"/>
                <w:w w:val="98"/>
              </w:rPr>
              <w:t>Revenues</w:t>
            </w:r>
          </w:p>
        </w:tc>
      </w:tr>
      <w:tr>
        <w:trPr>
          <w:trHeight w:val="223"/>
        </w:trPr>
        <w:tc>
          <w:tcPr>
            <w:tcW w:w="63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Building Materials business:</w:t>
            </w:r>
          </w:p>
        </w:tc>
        <w:tc>
          <w:tcPr>
            <w:tcW w:w="380" w:type="dxa"/>
            <w:vAlign w:val="bottom"/>
            <w:tcBorders>
              <w:bottom w:val="single" w:sz="8" w:color="E5F1F8"/>
            </w:tcBorders>
            <w:shd w:val="clear" w:color="auto" w:fill="E5F1F8"/>
          </w:tcPr>
          <w:p>
            <w:pPr>
              <w:spacing w:after="0"/>
              <w:rPr>
                <w:sz w:val="19"/>
                <w:szCs w:val="19"/>
                <w:color w:val="auto"/>
              </w:rPr>
            </w:pPr>
          </w:p>
        </w:tc>
        <w:tc>
          <w:tcPr>
            <w:tcW w:w="1120" w:type="dxa"/>
            <w:vAlign w:val="bottom"/>
            <w:tcBorders>
              <w:bottom w:val="single" w:sz="8" w:color="E5F1F8"/>
              <w:right w:val="single" w:sz="8" w:color="007CBA"/>
            </w:tcBorders>
            <w:shd w:val="clear" w:color="auto" w:fill="E5F1F8"/>
          </w:tcPr>
          <w:p>
            <w:pPr>
              <w:spacing w:after="0"/>
              <w:rPr>
                <w:sz w:val="19"/>
                <w:szCs w:val="19"/>
                <w:color w:val="auto"/>
              </w:rPr>
            </w:pPr>
          </w:p>
        </w:tc>
        <w:tc>
          <w:tcPr>
            <w:tcW w:w="980" w:type="dxa"/>
            <w:vAlign w:val="bottom"/>
            <w:tcBorders>
              <w:bottom w:val="single" w:sz="8" w:color="E5F1F8"/>
            </w:tcBorders>
            <w:shd w:val="clear" w:color="auto" w:fill="E5F1F8"/>
          </w:tcPr>
          <w:p>
            <w:pPr>
              <w:spacing w:after="0"/>
              <w:rPr>
                <w:sz w:val="19"/>
                <w:szCs w:val="19"/>
                <w:color w:val="auto"/>
              </w:rPr>
            </w:pPr>
          </w:p>
        </w:tc>
        <w:tc>
          <w:tcPr>
            <w:tcW w:w="260" w:type="dxa"/>
            <w:vAlign w:val="bottom"/>
            <w:tcBorders>
              <w:bottom w:val="single" w:sz="8" w:color="E5F1F8"/>
            </w:tcBorders>
            <w:shd w:val="clear" w:color="auto" w:fill="E5F1F8"/>
          </w:tcPr>
          <w:p>
            <w:pPr>
              <w:spacing w:after="0"/>
              <w:rPr>
                <w:sz w:val="19"/>
                <w:szCs w:val="19"/>
                <w:color w:val="auto"/>
              </w:rPr>
            </w:pPr>
          </w:p>
        </w:tc>
        <w:tc>
          <w:tcPr>
            <w:tcW w:w="1080" w:type="dxa"/>
            <w:vAlign w:val="bottom"/>
            <w:tcBorders>
              <w:bottom w:val="single" w:sz="8" w:color="E5F1F8"/>
              <w:right w:val="single" w:sz="8" w:color="007CBA"/>
            </w:tcBorders>
            <w:shd w:val="clear" w:color="auto" w:fill="E5F1F8"/>
          </w:tcPr>
          <w:p>
            <w:pPr>
              <w:spacing w:after="0"/>
              <w:rPr>
                <w:sz w:val="19"/>
                <w:szCs w:val="19"/>
                <w:color w:val="auto"/>
              </w:rPr>
            </w:pPr>
          </w:p>
        </w:tc>
        <w:tc>
          <w:tcPr>
            <w:tcW w:w="1040" w:type="dxa"/>
            <w:vAlign w:val="bottom"/>
            <w:tcBorders>
              <w:bottom w:val="single" w:sz="8" w:color="E5F1F8"/>
            </w:tcBorders>
            <w:shd w:val="clear" w:color="auto" w:fill="E5F1F8"/>
          </w:tcPr>
          <w:p>
            <w:pPr>
              <w:spacing w:after="0"/>
              <w:rPr>
                <w:sz w:val="19"/>
                <w:szCs w:val="19"/>
                <w:color w:val="auto"/>
              </w:rPr>
            </w:pPr>
          </w:p>
        </w:tc>
      </w:tr>
      <w:tr>
        <w:trPr>
          <w:trHeight w:val="215"/>
        </w:trPr>
        <w:tc>
          <w:tcPr>
            <w:tcW w:w="638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Aggregates</w:t>
            </w:r>
          </w:p>
        </w:tc>
        <w:tc>
          <w:tcPr>
            <w:tcW w:w="38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1,378.1</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32.0 %</w:t>
            </w:r>
          </w:p>
        </w:tc>
        <w:tc>
          <w:tcPr>
            <w:tcW w:w="2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983.8</w:t>
            </w:r>
          </w:p>
        </w:tc>
        <w:tc>
          <w:tcPr>
            <w:tcW w:w="10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25.4 %</w:t>
            </w:r>
          </w:p>
        </w:tc>
      </w:tr>
      <w:tr>
        <w:trPr>
          <w:trHeight w:val="28"/>
        </w:trPr>
        <w:tc>
          <w:tcPr>
            <w:tcW w:w="6380" w:type="dxa"/>
            <w:vAlign w:val="bottom"/>
            <w:tcBorders>
              <w:right w:val="single" w:sz="8" w:color="007CBA"/>
            </w:tcBorders>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Borders>
              <w:right w:val="single" w:sz="8" w:color="007CBA"/>
            </w:tcBorders>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Borders>
              <w:right w:val="single" w:sz="8" w:color="007CBA"/>
            </w:tcBorders>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638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Cement</w:t>
            </w:r>
          </w:p>
        </w:tc>
        <w:tc>
          <w:tcPr>
            <w:tcW w:w="380" w:type="dxa"/>
            <w:vAlign w:val="bottom"/>
            <w:tcBorders>
              <w:bottom w:val="single" w:sz="8" w:color="E5F1F8"/>
            </w:tcBorders>
            <w:shd w:val="clear" w:color="auto" w:fill="E5F1F8"/>
          </w:tcPr>
          <w:p>
            <w:pPr>
              <w:spacing w:after="0"/>
              <w:rPr>
                <w:sz w:val="19"/>
                <w:szCs w:val="19"/>
                <w:color w:val="auto"/>
              </w:rPr>
            </w:pPr>
          </w:p>
        </w:tc>
        <w:tc>
          <w:tcPr>
            <w:tcW w:w="11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333.6</w:t>
            </w:r>
          </w:p>
        </w:tc>
        <w:tc>
          <w:tcPr>
            <w:tcW w:w="98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46.0 %</w:t>
            </w:r>
          </w:p>
        </w:tc>
        <w:tc>
          <w:tcPr>
            <w:tcW w:w="260" w:type="dxa"/>
            <w:vAlign w:val="bottom"/>
            <w:tcBorders>
              <w:bottom w:val="single" w:sz="8" w:color="E5F1F8"/>
            </w:tcBorders>
            <w:shd w:val="clear" w:color="auto" w:fill="E5F1F8"/>
          </w:tcPr>
          <w:p>
            <w:pPr>
              <w:spacing w:after="0"/>
              <w:rPr>
                <w:sz w:val="19"/>
                <w:szCs w:val="19"/>
                <w:color w:val="auto"/>
              </w:rPr>
            </w:pPr>
          </w:p>
        </w:tc>
        <w:tc>
          <w:tcPr>
            <w:tcW w:w="108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202.7</w:t>
            </w:r>
          </w:p>
        </w:tc>
        <w:tc>
          <w:tcPr>
            <w:tcW w:w="10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32.7 %</w:t>
            </w:r>
          </w:p>
        </w:tc>
      </w:tr>
      <w:tr>
        <w:trPr>
          <w:trHeight w:val="243"/>
        </w:trPr>
        <w:tc>
          <w:tcPr>
            <w:tcW w:w="638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Ready mixed concrete</w:t>
            </w:r>
          </w:p>
        </w:tc>
        <w:tc>
          <w:tcPr>
            <w:tcW w:w="380" w:type="dxa"/>
            <w:vAlign w:val="bottom"/>
          </w:tcPr>
          <w:p>
            <w:pPr>
              <w:spacing w:after="0"/>
              <w:rPr>
                <w:sz w:val="21"/>
                <w:szCs w:val="21"/>
                <w:color w:val="auto"/>
              </w:rPr>
            </w:pPr>
          </w:p>
        </w:tc>
        <w:tc>
          <w:tcPr>
            <w:tcW w:w="11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102.0</w:t>
            </w:r>
          </w:p>
        </w:tc>
        <w:tc>
          <w:tcPr>
            <w:tcW w:w="98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10.1 %</w:t>
            </w:r>
          </w:p>
        </w:tc>
        <w:tc>
          <w:tcPr>
            <w:tcW w:w="260" w:type="dxa"/>
            <w:vAlign w:val="bottom"/>
          </w:tcPr>
          <w:p>
            <w:pPr>
              <w:spacing w:after="0"/>
              <w:rPr>
                <w:sz w:val="21"/>
                <w:szCs w:val="21"/>
                <w:color w:val="auto"/>
              </w:rPr>
            </w:pPr>
          </w:p>
        </w:tc>
        <w:tc>
          <w:tcPr>
            <w:tcW w:w="108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70.7</w:t>
            </w:r>
          </w:p>
        </w:tc>
        <w:tc>
          <w:tcPr>
            <w:tcW w:w="10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7.4 %</w:t>
            </w:r>
          </w:p>
        </w:tc>
      </w:tr>
      <w:tr>
        <w:trPr>
          <w:trHeight w:val="248"/>
        </w:trPr>
        <w:tc>
          <w:tcPr>
            <w:tcW w:w="6380" w:type="dxa"/>
            <w:vAlign w:val="bottom"/>
            <w:tcBorders>
              <w:bottom w:val="single" w:sz="8" w:color="E5F1F8"/>
              <w:right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Asphalt and paving services</w:t>
            </w:r>
          </w:p>
        </w:tc>
        <w:tc>
          <w:tcPr>
            <w:tcW w:w="380" w:type="dxa"/>
            <w:vAlign w:val="bottom"/>
            <w:tcBorders>
              <w:bottom w:val="single" w:sz="8" w:color="E5F1F8"/>
            </w:tcBorders>
            <w:shd w:val="clear" w:color="auto" w:fill="E5F1F8"/>
          </w:tcPr>
          <w:p>
            <w:pPr>
              <w:spacing w:after="0"/>
              <w:rPr>
                <w:sz w:val="21"/>
                <w:szCs w:val="21"/>
                <w:color w:val="auto"/>
              </w:rPr>
            </w:pPr>
          </w:p>
        </w:tc>
        <w:tc>
          <w:tcPr>
            <w:tcW w:w="112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109.0</w:t>
            </w:r>
          </w:p>
        </w:tc>
        <w:tc>
          <w:tcPr>
            <w:tcW w:w="98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12.3 %</w:t>
            </w:r>
          </w:p>
        </w:tc>
        <w:tc>
          <w:tcPr>
            <w:tcW w:w="260" w:type="dxa"/>
            <w:vAlign w:val="bottom"/>
            <w:tcBorders>
              <w:bottom w:val="single" w:sz="8" w:color="E5F1F8"/>
            </w:tcBorders>
            <w:shd w:val="clear" w:color="auto" w:fill="E5F1F8"/>
          </w:tcPr>
          <w:p>
            <w:pPr>
              <w:spacing w:after="0"/>
              <w:rPr>
                <w:sz w:val="21"/>
                <w:szCs w:val="21"/>
                <w:color w:val="auto"/>
              </w:rPr>
            </w:pPr>
          </w:p>
        </w:tc>
        <w:tc>
          <w:tcPr>
            <w:tcW w:w="108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81.0</w:t>
            </w:r>
          </w:p>
        </w:tc>
        <w:tc>
          <w:tcPr>
            <w:tcW w:w="10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10.3 %</w:t>
            </w:r>
          </w:p>
        </w:tc>
      </w:tr>
      <w:tr>
        <w:trPr>
          <w:trHeight w:val="208"/>
        </w:trPr>
        <w:tc>
          <w:tcPr>
            <w:tcW w:w="638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380" w:type="dxa"/>
            <w:vAlign w:val="bottom"/>
            <w:tcBorders>
              <w:top w:val="single" w:sz="8" w:color="auto"/>
            </w:tcBorders>
          </w:tcPr>
          <w:p>
            <w:pPr>
              <w:spacing w:after="0"/>
              <w:rPr>
                <w:sz w:val="18"/>
                <w:szCs w:val="18"/>
                <w:color w:val="auto"/>
              </w:rPr>
            </w:pPr>
          </w:p>
        </w:tc>
        <w:tc>
          <w:tcPr>
            <w:tcW w:w="112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1,922.7</w:t>
            </w:r>
          </w:p>
        </w:tc>
        <w:tc>
          <w:tcPr>
            <w:tcW w:w="9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29.8 %</w:t>
            </w: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1,338.2</w:t>
            </w:r>
          </w:p>
        </w:tc>
        <w:tc>
          <w:tcPr>
            <w:tcW w:w="10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22.8 %</w:t>
            </w:r>
          </w:p>
        </w:tc>
      </w:tr>
      <w:tr>
        <w:trPr>
          <w:trHeight w:val="28"/>
        </w:trPr>
        <w:tc>
          <w:tcPr>
            <w:tcW w:w="6380" w:type="dxa"/>
            <w:vAlign w:val="bottom"/>
            <w:tcBorders>
              <w:right w:val="single" w:sz="8" w:color="007CBA"/>
            </w:tcBorders>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Borders>
              <w:right w:val="single" w:sz="8" w:color="007CBA"/>
            </w:tcBorders>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Borders>
              <w:right w:val="single" w:sz="8" w:color="007CBA"/>
            </w:tcBorders>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63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380" w:type="dxa"/>
            <w:vAlign w:val="bottom"/>
            <w:tcBorders>
              <w:bottom w:val="single" w:sz="8" w:color="E5F1F8"/>
            </w:tcBorders>
            <w:shd w:val="clear" w:color="auto" w:fill="E5F1F8"/>
          </w:tcPr>
          <w:p>
            <w:pPr>
              <w:spacing w:after="0"/>
              <w:rPr>
                <w:sz w:val="19"/>
                <w:szCs w:val="19"/>
                <w:color w:val="auto"/>
              </w:rPr>
            </w:pPr>
          </w:p>
        </w:tc>
        <w:tc>
          <w:tcPr>
            <w:tcW w:w="11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97.1</w:t>
            </w:r>
          </w:p>
        </w:tc>
        <w:tc>
          <w:tcPr>
            <w:tcW w:w="98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30.8 %</w:t>
            </w:r>
          </w:p>
        </w:tc>
        <w:tc>
          <w:tcPr>
            <w:tcW w:w="260" w:type="dxa"/>
            <w:vAlign w:val="bottom"/>
            <w:tcBorders>
              <w:bottom w:val="single" w:sz="8" w:color="E5F1F8"/>
            </w:tcBorders>
            <w:shd w:val="clear" w:color="auto" w:fill="E5F1F8"/>
          </w:tcPr>
          <w:p>
            <w:pPr>
              <w:spacing w:after="0"/>
              <w:rPr>
                <w:sz w:val="19"/>
                <w:szCs w:val="19"/>
                <w:color w:val="auto"/>
              </w:rPr>
            </w:pPr>
          </w:p>
        </w:tc>
        <w:tc>
          <w:tcPr>
            <w:tcW w:w="108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90.9</w:t>
            </w:r>
          </w:p>
        </w:tc>
        <w:tc>
          <w:tcPr>
            <w:tcW w:w="10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29.9 %</w:t>
            </w:r>
          </w:p>
        </w:tc>
      </w:tr>
      <w:tr>
        <w:trPr>
          <w:trHeight w:val="243"/>
        </w:trPr>
        <w:tc>
          <w:tcPr>
            <w:tcW w:w="63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Corporate</w:t>
            </w:r>
          </w:p>
        </w:tc>
        <w:tc>
          <w:tcPr>
            <w:tcW w:w="380" w:type="dxa"/>
            <w:vAlign w:val="bottom"/>
          </w:tcPr>
          <w:p>
            <w:pPr>
              <w:spacing w:after="0"/>
              <w:rPr>
                <w:sz w:val="21"/>
                <w:szCs w:val="21"/>
                <w:color w:val="auto"/>
              </w:rPr>
            </w:pPr>
          </w:p>
        </w:tc>
        <w:tc>
          <w:tcPr>
            <w:tcW w:w="11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2.8</w:t>
            </w:r>
          </w:p>
        </w:tc>
        <w:tc>
          <w:tcPr>
            <w:tcW w:w="980" w:type="dxa"/>
            <w:vAlign w:val="bottom"/>
          </w:tcPr>
          <w:p>
            <w:pPr>
              <w:jc w:val="right"/>
              <w:ind w:right="130"/>
              <w:spacing w:after="0" w:line="215" w:lineRule="exact"/>
              <w:rPr>
                <w:sz w:val="20"/>
                <w:szCs w:val="20"/>
                <w:color w:val="auto"/>
              </w:rPr>
            </w:pPr>
            <w:r>
              <w:rPr>
                <w:rFonts w:ascii="Calibri" w:cs="Calibri" w:eastAsia="Calibri" w:hAnsi="Calibri"/>
                <w:sz w:val="18"/>
                <w:szCs w:val="18"/>
                <w:b w:val="1"/>
                <w:bCs w:val="1"/>
                <w:color w:val="auto"/>
              </w:rPr>
              <w:t>NM</w:t>
            </w:r>
          </w:p>
        </w:tc>
        <w:tc>
          <w:tcPr>
            <w:tcW w:w="260" w:type="dxa"/>
            <w:vAlign w:val="bottom"/>
          </w:tcPr>
          <w:p>
            <w:pPr>
              <w:spacing w:after="0"/>
              <w:rPr>
                <w:sz w:val="21"/>
                <w:szCs w:val="21"/>
                <w:color w:val="auto"/>
              </w:rPr>
            </w:pPr>
          </w:p>
        </w:tc>
        <w:tc>
          <w:tcPr>
            <w:tcW w:w="108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(5.8 )</w:t>
            </w:r>
          </w:p>
        </w:tc>
        <w:tc>
          <w:tcPr>
            <w:tcW w:w="104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NM</w:t>
            </w:r>
          </w:p>
        </w:tc>
      </w:tr>
      <w:tr>
        <w:trPr>
          <w:trHeight w:val="262"/>
        </w:trPr>
        <w:tc>
          <w:tcPr>
            <w:tcW w:w="6380" w:type="dxa"/>
            <w:vAlign w:val="bottom"/>
            <w:tcBorders>
              <w:top w:val="single" w:sz="8" w:color="auto"/>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Consolidated gross proft</w:t>
            </w:r>
          </w:p>
        </w:tc>
        <w:tc>
          <w:tcPr>
            <w:tcW w:w="380" w:type="dxa"/>
            <w:vAlign w:val="bottom"/>
            <w:tcBorders>
              <w:top w:val="single" w:sz="8" w:color="auto"/>
              <w:bottom w:val="single" w:sz="8" w:color="E5F1F8"/>
            </w:tcBorders>
            <w:shd w:val="clear" w:color="auto" w:fill="E5F1F8"/>
          </w:tcPr>
          <w:p>
            <w:pPr>
              <w:jc w:val="right"/>
              <w:ind w:right="10"/>
              <w:spacing w:after="0" w:line="208"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top w:val="single" w:sz="8" w:color="auto"/>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2,022.6</w:t>
            </w:r>
          </w:p>
        </w:tc>
        <w:tc>
          <w:tcPr>
            <w:tcW w:w="980" w:type="dxa"/>
            <w:vAlign w:val="bottom"/>
            <w:tcBorders>
              <w:top w:val="single" w:sz="8" w:color="auto"/>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29.8 %</w:t>
            </w:r>
          </w:p>
        </w:tc>
        <w:tc>
          <w:tcPr>
            <w:tcW w:w="260" w:type="dxa"/>
            <w:vAlign w:val="bottom"/>
            <w:tcBorders>
              <w:top w:val="single" w:sz="8" w:color="auto"/>
              <w:bottom w:val="single" w:sz="8" w:color="E5F1F8"/>
            </w:tcBorders>
            <w:shd w:val="clear" w:color="auto" w:fill="E5F1F8"/>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1,423.3</w:t>
            </w:r>
          </w:p>
        </w:tc>
        <w:tc>
          <w:tcPr>
            <w:tcW w:w="1040" w:type="dxa"/>
            <w:vAlign w:val="bottom"/>
            <w:tcBorders>
              <w:top w:val="single" w:sz="8" w:color="auto"/>
              <w:bottom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23.1 %</w:t>
            </w:r>
          </w:p>
        </w:tc>
      </w:tr>
      <w:tr>
        <w:trPr>
          <w:trHeight w:val="20"/>
        </w:trPr>
        <w:tc>
          <w:tcPr>
            <w:tcW w:w="6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-1731010</wp:posOffset>
            </wp:positionV>
            <wp:extent cx="30861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-826770</wp:posOffset>
            </wp:positionV>
            <wp:extent cx="3429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-826770</wp:posOffset>
            </wp:positionV>
            <wp:extent cx="33655"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6456045</wp:posOffset>
            </wp:positionH>
            <wp:positionV relativeFrom="paragraph">
              <wp:posOffset>-826770</wp:posOffset>
            </wp:positionV>
            <wp:extent cx="34290" cy="188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-200660</wp:posOffset>
            </wp:positionV>
            <wp:extent cx="34290" cy="2139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34290" cy="213995"/>
                    </a:xfrm>
                    <a:prstGeom prst="rect">
                      <a:avLst/>
                    </a:prstGeom>
                    <a:noFill/>
                  </pic:spPr>
                </pic:pic>
              </a:graphicData>
            </a:graphic>
          </wp:anchor>
        </w:drawing>
        <w:drawing>
          <wp:anchor simplePos="0" relativeHeight="251657728" behindDoc="1" locked="0" layoutInCell="0" allowOverlap="1">
            <wp:simplePos x="0" y="0"/>
            <wp:positionH relativeFrom="column">
              <wp:posOffset>4981575</wp:posOffset>
            </wp:positionH>
            <wp:positionV relativeFrom="paragraph">
              <wp:posOffset>-200660</wp:posOffset>
            </wp:positionV>
            <wp:extent cx="33655" cy="2139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33655" cy="213995"/>
                    </a:xfrm>
                    <a:prstGeom prst="rect">
                      <a:avLst/>
                    </a:prstGeom>
                    <a:noFill/>
                  </pic:spPr>
                </pic:pic>
              </a:graphicData>
            </a:graphic>
          </wp:anchor>
        </w:drawing>
        <w:drawing>
          <wp:anchor simplePos="0" relativeHeight="251657728" behindDoc="1" locked="0" layoutInCell="0" allowOverlap="1">
            <wp:simplePos x="0" y="0"/>
            <wp:positionH relativeFrom="column">
              <wp:posOffset>5538470</wp:posOffset>
            </wp:positionH>
            <wp:positionV relativeFrom="paragraph">
              <wp:posOffset>-1430655</wp:posOffset>
            </wp:positionV>
            <wp:extent cx="34290" cy="14439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4290" cy="1443990"/>
                    </a:xfrm>
                    <a:prstGeom prst="rect">
                      <a:avLst/>
                    </a:prstGeom>
                    <a:noFill/>
                  </pic:spPr>
                </pic:pic>
              </a:graphicData>
            </a:graphic>
          </wp:anchor>
        </w:drawing>
        <w:drawing>
          <wp:anchor simplePos="0" relativeHeight="251657728" behindDoc="1" locked="0" layoutInCell="0" allowOverlap="1">
            <wp:simplePos x="0" y="0"/>
            <wp:positionH relativeFrom="column">
              <wp:posOffset>6456045</wp:posOffset>
            </wp:positionH>
            <wp:positionV relativeFrom="paragraph">
              <wp:posOffset>-200660</wp:posOffset>
            </wp:positionV>
            <wp:extent cx="34290" cy="2139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34290" cy="213995"/>
                    </a:xfrm>
                    <a:prstGeom prst="rect">
                      <a:avLst/>
                    </a:prstGeom>
                    <a:noFill/>
                  </pic:spPr>
                </pic:pic>
              </a:graphicData>
            </a:graphic>
          </wp:anchor>
        </w:drawing>
      </w:r>
    </w:p>
    <w:p>
      <w:pPr>
        <w:spacing w:after="0" w:line="147"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18"/>
          <w:szCs w:val="18"/>
          <w:color w:val="auto"/>
        </w:rPr>
        <w:t>The increase in Building Materials business gross proft in 2023 compared with 2022 was primarily atributable to pricing growth and lower energy costs, which more than ofset lower shipments and higher repairs and maintenance costs. Aggregates gross margin increased 660 basis points, as a result of pricing growth and lower diesel expense, ofsetng lower shipments and higher producton costs. Cement gross margin expanded 1,330 basis points, as pricing growth and lower energy costs more than ofset lower shipments and higher raw materials and maintenance costs.</w:t>
      </w:r>
    </w:p>
    <w:p>
      <w:pPr>
        <w:spacing w:after="0" w:line="192"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18"/>
          <w:szCs w:val="18"/>
          <w:color w:val="auto"/>
        </w:rPr>
        <w:t>The increase in gross proft in Magnesia Specialtes was driven by pricing gains in both the lime and chemical product lines, coupled with lower energy costs, which more than ofset higher repair costs.</w:t>
      </w:r>
    </w:p>
    <w:p>
      <w:pPr>
        <w:spacing w:after="0" w:line="110"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18"/>
          <w:szCs w:val="18"/>
          <w:color w:val="auto"/>
        </w:rPr>
        <w:t>Corporate gross proft includes intercompany royalty and rental revenue and expenses, depreciaton and unallocated operatonal expenses excluded from the Company’s evaluaton of business segment performance.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 xml:space="preserve">Building Materials. </w:t>
      </w:r>
      <w:r>
        <w:rPr>
          <w:rFonts w:ascii="Calibri" w:cs="Calibri" w:eastAsia="Calibri" w:hAnsi="Calibri"/>
          <w:sz w:val="18"/>
          <w:szCs w:val="18"/>
          <w:color w:val="000000"/>
        </w:rPr>
        <w:t>Shipment data and volume variances by product line for the Building Materials business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460" w:type="dxa"/>
            <w:vAlign w:val="bottom"/>
            <w:shd w:val="clear" w:color="auto" w:fill="007CBA"/>
          </w:tcPr>
          <w:p>
            <w:pPr>
              <w:spacing w:after="0"/>
              <w:rPr>
                <w:sz w:val="19"/>
                <w:szCs w:val="19"/>
                <w:color w:val="auto"/>
              </w:rPr>
            </w:pPr>
          </w:p>
        </w:tc>
        <w:tc>
          <w:tcPr>
            <w:tcW w:w="124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80" w:type="dxa"/>
            <w:vAlign w:val="bottom"/>
            <w:tcBorders>
              <w:right w:val="single" w:sz="8" w:color="007CBA"/>
            </w:tcBorders>
            <w:shd w:val="clear" w:color="auto" w:fill="007CBA"/>
          </w:tcPr>
          <w:p>
            <w:pPr>
              <w:spacing w:after="0"/>
              <w:rPr>
                <w:sz w:val="19"/>
                <w:szCs w:val="19"/>
                <w:color w:val="auto"/>
              </w:rPr>
            </w:pPr>
          </w:p>
        </w:tc>
        <w:tc>
          <w:tcPr>
            <w:tcW w:w="1620" w:type="dxa"/>
            <w:vAlign w:val="bottom"/>
            <w:shd w:val="clear" w:color="auto" w:fill="007CBA"/>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30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60" w:type="dxa"/>
            <w:vAlign w:val="bottom"/>
            <w:tcBorders>
              <w:bottom w:val="single" w:sz="8" w:color="007CBA"/>
            </w:tcBorders>
            <w:shd w:val="clear" w:color="auto" w:fill="007CBA"/>
          </w:tcPr>
          <w:p>
            <w:pPr>
              <w:spacing w:after="0"/>
              <w:rPr>
                <w:sz w:val="20"/>
                <w:szCs w:val="20"/>
                <w:color w:val="auto"/>
              </w:rPr>
            </w:pPr>
          </w:p>
        </w:tc>
        <w:tc>
          <w:tcPr>
            <w:tcW w:w="1240" w:type="dxa"/>
            <w:vAlign w:val="bottom"/>
            <w:tcBorders>
              <w:bottom w:val="single" w:sz="8" w:color="007CBA"/>
              <w:right w:val="single" w:sz="8" w:color="007CBA"/>
            </w:tcBorders>
            <w:shd w:val="clear" w:color="auto" w:fill="007CBA"/>
          </w:tcPr>
          <w:p>
            <w:pPr>
              <w:jc w:val="right"/>
              <w:ind w:right="590"/>
              <w:spacing w:after="0" w:line="215" w:lineRule="exact"/>
              <w:rPr>
                <w:sz w:val="20"/>
                <w:szCs w:val="20"/>
                <w:color w:val="auto"/>
              </w:rPr>
            </w:pPr>
            <w:r>
              <w:rPr>
                <w:rFonts w:ascii="Calibri" w:cs="Calibri" w:eastAsia="Calibri" w:hAnsi="Calibri"/>
                <w:sz w:val="18"/>
                <w:szCs w:val="18"/>
                <w:b w:val="1"/>
                <w:bCs w:val="1"/>
                <w:color w:val="FFFFFF"/>
              </w:rPr>
              <w:t>2023</w:t>
            </w:r>
          </w:p>
        </w:tc>
        <w:tc>
          <w:tcPr>
            <w:tcW w:w="440" w:type="dxa"/>
            <w:vAlign w:val="bottom"/>
            <w:tcBorders>
              <w:bottom w:val="single" w:sz="8" w:color="007CBA"/>
            </w:tcBorders>
            <w:shd w:val="clear" w:color="auto" w:fill="007CBA"/>
          </w:tcPr>
          <w:p>
            <w:pPr>
              <w:spacing w:after="0"/>
              <w:rPr>
                <w:sz w:val="20"/>
                <w:szCs w:val="20"/>
                <w:color w:val="auto"/>
              </w:rPr>
            </w:pPr>
          </w:p>
        </w:tc>
        <w:tc>
          <w:tcPr>
            <w:tcW w:w="1180" w:type="dxa"/>
            <w:vAlign w:val="bottom"/>
            <w:tcBorders>
              <w:bottom w:val="single" w:sz="8" w:color="007CBA"/>
              <w:right w:val="single" w:sz="8" w:color="007CBA"/>
            </w:tcBorders>
            <w:shd w:val="clear" w:color="auto" w:fill="007CBA"/>
          </w:tcPr>
          <w:p>
            <w:pPr>
              <w:jc w:val="right"/>
              <w:ind w:right="550"/>
              <w:spacing w:after="0" w:line="215" w:lineRule="exact"/>
              <w:rPr>
                <w:sz w:val="20"/>
                <w:szCs w:val="20"/>
                <w:color w:val="auto"/>
              </w:rPr>
            </w:pPr>
            <w:r>
              <w:rPr>
                <w:rFonts w:ascii="Calibri" w:cs="Calibri" w:eastAsia="Calibri" w:hAnsi="Calibri"/>
                <w:sz w:val="18"/>
                <w:szCs w:val="18"/>
                <w:color w:val="FFFFFF"/>
              </w:rPr>
              <w:t>2022</w:t>
            </w:r>
          </w:p>
        </w:tc>
        <w:tc>
          <w:tcPr>
            <w:tcW w:w="1620" w:type="dxa"/>
            <w:vAlign w:val="bottom"/>
            <w:tcBorders>
              <w:bottom w:val="single" w:sz="8" w:color="007CBA"/>
            </w:tcBorders>
            <w:shd w:val="clear" w:color="auto" w:fill="007CBA"/>
          </w:tcPr>
          <w:p>
            <w:pPr>
              <w:ind w:left="460"/>
              <w:spacing w:after="0" w:line="215" w:lineRule="exact"/>
              <w:rPr>
                <w:sz w:val="20"/>
                <w:szCs w:val="20"/>
                <w:color w:val="auto"/>
              </w:rPr>
            </w:pPr>
            <w:r>
              <w:rPr>
                <w:rFonts w:ascii="Calibri" w:cs="Calibri" w:eastAsia="Calibri" w:hAnsi="Calibri"/>
                <w:sz w:val="18"/>
                <w:szCs w:val="18"/>
                <w:color w:val="FFFFFF"/>
              </w:rPr>
              <w:t>% Change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30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Aggregates tons</w:t>
            </w:r>
          </w:p>
        </w:tc>
        <w:tc>
          <w:tcPr>
            <w:tcW w:w="460" w:type="dxa"/>
            <w:vAlign w:val="bottom"/>
          </w:tcPr>
          <w:p>
            <w:pPr>
              <w:spacing w:after="0"/>
              <w:rPr>
                <w:sz w:val="18"/>
                <w:szCs w:val="18"/>
                <w:color w:val="auto"/>
              </w:rPr>
            </w:pPr>
          </w:p>
        </w:tc>
        <w:tc>
          <w:tcPr>
            <w:tcW w:w="12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198.8</w:t>
            </w:r>
          </w:p>
        </w:tc>
        <w:tc>
          <w:tcPr>
            <w:tcW w:w="440" w:type="dxa"/>
            <w:vAlign w:val="bottom"/>
          </w:tcPr>
          <w:p>
            <w:pPr>
              <w:spacing w:after="0"/>
              <w:rPr>
                <w:sz w:val="18"/>
                <w:szCs w:val="18"/>
                <w:color w:val="auto"/>
              </w:rPr>
            </w:pPr>
          </w:p>
        </w:tc>
        <w:tc>
          <w:tcPr>
            <w:tcW w:w="11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207.7</w:t>
            </w:r>
          </w:p>
        </w:tc>
        <w:tc>
          <w:tcPr>
            <w:tcW w:w="17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(4.3 %)</w:t>
            </w:r>
          </w:p>
        </w:tc>
        <w:tc>
          <w:tcPr>
            <w:tcW w:w="0" w:type="dxa"/>
            <w:vAlign w:val="bottom"/>
          </w:tcPr>
          <w:p>
            <w:pPr>
              <w:spacing w:after="0"/>
              <w:rPr>
                <w:sz w:val="1"/>
                <w:szCs w:val="1"/>
                <w:color w:val="auto"/>
              </w:rPr>
            </w:pPr>
          </w:p>
        </w:tc>
      </w:tr>
      <w:tr>
        <w:trPr>
          <w:trHeight w:val="234"/>
        </w:trPr>
        <w:tc>
          <w:tcPr>
            <w:tcW w:w="6300" w:type="dxa"/>
            <w:vAlign w:val="bottom"/>
            <w:tcBorders>
              <w:right w:val="single" w:sz="8" w:color="007CBA"/>
            </w:tcBorders>
          </w:tcPr>
          <w:p>
            <w:pPr>
              <w:ind w:left="200"/>
              <w:spacing w:after="0"/>
              <w:rPr>
                <w:sz w:val="20"/>
                <w:szCs w:val="20"/>
                <w:color w:val="auto"/>
              </w:rPr>
            </w:pPr>
            <w:r>
              <w:rPr>
                <w:rFonts w:ascii="Calibri" w:cs="Calibri" w:eastAsia="Calibri" w:hAnsi="Calibri"/>
                <w:sz w:val="18"/>
                <w:szCs w:val="18"/>
                <w:color w:val="auto"/>
              </w:rPr>
              <w:t>Cement tons</w:t>
            </w:r>
          </w:p>
        </w:tc>
        <w:tc>
          <w:tcPr>
            <w:tcW w:w="460" w:type="dxa"/>
            <w:vAlign w:val="bottom"/>
          </w:tcPr>
          <w:p>
            <w:pPr>
              <w:spacing w:after="0"/>
              <w:rPr>
                <w:sz w:val="20"/>
                <w:szCs w:val="20"/>
                <w:color w:val="auto"/>
              </w:rPr>
            </w:pPr>
          </w:p>
        </w:tc>
        <w:tc>
          <w:tcPr>
            <w:tcW w:w="1240" w:type="dxa"/>
            <w:vAlign w:val="bottom"/>
            <w:tcBorders>
              <w:right w:val="single" w:sz="8" w:color="007CBA"/>
            </w:tcBorders>
          </w:tcPr>
          <w:p>
            <w:pPr>
              <w:jc w:val="right"/>
              <w:ind w:right="50"/>
              <w:spacing w:after="0"/>
              <w:rPr>
                <w:sz w:val="20"/>
                <w:szCs w:val="20"/>
                <w:color w:val="auto"/>
              </w:rPr>
            </w:pPr>
            <w:r>
              <w:rPr>
                <w:rFonts w:ascii="Calibri" w:cs="Calibri" w:eastAsia="Calibri" w:hAnsi="Calibri"/>
                <w:sz w:val="18"/>
                <w:szCs w:val="18"/>
                <w:b w:val="1"/>
                <w:bCs w:val="1"/>
                <w:color w:val="auto"/>
              </w:rPr>
              <w:t>4.0</w:t>
            </w:r>
          </w:p>
        </w:tc>
        <w:tc>
          <w:tcPr>
            <w:tcW w:w="440" w:type="dxa"/>
            <w:vAlign w:val="bottom"/>
          </w:tcPr>
          <w:p>
            <w:pPr>
              <w:spacing w:after="0"/>
              <w:rPr>
                <w:sz w:val="20"/>
                <w:szCs w:val="20"/>
                <w:color w:val="auto"/>
              </w:rPr>
            </w:pPr>
          </w:p>
        </w:tc>
        <w:tc>
          <w:tcPr>
            <w:tcW w:w="1180" w:type="dxa"/>
            <w:vAlign w:val="bottom"/>
            <w:tcBorders>
              <w:right w:val="single" w:sz="8" w:color="007CBA"/>
            </w:tcBorders>
          </w:tcPr>
          <w:p>
            <w:pPr>
              <w:jc w:val="right"/>
              <w:ind w:right="50"/>
              <w:spacing w:after="0"/>
              <w:rPr>
                <w:sz w:val="20"/>
                <w:szCs w:val="20"/>
                <w:color w:val="auto"/>
              </w:rPr>
            </w:pPr>
            <w:r>
              <w:rPr>
                <w:rFonts w:ascii="Calibri" w:cs="Calibri" w:eastAsia="Calibri" w:hAnsi="Calibri"/>
                <w:sz w:val="18"/>
                <w:szCs w:val="18"/>
                <w:b w:val="1"/>
                <w:bCs w:val="1"/>
                <w:color w:val="auto"/>
              </w:rPr>
              <w:t>4.2</w:t>
            </w:r>
          </w:p>
        </w:tc>
        <w:tc>
          <w:tcPr>
            <w:tcW w:w="1700" w:type="dxa"/>
            <w:vAlign w:val="bottom"/>
            <w:gridSpan w:val="2"/>
          </w:tcPr>
          <w:p>
            <w:pPr>
              <w:jc w:val="right"/>
              <w:spacing w:after="0"/>
              <w:rPr>
                <w:sz w:val="20"/>
                <w:szCs w:val="20"/>
                <w:color w:val="auto"/>
              </w:rPr>
            </w:pPr>
            <w:r>
              <w:rPr>
                <w:rFonts w:ascii="Calibri" w:cs="Calibri" w:eastAsia="Calibri" w:hAnsi="Calibri"/>
                <w:sz w:val="18"/>
                <w:szCs w:val="18"/>
                <w:color w:val="auto"/>
              </w:rPr>
              <w:t>(3.4 %)</w:t>
            </w:r>
          </w:p>
        </w:tc>
        <w:tc>
          <w:tcPr>
            <w:tcW w:w="0" w:type="dxa"/>
            <w:vAlign w:val="bottom"/>
          </w:tcPr>
          <w:p>
            <w:pPr>
              <w:spacing w:after="0"/>
              <w:rPr>
                <w:sz w:val="1"/>
                <w:szCs w:val="1"/>
                <w:color w:val="auto"/>
              </w:rPr>
            </w:pPr>
          </w:p>
        </w:tc>
      </w:tr>
      <w:tr>
        <w:trPr>
          <w:trHeight w:val="280"/>
        </w:trPr>
        <w:tc>
          <w:tcPr>
            <w:tcW w:w="6300" w:type="dxa"/>
            <w:vAlign w:val="bottom"/>
            <w:tcBorders>
              <w:right w:val="single" w:sz="8" w:color="007CBA"/>
            </w:tcBorders>
          </w:tcPr>
          <w:p>
            <w:pPr>
              <w:ind w:left="200"/>
              <w:spacing w:after="0"/>
              <w:rPr>
                <w:sz w:val="20"/>
                <w:szCs w:val="20"/>
                <w:color w:val="auto"/>
              </w:rPr>
            </w:pPr>
            <w:r>
              <w:rPr>
                <w:rFonts w:ascii="Calibri" w:cs="Calibri" w:eastAsia="Calibri" w:hAnsi="Calibri"/>
                <w:sz w:val="18"/>
                <w:szCs w:val="18"/>
                <w:color w:val="auto"/>
              </w:rPr>
              <w:t>Ready mixed concrete cubic yards</w:t>
            </w:r>
          </w:p>
        </w:tc>
        <w:tc>
          <w:tcPr>
            <w:tcW w:w="460" w:type="dxa"/>
            <w:vAlign w:val="bottom"/>
          </w:tcPr>
          <w:p>
            <w:pPr>
              <w:spacing w:after="0"/>
              <w:rPr>
                <w:sz w:val="24"/>
                <w:szCs w:val="24"/>
                <w:color w:val="auto"/>
              </w:rPr>
            </w:pPr>
          </w:p>
        </w:tc>
        <w:tc>
          <w:tcPr>
            <w:tcW w:w="1240" w:type="dxa"/>
            <w:vAlign w:val="bottom"/>
            <w:tcBorders>
              <w:right w:val="single" w:sz="8" w:color="007CBA"/>
            </w:tcBorders>
          </w:tcPr>
          <w:p>
            <w:pPr>
              <w:jc w:val="right"/>
              <w:ind w:right="50"/>
              <w:spacing w:after="0"/>
              <w:rPr>
                <w:sz w:val="20"/>
                <w:szCs w:val="20"/>
                <w:color w:val="auto"/>
              </w:rPr>
            </w:pPr>
            <w:r>
              <w:rPr>
                <w:rFonts w:ascii="Calibri" w:cs="Calibri" w:eastAsia="Calibri" w:hAnsi="Calibri"/>
                <w:sz w:val="18"/>
                <w:szCs w:val="18"/>
                <w:b w:val="1"/>
                <w:bCs w:val="1"/>
                <w:color w:val="auto"/>
              </w:rPr>
              <w:t>6.5</w:t>
            </w:r>
          </w:p>
        </w:tc>
        <w:tc>
          <w:tcPr>
            <w:tcW w:w="440" w:type="dxa"/>
            <w:vAlign w:val="bottom"/>
          </w:tcPr>
          <w:p>
            <w:pPr>
              <w:spacing w:after="0"/>
              <w:rPr>
                <w:sz w:val="24"/>
                <w:szCs w:val="24"/>
                <w:color w:val="auto"/>
              </w:rPr>
            </w:pPr>
          </w:p>
        </w:tc>
        <w:tc>
          <w:tcPr>
            <w:tcW w:w="1180" w:type="dxa"/>
            <w:vAlign w:val="bottom"/>
            <w:tcBorders>
              <w:right w:val="single" w:sz="8" w:color="007CBA"/>
            </w:tcBorders>
          </w:tcPr>
          <w:p>
            <w:pPr>
              <w:jc w:val="right"/>
              <w:ind w:right="50"/>
              <w:spacing w:after="0"/>
              <w:rPr>
                <w:sz w:val="20"/>
                <w:szCs w:val="20"/>
                <w:color w:val="auto"/>
              </w:rPr>
            </w:pPr>
            <w:r>
              <w:rPr>
                <w:rFonts w:ascii="Calibri" w:cs="Calibri" w:eastAsia="Calibri" w:hAnsi="Calibri"/>
                <w:sz w:val="18"/>
                <w:szCs w:val="18"/>
                <w:b w:val="1"/>
                <w:bCs w:val="1"/>
                <w:color w:val="auto"/>
              </w:rPr>
              <w:t>7.4</w:t>
            </w:r>
          </w:p>
        </w:tc>
        <w:tc>
          <w:tcPr>
            <w:tcW w:w="1700" w:type="dxa"/>
            <w:vAlign w:val="bottom"/>
            <w:gridSpan w:val="2"/>
          </w:tcPr>
          <w:p>
            <w:pPr>
              <w:jc w:val="right"/>
              <w:spacing w:after="0"/>
              <w:rPr>
                <w:sz w:val="20"/>
                <w:szCs w:val="20"/>
                <w:color w:val="auto"/>
              </w:rPr>
            </w:pPr>
            <w:r>
              <w:rPr>
                <w:rFonts w:ascii="Calibri" w:cs="Calibri" w:eastAsia="Calibri" w:hAnsi="Calibri"/>
                <w:sz w:val="18"/>
                <w:szCs w:val="18"/>
                <w:color w:val="auto"/>
              </w:rPr>
              <w:t>(12.1 %)</w:t>
            </w:r>
          </w:p>
        </w:tc>
        <w:tc>
          <w:tcPr>
            <w:tcW w:w="0" w:type="dxa"/>
            <w:vAlign w:val="bottom"/>
          </w:tcPr>
          <w:p>
            <w:pPr>
              <w:spacing w:after="0"/>
              <w:rPr>
                <w:sz w:val="1"/>
                <w:szCs w:val="1"/>
                <w:color w:val="auto"/>
              </w:rPr>
            </w:pPr>
          </w:p>
        </w:tc>
      </w:tr>
      <w:tr>
        <w:trPr>
          <w:trHeight w:val="215"/>
        </w:trPr>
        <w:tc>
          <w:tcPr>
            <w:tcW w:w="6300" w:type="dxa"/>
            <w:vAlign w:val="bottom"/>
          </w:tcPr>
          <w:p>
            <w:pPr>
              <w:ind w:left="200"/>
              <w:spacing w:after="0" w:line="206" w:lineRule="exact"/>
              <w:rPr>
                <w:sz w:val="20"/>
                <w:szCs w:val="20"/>
                <w:color w:val="auto"/>
              </w:rPr>
            </w:pPr>
            <w:r>
              <w:rPr>
                <w:rFonts w:ascii="Calibri" w:cs="Calibri" w:eastAsia="Calibri" w:hAnsi="Calibri"/>
                <w:sz w:val="18"/>
                <w:szCs w:val="18"/>
                <w:color w:val="auto"/>
              </w:rPr>
              <w:t>Asphalt tons</w:t>
            </w:r>
          </w:p>
        </w:tc>
        <w:tc>
          <w:tcPr>
            <w:tcW w:w="460" w:type="dxa"/>
            <w:vAlign w:val="bottom"/>
          </w:tcPr>
          <w:p>
            <w:pPr>
              <w:spacing w:after="0"/>
              <w:rPr>
                <w:sz w:val="18"/>
                <w:szCs w:val="18"/>
                <w:color w:val="auto"/>
              </w:rPr>
            </w:pPr>
          </w:p>
        </w:tc>
        <w:tc>
          <w:tcPr>
            <w:tcW w:w="1240" w:type="dxa"/>
            <w:vAlign w:val="bottom"/>
          </w:tcPr>
          <w:p>
            <w:pPr>
              <w:jc w:val="right"/>
              <w:ind w:right="50"/>
              <w:spacing w:after="0" w:line="206" w:lineRule="exact"/>
              <w:rPr>
                <w:sz w:val="20"/>
                <w:szCs w:val="20"/>
                <w:color w:val="auto"/>
              </w:rPr>
            </w:pPr>
            <w:r>
              <w:rPr>
                <w:rFonts w:ascii="Calibri" w:cs="Calibri" w:eastAsia="Calibri" w:hAnsi="Calibri"/>
                <w:sz w:val="18"/>
                <w:szCs w:val="18"/>
                <w:b w:val="1"/>
                <w:bCs w:val="1"/>
                <w:color w:val="auto"/>
              </w:rPr>
              <w:t>9.4</w:t>
            </w:r>
          </w:p>
        </w:tc>
        <w:tc>
          <w:tcPr>
            <w:tcW w:w="440" w:type="dxa"/>
            <w:vAlign w:val="bottom"/>
          </w:tcPr>
          <w:p>
            <w:pPr>
              <w:spacing w:after="0"/>
              <w:rPr>
                <w:sz w:val="18"/>
                <w:szCs w:val="18"/>
                <w:color w:val="auto"/>
              </w:rPr>
            </w:pPr>
          </w:p>
        </w:tc>
        <w:tc>
          <w:tcPr>
            <w:tcW w:w="1180" w:type="dxa"/>
            <w:vAlign w:val="bottom"/>
          </w:tcPr>
          <w:p>
            <w:pPr>
              <w:jc w:val="right"/>
              <w:ind w:right="50"/>
              <w:spacing w:after="0" w:line="206" w:lineRule="exact"/>
              <w:rPr>
                <w:sz w:val="20"/>
                <w:szCs w:val="20"/>
                <w:color w:val="auto"/>
              </w:rPr>
            </w:pPr>
            <w:r>
              <w:rPr>
                <w:rFonts w:ascii="Calibri" w:cs="Calibri" w:eastAsia="Calibri" w:hAnsi="Calibri"/>
                <w:sz w:val="18"/>
                <w:szCs w:val="18"/>
                <w:b w:val="1"/>
                <w:bCs w:val="1"/>
                <w:color w:val="auto"/>
              </w:rPr>
              <w:t>9.1</w:t>
            </w:r>
          </w:p>
        </w:tc>
        <w:tc>
          <w:tcPr>
            <w:tcW w:w="17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3.5 %</w:t>
            </w:r>
          </w:p>
        </w:tc>
        <w:tc>
          <w:tcPr>
            <w:tcW w:w="0" w:type="dxa"/>
            <w:vAlign w:val="bottom"/>
          </w:tcPr>
          <w:p>
            <w:pPr>
              <w:spacing w:after="0"/>
              <w:rPr>
                <w:sz w:val="1"/>
                <w:szCs w:val="1"/>
                <w:color w:val="auto"/>
              </w:rPr>
            </w:pPr>
          </w:p>
        </w:tc>
      </w:tr>
      <w:tr>
        <w:trPr>
          <w:trHeight w:val="28"/>
        </w:trPr>
        <w:tc>
          <w:tcPr>
            <w:tcW w:w="6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8000" w:type="dxa"/>
            <w:vAlign w:val="bottom"/>
            <w:gridSpan w:val="3"/>
          </w:tcPr>
          <w:p>
            <w:pPr>
              <w:spacing w:after="0"/>
              <w:rPr>
                <w:sz w:val="20"/>
                <w:szCs w:val="20"/>
                <w:color w:val="auto"/>
              </w:rPr>
            </w:pPr>
            <w:r>
              <w:rPr>
                <w:rFonts w:ascii="Calibri" w:cs="Calibri" w:eastAsia="Calibri" w:hAnsi="Calibri"/>
                <w:sz w:val="18"/>
                <w:szCs w:val="18"/>
                <w:color w:val="auto"/>
              </w:rPr>
              <w:t>Average selling price and pricing variances by product line for the Building Materials business are as follows:</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30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years ended December 31</w:t>
            </w:r>
          </w:p>
        </w:tc>
        <w:tc>
          <w:tcPr>
            <w:tcW w:w="460" w:type="dxa"/>
            <w:vAlign w:val="bottom"/>
            <w:tcBorders>
              <w:bottom w:val="single" w:sz="8" w:color="007CBA"/>
            </w:tcBorders>
            <w:shd w:val="clear" w:color="auto" w:fill="007CBA"/>
          </w:tcPr>
          <w:p>
            <w:pPr>
              <w:spacing w:after="0"/>
              <w:rPr>
                <w:sz w:val="19"/>
                <w:szCs w:val="19"/>
                <w:color w:val="auto"/>
              </w:rPr>
            </w:pPr>
          </w:p>
        </w:tc>
        <w:tc>
          <w:tcPr>
            <w:tcW w:w="1240" w:type="dxa"/>
            <w:vAlign w:val="bottom"/>
            <w:tcBorders>
              <w:bottom w:val="single" w:sz="8" w:color="007CBA"/>
              <w:right w:val="single" w:sz="8" w:color="007CBA"/>
            </w:tcBorders>
            <w:shd w:val="clear" w:color="auto" w:fill="007CBA"/>
          </w:tcPr>
          <w:p>
            <w:pPr>
              <w:jc w:val="right"/>
              <w:ind w:right="570"/>
              <w:spacing w:after="0" w:line="215" w:lineRule="exact"/>
              <w:rPr>
                <w:sz w:val="20"/>
                <w:szCs w:val="20"/>
                <w:color w:val="auto"/>
              </w:rPr>
            </w:pPr>
            <w:r>
              <w:rPr>
                <w:rFonts w:ascii="Calibri" w:cs="Calibri" w:eastAsia="Calibri" w:hAnsi="Calibri"/>
                <w:sz w:val="18"/>
                <w:szCs w:val="18"/>
                <w:b w:val="1"/>
                <w:bCs w:val="1"/>
                <w:color w:val="FFFFFF"/>
              </w:rPr>
              <w:t>2023</w:t>
            </w:r>
          </w:p>
        </w:tc>
        <w:tc>
          <w:tcPr>
            <w:tcW w:w="440" w:type="dxa"/>
            <w:vAlign w:val="bottom"/>
            <w:tcBorders>
              <w:bottom w:val="single" w:sz="8" w:color="007CBA"/>
            </w:tcBorders>
            <w:shd w:val="clear" w:color="auto" w:fill="007CBA"/>
          </w:tcPr>
          <w:p>
            <w:pPr>
              <w:spacing w:after="0"/>
              <w:rPr>
                <w:sz w:val="19"/>
                <w:szCs w:val="19"/>
                <w:color w:val="auto"/>
              </w:rPr>
            </w:pPr>
          </w:p>
        </w:tc>
        <w:tc>
          <w:tcPr>
            <w:tcW w:w="1180" w:type="dxa"/>
            <w:vAlign w:val="bottom"/>
            <w:tcBorders>
              <w:bottom w:val="single" w:sz="8" w:color="007CBA"/>
              <w:right w:val="single" w:sz="8" w:color="007CBA"/>
            </w:tcBorders>
            <w:shd w:val="clear" w:color="auto" w:fill="007CBA"/>
          </w:tcPr>
          <w:p>
            <w:pPr>
              <w:jc w:val="right"/>
              <w:ind w:right="530"/>
              <w:spacing w:after="0" w:line="215" w:lineRule="exact"/>
              <w:rPr>
                <w:sz w:val="20"/>
                <w:szCs w:val="20"/>
                <w:color w:val="auto"/>
              </w:rPr>
            </w:pPr>
            <w:r>
              <w:rPr>
                <w:rFonts w:ascii="Calibri" w:cs="Calibri" w:eastAsia="Calibri" w:hAnsi="Calibri"/>
                <w:sz w:val="18"/>
                <w:szCs w:val="18"/>
                <w:color w:val="FFFFFF"/>
              </w:rPr>
              <w:t>2022</w:t>
            </w:r>
          </w:p>
        </w:tc>
        <w:tc>
          <w:tcPr>
            <w:tcW w:w="1620" w:type="dxa"/>
            <w:vAlign w:val="bottom"/>
            <w:tcBorders>
              <w:bottom w:val="single" w:sz="8" w:color="007CBA"/>
            </w:tcBorders>
            <w:shd w:val="clear" w:color="auto" w:fill="007CBA"/>
          </w:tcPr>
          <w:p>
            <w:pPr>
              <w:ind w:left="460"/>
              <w:spacing w:after="0" w:line="215" w:lineRule="exact"/>
              <w:rPr>
                <w:sz w:val="20"/>
                <w:szCs w:val="20"/>
                <w:color w:val="auto"/>
              </w:rPr>
            </w:pPr>
            <w:r>
              <w:rPr>
                <w:rFonts w:ascii="Calibri" w:cs="Calibri" w:eastAsia="Calibri" w:hAnsi="Calibri"/>
                <w:sz w:val="18"/>
                <w:szCs w:val="18"/>
                <w:color w:val="FFFFFF"/>
              </w:rPr>
              <w:t>% Change</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30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Aggregates - per ton</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19.84</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16.68</w:t>
            </w:r>
          </w:p>
        </w:tc>
        <w:tc>
          <w:tcPr>
            <w:tcW w:w="17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18.9 %</w:t>
            </w:r>
          </w:p>
        </w:tc>
        <w:tc>
          <w:tcPr>
            <w:tcW w:w="0" w:type="dxa"/>
            <w:vAlign w:val="bottom"/>
          </w:tcPr>
          <w:p>
            <w:pPr>
              <w:spacing w:after="0"/>
              <w:rPr>
                <w:sz w:val="1"/>
                <w:szCs w:val="1"/>
                <w:color w:val="auto"/>
              </w:rPr>
            </w:pPr>
          </w:p>
        </w:tc>
      </w:tr>
      <w:tr>
        <w:trPr>
          <w:trHeight w:val="234"/>
        </w:trPr>
        <w:tc>
          <w:tcPr>
            <w:tcW w:w="6300" w:type="dxa"/>
            <w:vAlign w:val="bottom"/>
            <w:tcBorders>
              <w:right w:val="single" w:sz="8" w:color="007CBA"/>
            </w:tcBorders>
          </w:tcPr>
          <w:p>
            <w:pPr>
              <w:ind w:left="200"/>
              <w:spacing w:after="0"/>
              <w:rPr>
                <w:sz w:val="20"/>
                <w:szCs w:val="20"/>
                <w:color w:val="auto"/>
              </w:rPr>
            </w:pPr>
            <w:r>
              <w:rPr>
                <w:rFonts w:ascii="Calibri" w:cs="Calibri" w:eastAsia="Calibri" w:hAnsi="Calibri"/>
                <w:sz w:val="18"/>
                <w:szCs w:val="18"/>
                <w:color w:val="auto"/>
              </w:rPr>
              <w:t>Cement – per ton</w:t>
            </w:r>
          </w:p>
        </w:tc>
        <w:tc>
          <w:tcPr>
            <w:tcW w:w="460" w:type="dxa"/>
            <w:vAlign w:val="bottom"/>
          </w:tcPr>
          <w:p>
            <w:pPr>
              <w:jc w:val="right"/>
              <w:ind w:right="110"/>
              <w:spacing w:after="0"/>
              <w:rPr>
                <w:sz w:val="20"/>
                <w:szCs w:val="20"/>
                <w:color w:val="auto"/>
              </w:rPr>
            </w:pPr>
            <w:r>
              <w:rPr>
                <w:rFonts w:ascii="Calibri" w:cs="Calibri" w:eastAsia="Calibri" w:hAnsi="Calibri"/>
                <w:sz w:val="18"/>
                <w:szCs w:val="18"/>
                <w:b w:val="1"/>
                <w:bCs w:val="1"/>
                <w:color w:val="auto"/>
              </w:rPr>
              <w:t>$</w:t>
            </w:r>
          </w:p>
        </w:tc>
        <w:tc>
          <w:tcPr>
            <w:tcW w:w="1240" w:type="dxa"/>
            <w:vAlign w:val="bottom"/>
            <w:tcBorders>
              <w:right w:val="single" w:sz="8" w:color="007CBA"/>
            </w:tcBorders>
          </w:tcPr>
          <w:p>
            <w:pPr>
              <w:jc w:val="right"/>
              <w:ind w:right="50"/>
              <w:spacing w:after="0"/>
              <w:rPr>
                <w:sz w:val="20"/>
                <w:szCs w:val="20"/>
                <w:color w:val="auto"/>
              </w:rPr>
            </w:pPr>
            <w:r>
              <w:rPr>
                <w:rFonts w:ascii="Calibri" w:cs="Calibri" w:eastAsia="Calibri" w:hAnsi="Calibri"/>
                <w:sz w:val="18"/>
                <w:szCs w:val="18"/>
                <w:b w:val="1"/>
                <w:bCs w:val="1"/>
                <w:color w:val="auto"/>
              </w:rPr>
              <w:t>174.27</w:t>
            </w:r>
          </w:p>
        </w:tc>
        <w:tc>
          <w:tcPr>
            <w:tcW w:w="44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Calibri" w:cs="Calibri" w:eastAsia="Calibri" w:hAnsi="Calibri"/>
                <w:sz w:val="18"/>
                <w:szCs w:val="18"/>
                <w:color w:val="auto"/>
              </w:rPr>
              <w:t>142.83</w:t>
            </w:r>
          </w:p>
        </w:tc>
        <w:tc>
          <w:tcPr>
            <w:tcW w:w="1700" w:type="dxa"/>
            <w:vAlign w:val="bottom"/>
            <w:gridSpan w:val="2"/>
          </w:tcPr>
          <w:p>
            <w:pPr>
              <w:jc w:val="right"/>
              <w:ind w:right="40"/>
              <w:spacing w:after="0"/>
              <w:rPr>
                <w:sz w:val="20"/>
                <w:szCs w:val="20"/>
                <w:color w:val="auto"/>
              </w:rPr>
            </w:pPr>
            <w:r>
              <w:rPr>
                <w:rFonts w:ascii="Calibri" w:cs="Calibri" w:eastAsia="Calibri" w:hAnsi="Calibri"/>
                <w:sz w:val="18"/>
                <w:szCs w:val="18"/>
                <w:color w:val="auto"/>
              </w:rPr>
              <w:t>22.0 %</w:t>
            </w:r>
          </w:p>
        </w:tc>
        <w:tc>
          <w:tcPr>
            <w:tcW w:w="0" w:type="dxa"/>
            <w:vAlign w:val="bottom"/>
          </w:tcPr>
          <w:p>
            <w:pPr>
              <w:spacing w:after="0"/>
              <w:rPr>
                <w:sz w:val="1"/>
                <w:szCs w:val="1"/>
                <w:color w:val="auto"/>
              </w:rPr>
            </w:pPr>
          </w:p>
        </w:tc>
      </w:tr>
      <w:tr>
        <w:trPr>
          <w:trHeight w:val="280"/>
        </w:trPr>
        <w:tc>
          <w:tcPr>
            <w:tcW w:w="6300" w:type="dxa"/>
            <w:vAlign w:val="bottom"/>
            <w:tcBorders>
              <w:right w:val="single" w:sz="8" w:color="007CBA"/>
            </w:tcBorders>
          </w:tcPr>
          <w:p>
            <w:pPr>
              <w:ind w:left="200"/>
              <w:spacing w:after="0"/>
              <w:rPr>
                <w:sz w:val="20"/>
                <w:szCs w:val="20"/>
                <w:color w:val="auto"/>
              </w:rPr>
            </w:pPr>
            <w:r>
              <w:rPr>
                <w:rFonts w:ascii="Calibri" w:cs="Calibri" w:eastAsia="Calibri" w:hAnsi="Calibri"/>
                <w:sz w:val="18"/>
                <w:szCs w:val="18"/>
                <w:color w:val="auto"/>
              </w:rPr>
              <w:t>Ready mixed concrete – per cubic yard</w:t>
            </w:r>
          </w:p>
        </w:tc>
        <w:tc>
          <w:tcPr>
            <w:tcW w:w="460" w:type="dxa"/>
            <w:vAlign w:val="bottom"/>
          </w:tcPr>
          <w:p>
            <w:pPr>
              <w:jc w:val="right"/>
              <w:ind w:right="110"/>
              <w:spacing w:after="0"/>
              <w:rPr>
                <w:sz w:val="20"/>
                <w:szCs w:val="20"/>
                <w:color w:val="auto"/>
              </w:rPr>
            </w:pPr>
            <w:r>
              <w:rPr>
                <w:rFonts w:ascii="Calibri" w:cs="Calibri" w:eastAsia="Calibri" w:hAnsi="Calibri"/>
                <w:sz w:val="18"/>
                <w:szCs w:val="18"/>
                <w:b w:val="1"/>
                <w:bCs w:val="1"/>
                <w:color w:val="auto"/>
              </w:rPr>
              <w:t>$</w:t>
            </w:r>
          </w:p>
        </w:tc>
        <w:tc>
          <w:tcPr>
            <w:tcW w:w="1240" w:type="dxa"/>
            <w:vAlign w:val="bottom"/>
            <w:tcBorders>
              <w:right w:val="single" w:sz="8" w:color="007CBA"/>
            </w:tcBorders>
          </w:tcPr>
          <w:p>
            <w:pPr>
              <w:jc w:val="right"/>
              <w:ind w:right="50"/>
              <w:spacing w:after="0"/>
              <w:rPr>
                <w:sz w:val="20"/>
                <w:szCs w:val="20"/>
                <w:color w:val="auto"/>
              </w:rPr>
            </w:pPr>
            <w:r>
              <w:rPr>
                <w:rFonts w:ascii="Calibri" w:cs="Calibri" w:eastAsia="Calibri" w:hAnsi="Calibri"/>
                <w:sz w:val="18"/>
                <w:szCs w:val="18"/>
                <w:b w:val="1"/>
                <w:bCs w:val="1"/>
                <w:color w:val="auto"/>
              </w:rPr>
              <w:t>154.34</w:t>
            </w:r>
          </w:p>
        </w:tc>
        <w:tc>
          <w:tcPr>
            <w:tcW w:w="440" w:type="dxa"/>
            <w:vAlign w:val="bottom"/>
          </w:tcPr>
          <w:p>
            <w:pPr>
              <w:jc w:val="right"/>
              <w:ind w:right="90"/>
              <w:spacing w:after="0"/>
              <w:rPr>
                <w:sz w:val="20"/>
                <w:szCs w:val="20"/>
                <w:color w:val="auto"/>
              </w:rPr>
            </w:pPr>
            <w:r>
              <w:rPr>
                <w:rFonts w:ascii="Calibri" w:cs="Calibri" w:eastAsia="Calibri" w:hAnsi="Calibri"/>
                <w:sz w:val="18"/>
                <w:szCs w:val="18"/>
                <w:color w:val="auto"/>
              </w:rPr>
              <w:t>$</w:t>
            </w:r>
          </w:p>
        </w:tc>
        <w:tc>
          <w:tcPr>
            <w:tcW w:w="1180" w:type="dxa"/>
            <w:vAlign w:val="bottom"/>
            <w:tcBorders>
              <w:right w:val="single" w:sz="8" w:color="007CBA"/>
            </w:tcBorders>
          </w:tcPr>
          <w:p>
            <w:pPr>
              <w:jc w:val="right"/>
              <w:ind w:right="50"/>
              <w:spacing w:after="0"/>
              <w:rPr>
                <w:sz w:val="20"/>
                <w:szCs w:val="20"/>
                <w:color w:val="auto"/>
              </w:rPr>
            </w:pPr>
            <w:r>
              <w:rPr>
                <w:rFonts w:ascii="Calibri" w:cs="Calibri" w:eastAsia="Calibri" w:hAnsi="Calibri"/>
                <w:sz w:val="18"/>
                <w:szCs w:val="18"/>
                <w:color w:val="auto"/>
              </w:rPr>
              <w:t>128.15</w:t>
            </w:r>
          </w:p>
        </w:tc>
        <w:tc>
          <w:tcPr>
            <w:tcW w:w="1700" w:type="dxa"/>
            <w:vAlign w:val="bottom"/>
            <w:gridSpan w:val="2"/>
          </w:tcPr>
          <w:p>
            <w:pPr>
              <w:jc w:val="right"/>
              <w:ind w:right="40"/>
              <w:spacing w:after="0"/>
              <w:rPr>
                <w:sz w:val="20"/>
                <w:szCs w:val="20"/>
                <w:color w:val="auto"/>
              </w:rPr>
            </w:pPr>
            <w:r>
              <w:rPr>
                <w:rFonts w:ascii="Calibri" w:cs="Calibri" w:eastAsia="Calibri" w:hAnsi="Calibri"/>
                <w:sz w:val="18"/>
                <w:szCs w:val="18"/>
                <w:color w:val="auto"/>
              </w:rPr>
              <w:t>20.4 %</w:t>
            </w:r>
          </w:p>
        </w:tc>
        <w:tc>
          <w:tcPr>
            <w:tcW w:w="0" w:type="dxa"/>
            <w:vAlign w:val="bottom"/>
          </w:tcPr>
          <w:p>
            <w:pPr>
              <w:spacing w:after="0"/>
              <w:rPr>
                <w:sz w:val="1"/>
                <w:szCs w:val="1"/>
                <w:color w:val="auto"/>
              </w:rPr>
            </w:pPr>
          </w:p>
        </w:tc>
      </w:tr>
      <w:tr>
        <w:trPr>
          <w:trHeight w:val="215"/>
        </w:trPr>
        <w:tc>
          <w:tcPr>
            <w:tcW w:w="6300" w:type="dxa"/>
            <w:vAlign w:val="bottom"/>
          </w:tcPr>
          <w:p>
            <w:pPr>
              <w:ind w:left="200"/>
              <w:spacing w:after="0" w:line="206" w:lineRule="exact"/>
              <w:rPr>
                <w:sz w:val="20"/>
                <w:szCs w:val="20"/>
                <w:color w:val="auto"/>
              </w:rPr>
            </w:pPr>
            <w:r>
              <w:rPr>
                <w:rFonts w:ascii="Calibri" w:cs="Calibri" w:eastAsia="Calibri" w:hAnsi="Calibri"/>
                <w:sz w:val="18"/>
                <w:szCs w:val="18"/>
                <w:color w:val="auto"/>
              </w:rPr>
              <w:t>Asphalt – per ton</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240" w:type="dxa"/>
            <w:vAlign w:val="bottom"/>
          </w:tcPr>
          <w:p>
            <w:pPr>
              <w:jc w:val="right"/>
              <w:ind w:right="50"/>
              <w:spacing w:after="0" w:line="206" w:lineRule="exact"/>
              <w:rPr>
                <w:sz w:val="20"/>
                <w:szCs w:val="20"/>
                <w:color w:val="auto"/>
              </w:rPr>
            </w:pPr>
            <w:r>
              <w:rPr>
                <w:rFonts w:ascii="Calibri" w:cs="Calibri" w:eastAsia="Calibri" w:hAnsi="Calibri"/>
                <w:sz w:val="18"/>
                <w:szCs w:val="18"/>
                <w:b w:val="1"/>
                <w:bCs w:val="1"/>
                <w:color w:val="auto"/>
              </w:rPr>
              <w:t>65.90</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ind w:right="50"/>
              <w:spacing w:after="0" w:line="206" w:lineRule="exact"/>
              <w:rPr>
                <w:sz w:val="20"/>
                <w:szCs w:val="20"/>
                <w:color w:val="auto"/>
              </w:rPr>
            </w:pPr>
            <w:r>
              <w:rPr>
                <w:rFonts w:ascii="Calibri" w:cs="Calibri" w:eastAsia="Calibri" w:hAnsi="Calibri"/>
                <w:sz w:val="18"/>
                <w:szCs w:val="18"/>
                <w:color w:val="auto"/>
              </w:rPr>
              <w:t>61.77</w:t>
            </w:r>
          </w:p>
        </w:tc>
        <w:tc>
          <w:tcPr>
            <w:tcW w:w="170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6.7 %</w:t>
            </w:r>
          </w:p>
        </w:tc>
        <w:tc>
          <w:tcPr>
            <w:tcW w:w="0" w:type="dxa"/>
            <w:vAlign w:val="bottom"/>
          </w:tcPr>
          <w:p>
            <w:pPr>
              <w:spacing w:after="0"/>
              <w:rPr>
                <w:sz w:val="1"/>
                <w:szCs w:val="1"/>
                <w:color w:val="auto"/>
              </w:rPr>
            </w:pPr>
          </w:p>
        </w:tc>
      </w:tr>
      <w:tr>
        <w:trPr>
          <w:trHeight w:val="28"/>
        </w:trPr>
        <w:tc>
          <w:tcPr>
            <w:tcW w:w="6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-1280795</wp:posOffset>
            </wp:positionV>
            <wp:extent cx="7132320"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1879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87960"/>
                    </a:xfrm>
                    <a:prstGeom prst="rect">
                      <a:avLst/>
                    </a:prstGeom>
                    <a:noFill/>
                  </pic:spPr>
                </pic:pic>
              </a:graphicData>
            </a:graphic>
          </wp:anchor>
        </w:drawing>
      </w:r>
    </w:p>
    <w:p>
      <w:pPr>
        <w:spacing w:after="0" w:line="133"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18"/>
          <w:szCs w:val="18"/>
          <w:color w:val="auto"/>
        </w:rPr>
        <w:t>Aggregates volume decreased 4.3% in 2023, driven by the Company's value-over-volume pricing strategy, an afordability-driven residental slowdown and moderaton in portons of nonresidental constructon. Aggregates pricing increased 18.9%, or 17.2% on a mix-adjusted basis, compared with 2022, due to the cumulatve efect of 2022 and 2023 pricing actons.</w:t>
      </w:r>
    </w:p>
    <w:p>
      <w:pPr>
        <w:spacing w:after="0" w:line="111" w:lineRule="exact"/>
        <w:rPr>
          <w:sz w:val="20"/>
          <w:szCs w:val="20"/>
          <w:color w:val="auto"/>
        </w:rPr>
      </w:pPr>
    </w:p>
    <w:p>
      <w:pPr>
        <w:jc w:val="both"/>
        <w:ind w:right="80"/>
        <w:spacing w:after="0" w:line="235" w:lineRule="auto"/>
        <w:rPr>
          <w:sz w:val="20"/>
          <w:szCs w:val="20"/>
          <w:color w:val="auto"/>
        </w:rPr>
      </w:pPr>
      <w:r>
        <w:rPr>
          <w:rFonts w:ascii="Calibri" w:cs="Calibri" w:eastAsia="Calibri" w:hAnsi="Calibri"/>
          <w:sz w:val="18"/>
          <w:szCs w:val="18"/>
          <w:color w:val="auto"/>
        </w:rPr>
        <w:t>Cement shipments decreased 3.4% in 2023 versus prior year driven by import pressures and general sofening of market demand in South Texas. Cement pricing increased 22.0%, or 21.6% on a mix-adjusted basis, compared with 2022, driven by the impact of multple price increases during 2022 and 2023.</w:t>
      </w:r>
    </w:p>
    <w:p>
      <w:pPr>
        <w:spacing w:after="0" w:line="110" w:lineRule="exact"/>
        <w:rPr>
          <w:sz w:val="20"/>
          <w:szCs w:val="20"/>
          <w:color w:val="auto"/>
        </w:rPr>
      </w:pPr>
    </w:p>
    <w:p>
      <w:pPr>
        <w:jc w:val="both"/>
        <w:ind w:right="100"/>
        <w:spacing w:after="0" w:line="245" w:lineRule="auto"/>
        <w:rPr>
          <w:sz w:val="20"/>
          <w:szCs w:val="20"/>
          <w:color w:val="auto"/>
        </w:rPr>
      </w:pPr>
      <w:r>
        <w:rPr>
          <w:rFonts w:ascii="Calibri" w:cs="Calibri" w:eastAsia="Calibri" w:hAnsi="Calibri"/>
          <w:sz w:val="18"/>
          <w:szCs w:val="18"/>
          <w:color w:val="auto"/>
        </w:rPr>
        <w:t>Ready mixed concrete shipments decreased 12.1%, largely driven by the April 2022 divestture of the Company's Colorado and Central Texas ready mixed concrete businesses. Pricing increased 20.4% from pricing actons implemented in all Arizona and Texas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97790</wp:posOffset>
            </wp:positionV>
            <wp:extent cx="325755" cy="1968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770" w:right="259" w:bottom="1440" w:gutter="0" w:footer="0" w:header="0"/>
        </w:sectPr>
      </w:pPr>
    </w:p>
    <w:bookmarkStart w:id="55" w:name="page56"/>
    <w:bookmarkEnd w:id="55"/>
    <w:p>
      <w:pPr>
        <w:ind w:left="37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In 2023, asphalt pricing increased 6.7%. Shipments increased 3.5%, refectng pent-up demand in many of the Company's Arizona and California markets.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Magnesia Specialtes. </w:t>
      </w:r>
      <w:r>
        <w:rPr>
          <w:rFonts w:ascii="Calibri" w:cs="Calibri" w:eastAsia="Calibri" w:hAnsi="Calibri"/>
          <w:sz w:val="18"/>
          <w:szCs w:val="18"/>
          <w:color w:val="000000"/>
        </w:rPr>
        <w:t>In 2023, Magnesia Specialtes reported total revenues of $315.4 million and gross proft of $97.1 million, representng increases of</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3.8% and 6.9%, respectvely, compared with 2022. The proftability increase in 2023 refects pricing gains in both the lime and chemical product lines and lower energy costs, which more than ofset higher repair costs and lower sales volumes of chemical products.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Selling, General and Administratve Expenses</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SG&amp;A expenses for 2023 and 2022 were 6.5% and 6.4% of total revenues, respectvely.</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Other Operatng Income, Net</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operatng income, net, is comprised generally of gains and losses on the sale of assets; recoveries and losses related to certain customer accounts receivable; rental, royalty and services income; accreton expense, depreciaton expense and gains and losses related to asset retrement obligatons. These net amounts represented income of $28.4 million in 2023 and $189.2 million in 2022. In 2023, other operatng income, net, included $19.5 million of gains on land sales. In 2022, other operatng income, net, included a $151.9 million pretax gain on the divestture of the Colorado and Central Texas ready mixed concrete operatons.</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Earnings from Operatons</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Consolidated earnings from operatons were $1.60 billion and $1.21 billion in 2023 and 2022, respectvely.</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Interest Expense</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Interest expense was $165.3 million in 2023 and $169.0 million in 2022.</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Other Nonoperatng Income, Net</w:t>
      </w:r>
    </w:p>
    <w:p>
      <w:pPr>
        <w:spacing w:after="0" w:line="5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Other nonoperatng income, net, is comprised generally of interest income; foreign currency transacton gains and losses; pension and postretrement beneft cost (excluding service cost); net equity earnings from nonconsolidated investments and other miscellaneous income and expenses. Consolidated other nonoperatng income, net, was $62.1 million in 2023 and $53.4 million in 2022. In 2023, other nonoperatng income, net, included $46.7 million of interest income and $8.9 million of third-party railroad track maintenance expense. Other nonoperatng income, net, for 2022 included $13.6 million of interest income, a $12.0 million pretax gain related to the repurchase of the Company's debt and $8.2 million of third-party railroad track maintenance expense.</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Income Tax Expense</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Variances in the estmated efectve income tax rates, when compared with the statutory corporate income tax rate, are due primarily to the statutory depleton deducton for mineral reserves, the efect of state income taxes, stock compensaton deductons, and the impact of foreign income or losses for which no tax expense or beneft is recognized. Additonally, certain acquisiton-related expenses have limited deductbility for income tax purposes.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permanent beneft associated with the statutory depleton deducton for mineral reserves is typically the signifcant driver of the variance in the estmated efectve income tax rate compared with the statutory rate. The statutory depleton deducton is calculated as a percentage of revenues subject to certain limitatons. Due to these limitatons, changes in sales volumes and pretax earnings may not proportonately afect the statutory depleton deducton and the corresponding impact on the efectve income tax rate. However, the impact of the depleton deducton on the estmated efectve tax rate is inversely afected by increases or decreases in pretax earnings.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estmated efectve income tax rate for the years ended December 31, 2023 and 2022 was 19.6% and 21.5%, respectvely. The lower 2023 efectve income tax rate versus 2022 was primarily driven by the impact of the divestture of the Colorado and Central Texas ready mixed concrete businesses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6" w:name="page57"/>
    <w:bookmarkEnd w:id="56"/>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efectve income tax rate for 2023 and 2022 included an $11.2 million and $10.3 million discrete beneft from fnancing third-party railroad track maintenance, respectvely. In exchange, the Company received a federal income tax credit and deducton.</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Discontnued Operatons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Since October 1, 2021, and through their respectve divestture dates, the fnancial results of the California cement businesses and certain California ready mixed concrete operatons acquired as part of the Lehigh West Region acquisiton were reported as discontnued operatons. The Company sold the Tehachapi, California cement plant on October 31, 2023 and the Stockton, California cement import terminal on May 3, 2023. Additonally, the Redding cement plant, related cement terminals and 14 ready mixed concrete plants were sold in June 2022. The collectve businesses generated a loss of $30.9 million in 2023 and earnings of $10.5 million in 2022, net of expenses associated with the divesttures and income tax (beneft) expense.</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Net Earnings and Earnings Per Diluted Share From Contnuing Operatons Atributable to Martn Marieta</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earnings from contnuing operatons atributable to Martn Marieta were $1.20 billion, or $19.32 per diluted share, for 2023 and $856.3 million, or $13.70 per diluted share, for 2022.</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Liquidity and Cash Flows</w:t>
      </w:r>
    </w:p>
    <w:p>
      <w:pPr>
        <w:spacing w:after="0" w:line="10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Operatng Actvites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Generally, the Company’s primary source of liquidity is cash generated from operatng actvites. Operatng cash fow is substantally derived from consolidated net earnings, before deductng depreciaton, depleton and amortzaton, and ofset by working capital requirements. Cash provided by operatons was $1.53 billion in 2023 and $991.2 million in 2022. The primary driver of the increase in cash provided by operatons in 2023 was higher earnings and improved working capital utlizaton.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85090</wp:posOffset>
            </wp:positionV>
            <wp:extent cx="3206115" cy="26060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320611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Investng Actvites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Net cash provided by investng actvites was $458.7 million in 2023 and net cash used for investng actvites was $483.8 million in 2022. The 2023 amount refected $700.0 million in proceeds from the sale of restricted investments, which the Company had invested in during 2022 and which were used to repay discharged debt and related interest in 2023 (see </w:t>
      </w:r>
      <w:r>
        <w:rPr>
          <w:rFonts w:ascii="Calibri" w:cs="Calibri" w:eastAsia="Calibri" w:hAnsi="Calibri"/>
          <w:sz w:val="18"/>
          <w:szCs w:val="18"/>
          <w:i w:val="1"/>
          <w:iCs w:val="1"/>
          <w:color w:val="auto"/>
        </w:rPr>
        <w:t>Capital Structure and Resources</w:t>
      </w:r>
      <w:r>
        <w:rPr>
          <w:rFonts w:ascii="Calibri" w:cs="Calibri" w:eastAsia="Calibri" w:hAnsi="Calibri"/>
          <w:sz w:val="18"/>
          <w:szCs w:val="18"/>
          <w:color w:val="auto"/>
        </w:rPr>
        <w:t xml:space="preserve"> secton).</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Cash paid for property, plant and equipment additons was $650.3 million in 2023 and $481.8 million in 2022.</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Pretax proceeds from divesttures and sales of assets were $426.5 million in 2023 and $687.1 million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7" w:name="page58"/>
    <w:bookmarkEnd w:id="57"/>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Financing Actvites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for fnancing actvites was $1.06 billion in 2023 and $407.5 million in 2022. The 2023 amount refects using $700.0 million to repay discharged debt and related interest.</w:t>
      </w:r>
    </w:p>
    <w:p>
      <w:pPr>
        <w:spacing w:after="0" w:line="51" w:lineRule="exact"/>
        <w:rPr>
          <w:sz w:val="20"/>
          <w:szCs w:val="20"/>
          <w:color w:val="auto"/>
        </w:rPr>
      </w:pPr>
    </w:p>
    <w:p>
      <w:pPr>
        <w:spacing w:after="0"/>
        <w:rPr>
          <w:sz w:val="20"/>
          <w:szCs w:val="20"/>
          <w:color w:val="auto"/>
        </w:rPr>
      </w:pPr>
      <w:r>
        <w:rPr>
          <w:rFonts w:ascii="Calibri" w:cs="Calibri" w:eastAsia="Calibri" w:hAnsi="Calibri"/>
          <w:sz w:val="18"/>
          <w:szCs w:val="18"/>
          <w:color w:val="auto"/>
        </w:rPr>
        <w:t>During 2022, the Company repurchased $67.7 million (par value) of its Senior Notes, resultng in a pretax gain of $12.0 million.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years ended December 31, 2023 and 2022, the Board of Directors approved total cash dividends on the Company’s common stock of $2.80 per share and $2.54 per share, respectvely. Total cash dividends paid were $174.0 million in 2023 and $159.1 million in 2022.</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each of 2023 and 2022, the Company repurchased 0.4 million shares of its common stock for a total cost of $150.0 million. In 2023 and 2022, the average cost was $393.16 per share and $358.56 per share, respectvely.</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Capital Structure and Resources</w:t>
      </w:r>
    </w:p>
    <w:p>
      <w:pPr>
        <w:spacing w:after="0" w:line="61" w:lineRule="exact"/>
        <w:rPr>
          <w:sz w:val="20"/>
          <w:szCs w:val="20"/>
          <w:color w:val="auto"/>
        </w:rPr>
      </w:pPr>
    </w:p>
    <w:p>
      <w:pPr>
        <w:spacing w:after="0"/>
        <w:rPr>
          <w:sz w:val="20"/>
          <w:szCs w:val="20"/>
          <w:color w:val="auto"/>
        </w:rPr>
      </w:pPr>
      <w:r>
        <w:rPr>
          <w:rFonts w:ascii="Calibri" w:cs="Calibri" w:eastAsia="Calibri" w:hAnsi="Calibri"/>
          <w:sz w:val="17"/>
          <w:szCs w:val="17"/>
          <w:color w:val="auto"/>
        </w:rPr>
        <w:t>Long-term debt, including current maturites, was $4.35 billion at December 31, 2023, and was in the form of publicly-issued long-term notes and debentures.</w:t>
      </w:r>
    </w:p>
    <w:p>
      <w:pPr>
        <w:spacing w:after="0" w:line="11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On September 29, 2022, the Company satsfed and discharged its $700 million of 0.650% Senior Notes due 2023 (the 0.650% Senior Notes), which were issued in July 2021. In connecton with the satsfacton and discharge, the Company irrevocably deposited funds in an amount sufcient to satsfy all remaining principal and interest payments on the 0.650% Senior Notes with Regions Bank (the Trustee). The money was placed in a fund that invested exclusively in U.S. Treasury securites and was classifed as </w:t>
      </w:r>
      <w:r>
        <w:rPr>
          <w:rFonts w:ascii="Calibri" w:cs="Calibri" w:eastAsia="Calibri" w:hAnsi="Calibri"/>
          <w:sz w:val="17"/>
          <w:szCs w:val="17"/>
          <w:i w:val="1"/>
          <w:iCs w:val="1"/>
          <w:color w:val="auto"/>
        </w:rPr>
        <w:t>Restricted investments (to satsfy discharged debt and related interest)</w:t>
      </w:r>
      <w:r>
        <w:rPr>
          <w:rFonts w:ascii="Calibri" w:cs="Calibri" w:eastAsia="Calibri" w:hAnsi="Calibri"/>
          <w:sz w:val="17"/>
          <w:szCs w:val="17"/>
          <w:color w:val="auto"/>
        </w:rPr>
        <w:t xml:space="preserve"> on the consolidated balance sheet at December 31, 2022. The Company utlized existng cash resources to fund the satsfacton and discharge. The 0.650% Senior Notes remained on the Company’s consolidated balance sheet at December 31, 2022 and contnued to accrete to their par value over the period untl maturity. On July 17, 2023, the deposited funds were applied to satsfy the remaining principal and interest payments and the 0.650% Senior Notes have been paid in full.</w:t>
      </w:r>
    </w:p>
    <w:p>
      <w:pPr>
        <w:spacing w:after="0" w:line="10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through a wholly-owned special-purpose subsidiary, has a $400.0 million trade receivable securitzaton facility (the Trade Receivable Facility). In September 2023, the Company extended the maturity of the Trade Receivable Facility to September 19, 2024. The Trade Receivable Facility is backed by eligible trade receivables, as defned. Borrowings are limited to the lesser of the facility limit or the borrowing base, as defned. These receivables are originated by the Company and then sold or contributed to the wholly-owned special-purpose subsidiary. The Company contnues to be responsible for the servicing and administraton of the receivables purchased by the wholly-owned special-purpose subsidiary. The Trade Receivable Facility contains a cross-default provision to the Company’s other debt agreements. Subject to certain conditons, including lenders providing the requisite commitments, the Trade Receivable Facility may be increased to a borrowing base not to exceed $500.0 million. There were no outstanding borrowings on the Trade Receivable Facility as of December 31, 2023.</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an $800.0 million fve-year senior unsecured revolving facility (the Revolving Facility), which matures in December 2028. There were no outstanding borrowings on the Revolving Facility as of December 31, 2023. The Revolving Facility requires the Company’s rato of consolidated net debt-to-consolidated EBITDA, as defned, for the trailing-twelve months (the Rato) to not exceed 3.50x as of the end of any fscal quarter, provided that the Company may exclude from the Rato debt incurred in connecton with certain acquisitons during the quarter or the three preceding quarters so long as the Rato calculated without such exclusion does not exceed 4.00x. Additonally, if there are no amounts outstanding under the Revolving Facility and the Trade Receivable Facility, consolidated debt, including debt for which the Company is a guarantor, shall be reduced in an amount equal to the lesser of $500.0 million or the sum of the Company’s unrestricted cash and temporary investments, for purposes of the covenant calculaton. The Company was in compliance with the Rato and other requirements under the Revolving Credit Facility at December 31, 2023.</w:t>
      </w:r>
    </w:p>
    <w:p>
      <w:pPr>
        <w:spacing w:after="0" w:line="11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Total equity was $8.03 billion at December 31, 2023. At that date, the Company had an accumulated other comprehensive loss of $49.2 million, primarily resultng from unrecognized prior service cost and actuarial loss related to pension benefts.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authority granted by its Board of Directors, the Company can repurchase up to 20 million shares of common stock. As of December 31, 2023, the Company had 12.7 million shares remaining under the repurchase authorizaton. Future share repurchases are at the discreton of management.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2023, the Company had $1.27 billion in unrestricted cash and short-term investments that are considered cash equivalents. The Company manages its cash and cash equivalents to ensure short-term operatng cash needs are met and excess funds are managed efciently. The Company funds shortages in operatng cash through credit facilites.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8" w:name="page59"/>
    <w:bookmarkEnd w:id="58"/>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utlizes excess cash to either pay down credit facility borrowings or invest in money market funds, money market demand deposit accounts or Eurodollar tme deposit accounts. Money market demand deposits and Eurodollar tme deposit accounts are exposed to bank solvency risk. Money market demand deposit accounts are FDIC insured up to $250,000. The Company’s investments in bank funds generally exceed the FDIC insurance limit.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Cash on hand, along with the Company’s projected internal cash fows and availability of fnancing resources, including its access to debt and equity capital markets, is expected to contnue to be sufcient to provide the capital resources necessary to support antcipated operatng needs, cover debt service requirements, meet capital expenditures and discretonary investment needs, fund certain acquisiton opportunites that may arise and allow for payment of dividends for the foreseeable future. Borrowings under the Revolving Facility are unsecured and may be used for general corporate purposes. The Company’s ability to borrow or issue securites is dependent upon, among other things, prevailing economic, fnancial and market conditons. At December 31, 2023, the Company had $1.20 billion of unused borrowing capacity under its Revolving Facility and Trade Receivable Facility.</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may be required to obtain additonal fnancing in order to fund certain strategic acquisitons or to refnance outstanding debt. The Company is exposed to credit markets through the interest cost related to borrowings under its Revolving Facility and Trade Receivable Facility.</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Contractual and Of Balance Sheet Obligatons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Postretrement medical benefts will be paid from the Company’s assets. The obligaton, if any, for retree medical payments is subject to the terms of the plan. At December 31, 2023, the Company’s recorded beneft obligaton related to these benefts totaled $8.3 million.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other retrement benefts related to pension plans. At December 31, 2023, the fair value of the qualifed pension plans’ assets exceeded the projected beneft obligaton by $307.8 million. The Company estmates that it will make contributons of $25.0 million to qualifed pension plans in 2024. Any contributons beyond 2024 are currently undeterminable and will depend on the investment return on the related pension assets. At December 31, 2023, the Company had a total obligaton of $100.2 million related to unfunded nonqualifed pension plans and expects to make contributons of $7.7 million to these plans in 2024.</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connecton with normal, ongoing operatons, the Company enters into market-rate leases for property, plant and equipment and royalty commitments principally associated with leased land and mineral reserves. Additonally, the Company enters into equipment rentals to meet shorter-term, nonrecurring and intermitent needs. At December 31, 2023, the Company had $395.5 million in operatng lease obligatons and $200.4 million in fnance lease obligatons, representng the present value of future payments, which include $16.3 million of lease obligatons classifed as held for sale. The imputed interest on operatng and fnance lease obligatons was $175.3 million. Management antcipates that, in the ordinary course of business, the Company will enter into additonal royalty agreements for land and mineral reserves during 2024. As permited, short-term leases are excluded from Accountng Standards Codifcaton 842, </w:t>
      </w:r>
      <w:r>
        <w:rPr>
          <w:rFonts w:ascii="Calibri" w:cs="Calibri" w:eastAsia="Calibri" w:hAnsi="Calibri"/>
          <w:sz w:val="18"/>
          <w:szCs w:val="18"/>
          <w:i w:val="1"/>
          <w:iCs w:val="1"/>
          <w:color w:val="auto"/>
        </w:rPr>
        <w:t>Leases</w:t>
      </w:r>
      <w:r>
        <w:rPr>
          <w:rFonts w:ascii="Calibri" w:cs="Calibri" w:eastAsia="Calibri" w:hAnsi="Calibri"/>
          <w:sz w:val="18"/>
          <w:szCs w:val="18"/>
          <w:color w:val="auto"/>
        </w:rPr>
        <w:t xml:space="preserve"> (ASC 842) requirements and future noncancelable obligatons for these leases as of December 31, 2023 are immaterial.</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2023, future interest payable on the Company’s publicly-traded debt through the various maturity dates was $1.97 billion. The Company had obligatons related to contracts of afreightment not accounted for as a lease and royalty agreements totaling $69.1 million and $148.8 million, respectvely, as of December 31, 2023. The Company had purchase commitments for property, plant and equipment of $162.1 million as of December 31, 2023. In additon, as of December 31, 2023, the Company has a purchase commitment for 394 railcars at an aggregate value of $42.7 million. The Company also had other purchase obligatons related to energy and service contracts which totaled $233.1 million as of December 31, 2023.</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Contngent Liabilites and Commitments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entered into standby leter of credit agreements relatng to certain insurance claims, contract performance and permit requirements. At December 31, 2023, the Company had contngent liabilites guaranteeing its own performance under these outstanding leters of credit of $32.2 million.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normal course of business, at December 31, 2023, the Company was contngently liable for $698.3 million in surety bonds, which guarantee its own performance and are required by certain states and municipalites and their related agencies. The Company has indemnifed the underwritng insurance companies against any exposure under the surety bonds. In the Company’s past experience, no material claims have been made against these fnancial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59" w:name="page60"/>
    <w:bookmarkEnd w:id="59"/>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OTHER FINANCIAL INFORMATION</w:t>
      </w:r>
    </w:p>
    <w:p>
      <w:pPr>
        <w:spacing w:after="0" w:line="1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Critcal Accountng Policies and Estmates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audited consolidated fnancial statements include certain critcal estmates regarding the efect of maters that are inherently uncertain. These estmates require management’s subjectve and complex judgments. Amounts reported in the Company’s consolidated fnancial statements could difer materially if management used diferent assumptons in making these estmates, resultng in actual results difering from those estmates. Methodologies used and assumptons selected by management in making these estmates, as well as the related disclosures, have been reviewed by and discussed with the Company’s Audit Commitee. Management’s determinaton of the critcal nature of accountng estmates and judgments may change from tme to tme depending on facts and circumstances that management cannot currently predict.</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Impairment Review of Goodwill</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is required to be tested annually for impairment. An interim review is performed between annual tests if facts and circumstances indicate a potental impairment. The Company performs its impairment evaluaton as of October 1, which represents the annual evaluaton date. The impairment review of goodwill is a critcal accountng estmate because goodwill (excluding goodwill allocated to assets held for sale) represented 22% of the Company’s total assets at December 31, 2023; the review requires management to apply judgment and make key assumptons; and an impairment charge could be material to the Company’s fnancial conditon and results of operatons.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Certain operatng segments within the Building Materials business meet the aggregaton criteria and are consolidated into reportable segments for fnancial reportng. The Company’s reportng units, which represent the level at which goodwill is tested for impairment, are based on the operatng segments of the Building Materials business. Goodwill is assigned to the respectve reportng unit(s) based on the locaton of acquisitons at the tme of consummaton. If subsequent organizatonal changes result in operatons being transferred to a diferent reportng unit, a proportonate amount of goodwill is transferred from the former to the new reportng unit. For divesttures, goodwill is allocated on a proportonal basis based on the relatve fair values of the porton of the reportng unit being disposed of and the porton of the reportng unit remaining.</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Southwest Division is the most signifcant reportng unit and includes $1.5 billion of the Company’s goodwill, excluding amounts classifed as held for sale. At December 31, 2023, the Company allocated $260.0 million of goodwill to assets held for sale for a pending divestture in the Southwest Division. There is also $1.1 billion of goodwill in the West Division reportng unit. There is no goodwill related to the Magnesia Specialtes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is tested for impairment by comparing the reportng unit’s fair value to its carrying value, which represents a Step-1 analysis. However, prior to Step 1, the Company may perform an optonal qualitatve assessment, or Step 0. As part of the qualitatve assessment, the Company considers, among other things, the following events and circumstances: macroeconomic conditons, industry and market conditons, cost factors, overall fnancial performance and other business or reportng unit-specifc events. If the Company concludes it is more-likely-than-not (</w:t>
      </w:r>
      <w:r>
        <w:rPr>
          <w:rFonts w:ascii="Calibri" w:cs="Calibri" w:eastAsia="Calibri" w:hAnsi="Calibri"/>
          <w:sz w:val="18"/>
          <w:szCs w:val="18"/>
          <w:i w:val="1"/>
          <w:iCs w:val="1"/>
          <w:color w:val="auto"/>
        </w:rPr>
        <w:t>i.e.</w:t>
      </w:r>
      <w:r>
        <w:rPr>
          <w:rFonts w:ascii="Calibri" w:cs="Calibri" w:eastAsia="Calibri" w:hAnsi="Calibri"/>
          <w:sz w:val="18"/>
          <w:szCs w:val="18"/>
          <w:color w:val="auto"/>
        </w:rPr>
        <w:t>, a likelihood of more than 50%) that a reportng unit’s fair value is higher than its carrying value, the Company does not perform any further goodwill impairment testng for that reportng unit. Otherwise, it proceeds to Step 1 of its goodwill impairment analysis. If the reportng unit’s fair value exceeds its carrying value, no further calculaton is necessary. A reportng unit with a carrying value in excess of its fair value consttutes a Step-1 failure and results in an impairment charge. When the Company validates its conclusion by measuring fair value, it may resume performing a qualitatve assessment for a reportng unit in any subsequent period. The Company may bypass the qualitatve assessment for any reportng unit in any period and proceed directly with the quanttatve calculaton in Step 1. The Company performs a Step-1 analysis for all its reportng units every three years.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the 2023 annual impairment evaluaton, the Company performed a Step-0 analysis for all reportng units and concluded that it is more-likely-than-not that each of the reportng units’ fair value exceeded its carrying value.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Any potental impairment charges from future evaluatons represent a risk to the Company.</w:t>
      </w:r>
    </w:p>
    <w:p>
      <w:pPr>
        <w:spacing w:after="0" w:line="212"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Pension Beneft Obligaton and Pension Expense – Selecton of Assumptons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sponsors noncontributory defned beneft pension plans that cover substantally all employees and a Supplemental Excess Retrement Plan (SERP) for certain retrees (see Note J to the consolidated fnancial statements). Annually, as of December 31, management remeasures the defned beneft pension plans’ projected beneft obligaton based on the present value of the projected future beneft payments to all partcipants for services rendered to date, refectng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68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0" w:name="page61"/>
    <w:bookmarkEnd w:id="60"/>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future pay increases through the partcipants’ expected retrement dates. A discount rate assumpton is selected annually based on corporate bond rates as of the measurement date to calculate the present value of the projected beneft obligaton.</w:t>
      </w:r>
    </w:p>
    <w:p>
      <w:pPr>
        <w:spacing w:after="0" w:line="11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Annual pension expense, referred to as net periodic beneft cost within the consolidated fnancial statements, (inclusive of SERP expense) consists of several components:</w:t>
      </w:r>
    </w:p>
    <w:p>
      <w:pPr>
        <w:spacing w:after="0" w:line="69" w:lineRule="exact"/>
        <w:rPr>
          <w:sz w:val="20"/>
          <w:szCs w:val="20"/>
          <w:color w:val="auto"/>
        </w:rPr>
      </w:pPr>
    </w:p>
    <w:p>
      <w:pPr>
        <w:ind w:left="1060" w:hanging="261"/>
        <w:spacing w:after="0" w:line="235" w:lineRule="auto"/>
        <w:tabs>
          <w:tab w:leader="none" w:pos="106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Service Cost, </w:t>
      </w:r>
      <w:r>
        <w:rPr>
          <w:rFonts w:ascii="Calibri" w:cs="Calibri" w:eastAsia="Calibri" w:hAnsi="Calibri"/>
          <w:sz w:val="18"/>
          <w:szCs w:val="18"/>
          <w:color w:val="auto"/>
        </w:rPr>
        <w:t>which represents the present value of benefts atributed to services rendered in the current year, measured by expected future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salary levels to assumed retrement dates;</w:t>
      </w:r>
    </w:p>
    <w:p>
      <w:pPr>
        <w:spacing w:after="0" w:line="64" w:lineRule="exact"/>
        <w:rPr>
          <w:rFonts w:ascii="Times New Roman" w:cs="Times New Roman" w:eastAsia="Times New Roman" w:hAnsi="Times New Roman"/>
          <w:sz w:val="18"/>
          <w:szCs w:val="18"/>
          <w:color w:val="auto"/>
        </w:rPr>
      </w:pPr>
    </w:p>
    <w:p>
      <w:pPr>
        <w:ind w:left="1060" w:hanging="261"/>
        <w:spacing w:after="0"/>
        <w:tabs>
          <w:tab w:leader="none" w:pos="106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Interest Cost, </w:t>
      </w:r>
      <w:r>
        <w:rPr>
          <w:rFonts w:ascii="Calibri" w:cs="Calibri" w:eastAsia="Calibri" w:hAnsi="Calibri"/>
          <w:sz w:val="18"/>
          <w:szCs w:val="18"/>
          <w:color w:val="auto"/>
        </w:rPr>
        <w:t>which represents one year’s additonal interest on the projected beneft obligaton;</w:t>
      </w:r>
    </w:p>
    <w:p>
      <w:pPr>
        <w:spacing w:after="0" w:line="63" w:lineRule="exact"/>
        <w:rPr>
          <w:rFonts w:ascii="Times New Roman" w:cs="Times New Roman" w:eastAsia="Times New Roman" w:hAnsi="Times New Roman"/>
          <w:sz w:val="18"/>
          <w:szCs w:val="18"/>
          <w:color w:val="auto"/>
        </w:rPr>
      </w:pPr>
    </w:p>
    <w:p>
      <w:pPr>
        <w:ind w:left="1060" w:hanging="261"/>
        <w:spacing w:after="0"/>
        <w:tabs>
          <w:tab w:leader="none" w:pos="106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Expected Return on Assets, </w:t>
      </w:r>
      <w:r>
        <w:rPr>
          <w:rFonts w:ascii="Calibri" w:cs="Calibri" w:eastAsia="Calibri" w:hAnsi="Calibri"/>
          <w:sz w:val="18"/>
          <w:szCs w:val="18"/>
          <w:color w:val="auto"/>
        </w:rPr>
        <w:t>which represents the expected investment return on pension plan assets; and</w:t>
      </w:r>
    </w:p>
    <w:p>
      <w:pPr>
        <w:spacing w:after="0" w:line="68" w:lineRule="exact"/>
        <w:rPr>
          <w:rFonts w:ascii="Times New Roman" w:cs="Times New Roman" w:eastAsia="Times New Roman" w:hAnsi="Times New Roman"/>
          <w:sz w:val="18"/>
          <w:szCs w:val="18"/>
          <w:color w:val="auto"/>
        </w:rPr>
      </w:pPr>
    </w:p>
    <w:p>
      <w:pPr>
        <w:jc w:val="both"/>
        <w:ind w:left="1060" w:hanging="261"/>
        <w:spacing w:after="0" w:line="235" w:lineRule="auto"/>
        <w:tabs>
          <w:tab w:leader="none" w:pos="106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Amortzaton of Prior Service Cost and Actuarial Gains and Losses, </w:t>
      </w:r>
      <w:r>
        <w:rPr>
          <w:rFonts w:ascii="Calibri" w:cs="Calibri" w:eastAsia="Calibri" w:hAnsi="Calibri"/>
          <w:sz w:val="18"/>
          <w:szCs w:val="18"/>
          <w:color w:val="auto"/>
        </w:rPr>
        <w:t>which represents components that are recognized over tme rather than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immediately. Prior service cost represents credit given to employees for years of service already accrued. At December 31, 2023, unrecognized prior service cost was $42.4 million. Management currently expects to amortze $5.9 million of the unrecognized prior service cost in 2024. Actuarial gains and losses arise from changes in assumptons regarding future events, a change in the beneft obligaton resultng from experience diferent from assumed or when actual returns on pension assets difer from expected returns. At December 31, 2023, the unrecognized actuarial loss was $63.4 million. Pension accountng rules currently allow companies to amortze the porton of the unrecognized actuarial loss that represents more than 10% of the greater of the projected beneft obligaton or pension plan assets, using the average remaining service life for the amortzaton period. The calculaton is performed on a plan-by-plan basis. Management currently expects to amortze $1.5 million of the unrecognized actuarial loss in 2024.</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color w:val="auto"/>
        </w:rPr>
        <w:t>The aforementoned components are calculated annually to determine the annual pension expense.</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Management believes the selecton of assumptons related to the annual pension expense and related projected beneft obligaton is a critcal accountng estmate due to the high degree of volatlity in the expense and obligaton dependent on selected assumptons. The key assumptons are as follows:</w:t>
      </w:r>
    </w:p>
    <w:p>
      <w:pPr>
        <w:spacing w:after="0" w:line="69" w:lineRule="exact"/>
        <w:rPr>
          <w:sz w:val="20"/>
          <w:szCs w:val="20"/>
          <w:color w:val="auto"/>
        </w:rPr>
      </w:pPr>
    </w:p>
    <w:p>
      <w:pPr>
        <w:ind w:left="1060" w:hanging="261"/>
        <w:spacing w:after="0" w:line="235" w:lineRule="auto"/>
        <w:tabs>
          <w:tab w:leader="none" w:pos="106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The </w:t>
      </w:r>
      <w:r>
        <w:rPr>
          <w:rFonts w:ascii="Calibri" w:cs="Calibri" w:eastAsia="Calibri" w:hAnsi="Calibri"/>
          <w:sz w:val="18"/>
          <w:szCs w:val="18"/>
          <w:i w:val="1"/>
          <w:iCs w:val="1"/>
          <w:color w:val="auto"/>
        </w:rPr>
        <w:t>discount rate</w:t>
      </w:r>
      <w:r>
        <w:rPr>
          <w:rFonts w:ascii="Calibri" w:cs="Calibri" w:eastAsia="Calibri" w:hAnsi="Calibri"/>
          <w:sz w:val="18"/>
          <w:szCs w:val="18"/>
          <w:color w:val="auto"/>
        </w:rPr>
        <w:t xml:space="preserve"> is used to present value the projected beneft obligaton and represents the current rate at which the projected beneft obligatons could be efectvely setled.</w:t>
      </w:r>
    </w:p>
    <w:p>
      <w:pPr>
        <w:spacing w:after="0" w:line="69" w:lineRule="exact"/>
        <w:rPr>
          <w:rFonts w:ascii="Times New Roman" w:cs="Times New Roman" w:eastAsia="Times New Roman" w:hAnsi="Times New Roman"/>
          <w:sz w:val="18"/>
          <w:szCs w:val="18"/>
          <w:color w:val="auto"/>
        </w:rPr>
      </w:pPr>
    </w:p>
    <w:p>
      <w:pPr>
        <w:ind w:left="1060" w:hanging="261"/>
        <w:spacing w:after="0" w:line="235" w:lineRule="auto"/>
        <w:tabs>
          <w:tab w:leader="none" w:pos="106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The </w:t>
      </w:r>
      <w:r>
        <w:rPr>
          <w:rFonts w:ascii="Calibri" w:cs="Calibri" w:eastAsia="Calibri" w:hAnsi="Calibri"/>
          <w:sz w:val="18"/>
          <w:szCs w:val="18"/>
          <w:i w:val="1"/>
          <w:iCs w:val="1"/>
          <w:color w:val="auto"/>
        </w:rPr>
        <w:t>expected long-term rate of return on pension plan assets</w:t>
      </w:r>
      <w:r>
        <w:rPr>
          <w:rFonts w:ascii="Calibri" w:cs="Calibri" w:eastAsia="Calibri" w:hAnsi="Calibri"/>
          <w:sz w:val="18"/>
          <w:szCs w:val="18"/>
          <w:color w:val="auto"/>
        </w:rPr>
        <w:t xml:space="preserve"> is used to estmate future asset returns and should refect the average rate of long-term earnings on assets invested to provide for the benefts included in the projected beneft obligaton.</w:t>
      </w:r>
    </w:p>
    <w:p>
      <w:pPr>
        <w:spacing w:after="0" w:line="64" w:lineRule="exact"/>
        <w:rPr>
          <w:rFonts w:ascii="Times New Roman" w:cs="Times New Roman" w:eastAsia="Times New Roman" w:hAnsi="Times New Roman"/>
          <w:sz w:val="18"/>
          <w:szCs w:val="18"/>
          <w:color w:val="auto"/>
        </w:rPr>
      </w:pPr>
    </w:p>
    <w:p>
      <w:pPr>
        <w:ind w:left="1060" w:hanging="261"/>
        <w:spacing w:after="0"/>
        <w:tabs>
          <w:tab w:leader="none" w:pos="106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The </w:t>
      </w:r>
      <w:r>
        <w:rPr>
          <w:rFonts w:ascii="Calibri" w:cs="Calibri" w:eastAsia="Calibri" w:hAnsi="Calibri"/>
          <w:sz w:val="18"/>
          <w:szCs w:val="18"/>
          <w:i w:val="1"/>
          <w:iCs w:val="1"/>
          <w:color w:val="auto"/>
        </w:rPr>
        <w:t>mortality table</w:t>
      </w:r>
      <w:r>
        <w:rPr>
          <w:rFonts w:ascii="Calibri" w:cs="Calibri" w:eastAsia="Calibri" w:hAnsi="Calibri"/>
          <w:sz w:val="18"/>
          <w:szCs w:val="18"/>
          <w:color w:val="auto"/>
        </w:rPr>
        <w:t xml:space="preserve"> and </w:t>
      </w:r>
      <w:r>
        <w:rPr>
          <w:rFonts w:ascii="Calibri" w:cs="Calibri" w:eastAsia="Calibri" w:hAnsi="Calibri"/>
          <w:sz w:val="18"/>
          <w:szCs w:val="18"/>
          <w:i w:val="1"/>
          <w:iCs w:val="1"/>
          <w:color w:val="auto"/>
        </w:rPr>
        <w:t>mortality improvement scale</w:t>
      </w:r>
      <w:r>
        <w:rPr>
          <w:rFonts w:ascii="Calibri" w:cs="Calibri" w:eastAsia="Calibri" w:hAnsi="Calibri"/>
          <w:sz w:val="18"/>
          <w:szCs w:val="18"/>
          <w:color w:val="auto"/>
        </w:rPr>
        <w:t xml:space="preserve"> represent published statstcs on the expected lives of people.</w:t>
      </w:r>
    </w:p>
    <w:p>
      <w:pPr>
        <w:spacing w:after="0" w:line="68" w:lineRule="exact"/>
        <w:rPr>
          <w:rFonts w:ascii="Times New Roman" w:cs="Times New Roman" w:eastAsia="Times New Roman" w:hAnsi="Times New Roman"/>
          <w:sz w:val="18"/>
          <w:szCs w:val="18"/>
          <w:color w:val="auto"/>
        </w:rPr>
      </w:pPr>
    </w:p>
    <w:p>
      <w:pPr>
        <w:ind w:left="1060" w:hanging="261"/>
        <w:spacing w:after="0" w:line="235" w:lineRule="auto"/>
        <w:tabs>
          <w:tab w:leader="none" w:pos="106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The </w:t>
      </w:r>
      <w:r>
        <w:rPr>
          <w:rFonts w:ascii="Calibri" w:cs="Calibri" w:eastAsia="Calibri" w:hAnsi="Calibri"/>
          <w:sz w:val="18"/>
          <w:szCs w:val="18"/>
          <w:i w:val="1"/>
          <w:iCs w:val="1"/>
          <w:color w:val="auto"/>
        </w:rPr>
        <w:t>rate of increase in future compensaton levels</w:t>
      </w:r>
      <w:r>
        <w:rPr>
          <w:rFonts w:ascii="Calibri" w:cs="Calibri" w:eastAsia="Calibri" w:hAnsi="Calibri"/>
          <w:sz w:val="18"/>
          <w:szCs w:val="18"/>
          <w:color w:val="auto"/>
        </w:rPr>
        <w:t xml:space="preserve"> is used to project the pay-related pension beneft formula and should estmate actual future compensaton levels.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Management’s selecton of the discount rate is based on an analysis that estmates the current rate of return for high-quality, fxed-income investments with maturites matching the payment of pension benefts that could be purchased to setle the obligatons. The Company selected a hypothetcal portolio of Moody’s Aa bonds, with maturites that match the beneft obligatons, to determine the discount rate. At December 31, 2023, the Company selected a discount rate assumpton of 5.58%, a 30-basis-point decrease compared with the December 31, 2022 assumpton. Of the four key assumptons, the discount rate is generally the most volatle and sensitve estmate. Accordingly, a change in this assumpton can have a signifcant impact on the annual pension expense and the projected beneft obligaton.</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Management’s selecton of the rate of increase in future compensaton levels, which refects cost of living adjustments and merit and promoton increases, is generally based on the Company’s historical increases in pensionable earnings, while giving consideraton to any future expectatons. A higher rate of increase results in higher pension expense and a higher projected beneft obligaton. The assumed long-term rate of increase is 4.50%.</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Management’s selecton of the expected long-term rate of return on pension fund assets is based on the current asset class mix of the Company's pension plan assets, current capital market conditons and a stochastc forecast of future conditons. Based on the currently projected returns on these assets and related expenses, the Company selected an expected return on assets of 6.75%, the same as the prior-year rate.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the expected return on pension assets as compared with the actual return on pension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1" w:name="page62"/>
    <w:bookmarkEnd w:id="61"/>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90" w:lineRule="exact"/>
        <w:rPr>
          <w:sz w:val="20"/>
          <w:szCs w:val="20"/>
          <w:color w:val="auto"/>
        </w:rPr>
      </w:pPr>
    </w:p>
    <w:tbl>
      <w:tblPr>
        <w:tblLayout w:type="fixed"/>
        <w:tblInd w:w="720" w:type="dxa"/>
        <w:tblCellMar>
          <w:top w:w="0" w:type="dxa"/>
          <w:left w:w="0" w:type="dxa"/>
          <w:bottom w:w="0" w:type="dxa"/>
          <w:right w:w="0" w:type="dxa"/>
        </w:tblCellMar>
      </w:tblPr>
      <w:tr>
        <w:trPr>
          <w:trHeight w:val="220"/>
        </w:trPr>
        <w:tc>
          <w:tcPr>
            <w:tcW w:w="2040" w:type="dxa"/>
            <w:vAlign w:val="bottom"/>
          </w:tcPr>
          <w:p>
            <w:pPr>
              <w:jc w:val="center"/>
              <w:ind w:right="210"/>
              <w:spacing w:after="0"/>
              <w:rPr>
                <w:sz w:val="20"/>
                <w:szCs w:val="20"/>
                <w:color w:val="auto"/>
              </w:rPr>
            </w:pPr>
            <w:r>
              <w:rPr>
                <w:rFonts w:ascii="Calibri" w:cs="Calibri" w:eastAsia="Calibri" w:hAnsi="Calibri"/>
                <w:sz w:val="18"/>
                <w:szCs w:val="18"/>
                <w:color w:val="auto"/>
                <w:w w:val="95"/>
              </w:rPr>
              <w:t>(in millions)</w:t>
            </w:r>
          </w:p>
        </w:tc>
        <w:tc>
          <w:tcPr>
            <w:tcW w:w="4200" w:type="dxa"/>
            <w:vAlign w:val="bottom"/>
          </w:tcPr>
          <w:p>
            <w:pPr>
              <w:jc w:val="center"/>
              <w:ind w:right="50"/>
              <w:spacing w:after="0"/>
              <w:rPr>
                <w:sz w:val="20"/>
                <w:szCs w:val="20"/>
                <w:color w:val="auto"/>
              </w:rPr>
            </w:pPr>
            <w:r>
              <w:rPr>
                <w:rFonts w:ascii="Calibri" w:cs="Calibri" w:eastAsia="Calibri" w:hAnsi="Calibri"/>
                <w:sz w:val="18"/>
                <w:szCs w:val="18"/>
                <w:b w:val="1"/>
                <w:bCs w:val="1"/>
                <w:color w:val="auto"/>
                <w:w w:val="96"/>
              </w:rPr>
              <w:t>Expected Return on Pension Assets</w:t>
            </w:r>
          </w:p>
        </w:tc>
        <w:tc>
          <w:tcPr>
            <w:tcW w:w="3980" w:type="dxa"/>
            <w:vAlign w:val="bottom"/>
          </w:tcPr>
          <w:p>
            <w:pPr>
              <w:jc w:val="right"/>
              <w:ind w:right="630"/>
              <w:spacing w:after="0"/>
              <w:rPr>
                <w:sz w:val="20"/>
                <w:szCs w:val="20"/>
                <w:color w:val="auto"/>
              </w:rPr>
            </w:pPr>
            <w:r>
              <w:rPr>
                <w:rFonts w:ascii="Calibri" w:cs="Calibri" w:eastAsia="Calibri" w:hAnsi="Calibri"/>
                <w:sz w:val="18"/>
                <w:szCs w:val="18"/>
                <w:b w:val="1"/>
                <w:bCs w:val="1"/>
                <w:color w:val="auto"/>
              </w:rPr>
              <w:t>Actual Return on Pension Assets</w:t>
            </w:r>
          </w:p>
        </w:tc>
      </w:tr>
      <w:tr>
        <w:trPr>
          <w:trHeight w:val="37"/>
        </w:trPr>
        <w:tc>
          <w:tcPr>
            <w:tcW w:w="2040" w:type="dxa"/>
            <w:vAlign w:val="bottom"/>
            <w:tcBorders>
              <w:bottom w:val="single" w:sz="8" w:color="auto"/>
            </w:tcBorders>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r>
      <w:tr>
        <w:trPr>
          <w:trHeight w:val="217"/>
        </w:trPr>
        <w:tc>
          <w:tcPr>
            <w:tcW w:w="2040" w:type="dxa"/>
            <w:vAlign w:val="bottom"/>
            <w:tcBorders>
              <w:bottom w:val="single" w:sz="8" w:color="E5F1F8"/>
            </w:tcBorders>
            <w:shd w:val="clear" w:color="auto" w:fill="E5F1F8"/>
          </w:tcPr>
          <w:p>
            <w:pPr>
              <w:jc w:val="center"/>
              <w:ind w:right="190"/>
              <w:spacing w:after="0" w:line="208" w:lineRule="exact"/>
              <w:rPr>
                <w:sz w:val="20"/>
                <w:szCs w:val="20"/>
                <w:color w:val="auto"/>
              </w:rPr>
            </w:pPr>
            <w:r>
              <w:rPr>
                <w:rFonts w:ascii="Calibri" w:cs="Calibri" w:eastAsia="Calibri" w:hAnsi="Calibri"/>
                <w:sz w:val="18"/>
                <w:szCs w:val="18"/>
                <w:b w:val="1"/>
                <w:bCs w:val="1"/>
                <w:color w:val="auto"/>
                <w:w w:val="98"/>
              </w:rPr>
              <w:t>2023</w:t>
            </w:r>
          </w:p>
        </w:tc>
        <w:tc>
          <w:tcPr>
            <w:tcW w:w="4200" w:type="dxa"/>
            <w:vAlign w:val="bottom"/>
            <w:tcBorders>
              <w:bottom w:val="single" w:sz="8" w:color="E5F1F8"/>
            </w:tcBorders>
            <w:shd w:val="clear" w:color="auto" w:fill="E5F1F8"/>
          </w:tcPr>
          <w:p>
            <w:pPr>
              <w:jc w:val="center"/>
              <w:ind w:right="50"/>
              <w:spacing w:after="0" w:line="208" w:lineRule="exact"/>
              <w:rPr>
                <w:sz w:val="20"/>
                <w:szCs w:val="20"/>
                <w:color w:val="auto"/>
              </w:rPr>
            </w:pPr>
            <w:r>
              <w:rPr>
                <w:rFonts w:ascii="Calibri" w:cs="Calibri" w:eastAsia="Calibri" w:hAnsi="Calibri"/>
                <w:sz w:val="18"/>
                <w:szCs w:val="18"/>
                <w:b w:val="1"/>
                <w:bCs w:val="1"/>
                <w:color w:val="auto"/>
              </w:rPr>
              <w:t>$71.4</w:t>
            </w:r>
          </w:p>
        </w:tc>
        <w:tc>
          <w:tcPr>
            <w:tcW w:w="3980" w:type="dxa"/>
            <w:vAlign w:val="bottom"/>
            <w:tcBorders>
              <w:bottom w:val="single" w:sz="8" w:color="E5F1F8"/>
            </w:tcBorders>
            <w:shd w:val="clear" w:color="auto" w:fill="E5F1F8"/>
          </w:tcPr>
          <w:p>
            <w:pPr>
              <w:jc w:val="right"/>
              <w:ind w:right="1550"/>
              <w:spacing w:after="0" w:line="208" w:lineRule="exact"/>
              <w:rPr>
                <w:sz w:val="20"/>
                <w:szCs w:val="20"/>
                <w:color w:val="auto"/>
              </w:rPr>
            </w:pPr>
            <w:r>
              <w:rPr>
                <w:rFonts w:ascii="Calibri" w:cs="Calibri" w:eastAsia="Calibri" w:hAnsi="Calibri"/>
                <w:sz w:val="18"/>
                <w:szCs w:val="18"/>
                <w:b w:val="1"/>
                <w:bCs w:val="1"/>
                <w:color w:val="auto"/>
              </w:rPr>
              <w:t>$123.1</w:t>
            </w:r>
          </w:p>
        </w:tc>
      </w:tr>
      <w:tr>
        <w:trPr>
          <w:trHeight w:val="215"/>
        </w:trPr>
        <w:tc>
          <w:tcPr>
            <w:tcW w:w="2040" w:type="dxa"/>
            <w:vAlign w:val="bottom"/>
          </w:tcPr>
          <w:p>
            <w:pPr>
              <w:jc w:val="center"/>
              <w:ind w:right="190"/>
              <w:spacing w:after="0" w:line="215" w:lineRule="exact"/>
              <w:rPr>
                <w:sz w:val="20"/>
                <w:szCs w:val="20"/>
                <w:color w:val="auto"/>
              </w:rPr>
            </w:pPr>
            <w:r>
              <w:rPr>
                <w:rFonts w:ascii="Calibri" w:cs="Calibri" w:eastAsia="Calibri" w:hAnsi="Calibri"/>
                <w:sz w:val="18"/>
                <w:szCs w:val="18"/>
                <w:color w:val="auto"/>
                <w:w w:val="98"/>
              </w:rPr>
              <w:t>2022</w:t>
            </w:r>
          </w:p>
        </w:tc>
        <w:tc>
          <w:tcPr>
            <w:tcW w:w="4200" w:type="dxa"/>
            <w:vAlign w:val="bottom"/>
          </w:tcPr>
          <w:p>
            <w:pPr>
              <w:jc w:val="center"/>
              <w:ind w:right="30"/>
              <w:spacing w:after="0" w:line="215" w:lineRule="exact"/>
              <w:rPr>
                <w:sz w:val="20"/>
                <w:szCs w:val="20"/>
                <w:color w:val="auto"/>
              </w:rPr>
            </w:pPr>
            <w:r>
              <w:rPr>
                <w:rFonts w:ascii="Calibri" w:cs="Calibri" w:eastAsia="Calibri" w:hAnsi="Calibri"/>
                <w:sz w:val="18"/>
                <w:szCs w:val="18"/>
                <w:color w:val="auto"/>
                <w:w w:val="97"/>
              </w:rPr>
              <w:t>$77.3</w:t>
            </w:r>
          </w:p>
        </w:tc>
        <w:tc>
          <w:tcPr>
            <w:tcW w:w="3980" w:type="dxa"/>
            <w:vAlign w:val="bottom"/>
          </w:tcPr>
          <w:p>
            <w:pPr>
              <w:jc w:val="right"/>
              <w:ind w:right="1510"/>
              <w:spacing w:after="0" w:line="215" w:lineRule="exact"/>
              <w:rPr>
                <w:sz w:val="20"/>
                <w:szCs w:val="20"/>
                <w:color w:val="auto"/>
              </w:rPr>
            </w:pPr>
            <w:r>
              <w:rPr>
                <w:rFonts w:ascii="Calibri" w:cs="Calibri" w:eastAsia="Calibri" w:hAnsi="Calibri"/>
                <w:sz w:val="18"/>
                <w:szCs w:val="18"/>
                <w:color w:val="auto"/>
              </w:rPr>
              <w:t>($171.4)</w:t>
            </w:r>
          </w:p>
        </w:tc>
      </w:tr>
    </w:tbl>
    <w:p>
      <w:pPr>
        <w:spacing w:after="0" w:line="19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diference between the expected return and the actual return on pension assets is included in actuarial gains and losses, which are amortzed into annual pension expense as previously described.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2023 and 2022, the Company estmated the remaining lives of partcipants in the pension plans using the Society of Actuaries’ Pri-2012 Base Mortality Table. The no-collar table was used for salaried partcipants and the blue-collar table was used for hourly partcipants, both adjusted to refect the historical experience of the Company’s partcipants and a geospatal mortality analysis. The Company selected the MP-2020 scale for mortality improvement at December 31, 2023 and 2022.</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Assumptons are selected on December 31 to calculate the succeeding year’s expense. The assumptons selected at December 31, 2023 are as follows:</w:t>
      </w:r>
    </w:p>
    <w:p>
      <w:pPr>
        <w:spacing w:after="0" w:line="118" w:lineRule="exact"/>
        <w:rPr>
          <w:sz w:val="20"/>
          <w:szCs w:val="20"/>
          <w:color w:val="auto"/>
        </w:rPr>
      </w:pPr>
    </w:p>
    <w:tbl>
      <w:tblPr>
        <w:tblLayout w:type="fixed"/>
        <w:tblInd w:w="1080" w:type="dxa"/>
        <w:tblCellMar>
          <w:top w:w="0" w:type="dxa"/>
          <w:left w:w="0" w:type="dxa"/>
          <w:bottom w:w="0" w:type="dxa"/>
          <w:right w:w="0" w:type="dxa"/>
        </w:tblCellMar>
      </w:tblPr>
      <w:tr>
        <w:trPr>
          <w:trHeight w:val="220"/>
        </w:trPr>
        <w:tc>
          <w:tcPr>
            <w:tcW w:w="5960" w:type="dxa"/>
            <w:vAlign w:val="bottom"/>
          </w:tcPr>
          <w:p>
            <w:pPr>
              <w:ind w:left="100"/>
              <w:spacing w:after="0"/>
              <w:rPr>
                <w:sz w:val="20"/>
                <w:szCs w:val="20"/>
                <w:color w:val="auto"/>
              </w:rPr>
            </w:pPr>
            <w:r>
              <w:rPr>
                <w:rFonts w:ascii="Calibri" w:cs="Calibri" w:eastAsia="Calibri" w:hAnsi="Calibri"/>
                <w:sz w:val="18"/>
                <w:szCs w:val="18"/>
                <w:color w:val="auto"/>
              </w:rPr>
              <w:t>Discount rate</w:t>
            </w:r>
          </w:p>
        </w:tc>
        <w:tc>
          <w:tcPr>
            <w:tcW w:w="3140" w:type="dxa"/>
            <w:vAlign w:val="bottom"/>
          </w:tcPr>
          <w:p>
            <w:pPr>
              <w:jc w:val="right"/>
              <w:ind w:right="50"/>
              <w:spacing w:after="0"/>
              <w:rPr>
                <w:sz w:val="20"/>
                <w:szCs w:val="20"/>
                <w:color w:val="auto"/>
              </w:rPr>
            </w:pPr>
            <w:r>
              <w:rPr>
                <w:rFonts w:ascii="Calibri" w:cs="Calibri" w:eastAsia="Calibri" w:hAnsi="Calibri"/>
                <w:sz w:val="18"/>
                <w:szCs w:val="18"/>
                <w:color w:val="auto"/>
              </w:rPr>
              <w:t>5.58%</w:t>
            </w:r>
          </w:p>
        </w:tc>
      </w:tr>
      <w:tr>
        <w:trPr>
          <w:trHeight w:val="37"/>
        </w:trPr>
        <w:tc>
          <w:tcPr>
            <w:tcW w:w="5960" w:type="dxa"/>
            <w:vAlign w:val="bottom"/>
          </w:tcPr>
          <w:p>
            <w:pPr>
              <w:spacing w:after="0"/>
              <w:rPr>
                <w:sz w:val="3"/>
                <w:szCs w:val="3"/>
                <w:color w:val="auto"/>
              </w:rPr>
            </w:pPr>
          </w:p>
        </w:tc>
        <w:tc>
          <w:tcPr>
            <w:tcW w:w="3140" w:type="dxa"/>
            <w:vAlign w:val="bottom"/>
          </w:tcPr>
          <w:p>
            <w:pPr>
              <w:spacing w:after="0"/>
              <w:rPr>
                <w:sz w:val="3"/>
                <w:szCs w:val="3"/>
                <w:color w:val="auto"/>
              </w:rPr>
            </w:pPr>
          </w:p>
        </w:tc>
      </w:tr>
      <w:tr>
        <w:trPr>
          <w:trHeight w:val="223"/>
        </w:trPr>
        <w:tc>
          <w:tcPr>
            <w:tcW w:w="5960" w:type="dxa"/>
            <w:vAlign w:val="bottom"/>
            <w:tcBorders>
              <w:bottom w:val="single" w:sz="8" w:color="E5F1F8"/>
            </w:tcBorders>
            <w:shd w:val="clear" w:color="auto" w:fill="E5F1F8"/>
          </w:tcPr>
          <w:p>
            <w:pPr>
              <w:ind w:left="100"/>
              <w:spacing w:after="0" w:line="215" w:lineRule="exact"/>
              <w:rPr>
                <w:sz w:val="20"/>
                <w:szCs w:val="20"/>
                <w:color w:val="auto"/>
              </w:rPr>
            </w:pPr>
            <w:r>
              <w:rPr>
                <w:rFonts w:ascii="Calibri" w:cs="Calibri" w:eastAsia="Calibri" w:hAnsi="Calibri"/>
                <w:sz w:val="18"/>
                <w:szCs w:val="18"/>
                <w:color w:val="auto"/>
              </w:rPr>
              <w:t>Rate of increase in future compensaton levels</w:t>
            </w:r>
          </w:p>
        </w:tc>
        <w:tc>
          <w:tcPr>
            <w:tcW w:w="31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4.50%</w:t>
            </w:r>
          </w:p>
        </w:tc>
      </w:tr>
      <w:tr>
        <w:trPr>
          <w:trHeight w:val="215"/>
        </w:trPr>
        <w:tc>
          <w:tcPr>
            <w:tcW w:w="5960" w:type="dxa"/>
            <w:vAlign w:val="bottom"/>
          </w:tcPr>
          <w:p>
            <w:pPr>
              <w:ind w:left="100"/>
              <w:spacing w:after="0" w:line="215" w:lineRule="exact"/>
              <w:rPr>
                <w:sz w:val="20"/>
                <w:szCs w:val="20"/>
                <w:color w:val="auto"/>
              </w:rPr>
            </w:pPr>
            <w:r>
              <w:rPr>
                <w:rFonts w:ascii="Calibri" w:cs="Calibri" w:eastAsia="Calibri" w:hAnsi="Calibri"/>
                <w:sz w:val="18"/>
                <w:szCs w:val="18"/>
                <w:color w:val="auto"/>
              </w:rPr>
              <w:t>Expected long-term rate of return on assets</w:t>
            </w:r>
          </w:p>
        </w:tc>
        <w:tc>
          <w:tcPr>
            <w:tcW w:w="31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6.75%</w:t>
            </w:r>
          </w:p>
        </w:tc>
      </w:tr>
      <w:tr>
        <w:trPr>
          <w:trHeight w:val="28"/>
        </w:trPr>
        <w:tc>
          <w:tcPr>
            <w:tcW w:w="596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23"/>
        </w:trPr>
        <w:tc>
          <w:tcPr>
            <w:tcW w:w="5960" w:type="dxa"/>
            <w:vAlign w:val="bottom"/>
            <w:tcBorders>
              <w:bottom w:val="single" w:sz="8" w:color="E5F1F8"/>
            </w:tcBorders>
            <w:shd w:val="clear" w:color="auto" w:fill="E5F1F8"/>
          </w:tcPr>
          <w:p>
            <w:pPr>
              <w:ind w:left="100"/>
              <w:spacing w:after="0" w:line="215" w:lineRule="exact"/>
              <w:rPr>
                <w:sz w:val="20"/>
                <w:szCs w:val="20"/>
                <w:color w:val="auto"/>
              </w:rPr>
            </w:pPr>
            <w:r>
              <w:rPr>
                <w:rFonts w:ascii="Calibri" w:cs="Calibri" w:eastAsia="Calibri" w:hAnsi="Calibri"/>
                <w:sz w:val="18"/>
                <w:szCs w:val="18"/>
                <w:color w:val="auto"/>
              </w:rPr>
              <w:t>Average remaining service period for partcipants</w:t>
            </w:r>
          </w:p>
        </w:tc>
        <w:tc>
          <w:tcPr>
            <w:tcW w:w="31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9 years</w:t>
            </w:r>
          </w:p>
        </w:tc>
      </w:tr>
      <w:tr>
        <w:trPr>
          <w:trHeight w:val="215"/>
        </w:trPr>
        <w:tc>
          <w:tcPr>
            <w:tcW w:w="5960" w:type="dxa"/>
            <w:vAlign w:val="bottom"/>
          </w:tcPr>
          <w:p>
            <w:pPr>
              <w:ind w:left="100"/>
              <w:spacing w:after="0" w:line="215" w:lineRule="exact"/>
              <w:rPr>
                <w:sz w:val="20"/>
                <w:szCs w:val="20"/>
                <w:color w:val="auto"/>
              </w:rPr>
            </w:pPr>
            <w:r>
              <w:rPr>
                <w:rFonts w:ascii="Calibri" w:cs="Calibri" w:eastAsia="Calibri" w:hAnsi="Calibri"/>
                <w:sz w:val="18"/>
                <w:szCs w:val="18"/>
                <w:color w:val="auto"/>
              </w:rPr>
              <w:t>Mortality Tables:</w:t>
            </w:r>
          </w:p>
        </w:tc>
        <w:tc>
          <w:tcPr>
            <w:tcW w:w="3140" w:type="dxa"/>
            <w:vAlign w:val="bottom"/>
          </w:tcPr>
          <w:p>
            <w:pPr>
              <w:spacing w:after="0"/>
              <w:rPr>
                <w:sz w:val="18"/>
                <w:szCs w:val="18"/>
                <w:color w:val="auto"/>
              </w:rPr>
            </w:pPr>
          </w:p>
        </w:tc>
      </w:tr>
      <w:tr>
        <w:trPr>
          <w:trHeight w:val="28"/>
        </w:trPr>
        <w:tc>
          <w:tcPr>
            <w:tcW w:w="596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23"/>
        </w:trPr>
        <w:tc>
          <w:tcPr>
            <w:tcW w:w="5960" w:type="dxa"/>
            <w:vAlign w:val="bottom"/>
            <w:tcBorders>
              <w:bottom w:val="single" w:sz="8" w:color="E5F1F8"/>
            </w:tcBorders>
            <w:shd w:val="clear" w:color="auto" w:fill="E5F1F8"/>
          </w:tcPr>
          <w:p>
            <w:pPr>
              <w:ind w:left="360"/>
              <w:spacing w:after="0" w:line="215" w:lineRule="exact"/>
              <w:rPr>
                <w:sz w:val="20"/>
                <w:szCs w:val="20"/>
                <w:color w:val="auto"/>
              </w:rPr>
            </w:pPr>
            <w:r>
              <w:rPr>
                <w:rFonts w:ascii="Calibri" w:cs="Calibri" w:eastAsia="Calibri" w:hAnsi="Calibri"/>
                <w:sz w:val="18"/>
                <w:szCs w:val="18"/>
                <w:color w:val="auto"/>
              </w:rPr>
              <w:t>Base Table</w:t>
            </w:r>
          </w:p>
        </w:tc>
        <w:tc>
          <w:tcPr>
            <w:tcW w:w="314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Pri-2012</w:t>
            </w:r>
          </w:p>
        </w:tc>
      </w:tr>
      <w:tr>
        <w:trPr>
          <w:trHeight w:val="215"/>
        </w:trPr>
        <w:tc>
          <w:tcPr>
            <w:tcW w:w="5960" w:type="dxa"/>
            <w:vAlign w:val="bottom"/>
          </w:tcPr>
          <w:p>
            <w:pPr>
              <w:ind w:left="360"/>
              <w:spacing w:after="0" w:line="215" w:lineRule="exact"/>
              <w:rPr>
                <w:sz w:val="20"/>
                <w:szCs w:val="20"/>
                <w:color w:val="auto"/>
              </w:rPr>
            </w:pPr>
            <w:r>
              <w:rPr>
                <w:rFonts w:ascii="Calibri" w:cs="Calibri" w:eastAsia="Calibri" w:hAnsi="Calibri"/>
                <w:sz w:val="18"/>
                <w:szCs w:val="18"/>
                <w:color w:val="auto"/>
              </w:rPr>
              <w:t>Mortality Improvement Scale</w:t>
            </w:r>
          </w:p>
        </w:tc>
        <w:tc>
          <w:tcPr>
            <w:tcW w:w="31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MP-2020</w:t>
            </w:r>
          </w:p>
        </w:tc>
      </w:tr>
    </w:tbl>
    <w:p>
      <w:pPr>
        <w:spacing w:after="0" w:line="18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Using these assumptons, the Company's pension beneft obligaton as of December 31, 2023 was $969.2 million and 2024 pension expense is expected to be approximately $21.0 million based on current demographics and structure of the plans. Changes in the underlying assumptons would have the following estmated impact on the obligaton and expected expense:</w:t>
      </w:r>
    </w:p>
    <w:p>
      <w:pPr>
        <w:spacing w:after="0" w:line="124" w:lineRule="exact"/>
        <w:rPr>
          <w:sz w:val="20"/>
          <w:szCs w:val="20"/>
          <w:color w:val="auto"/>
        </w:rPr>
      </w:pPr>
    </w:p>
    <w:p>
      <w:pPr>
        <w:ind w:left="1200" w:right="20" w:hanging="401"/>
        <w:spacing w:after="0" w:line="235" w:lineRule="auto"/>
        <w:tabs>
          <w:tab w:leader="none" w:pos="12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25-basis-point change in the discount rate would have changed the December 31, 2023 pension beneft obligaton by approximately $29.4 million.</w:t>
      </w:r>
    </w:p>
    <w:p>
      <w:pPr>
        <w:spacing w:after="0" w:line="64" w:lineRule="exact"/>
        <w:rPr>
          <w:rFonts w:ascii="Times New Roman" w:cs="Times New Roman" w:eastAsia="Times New Roman" w:hAnsi="Times New Roman"/>
          <w:sz w:val="18"/>
          <w:szCs w:val="18"/>
          <w:color w:val="auto"/>
        </w:rPr>
      </w:pPr>
    </w:p>
    <w:p>
      <w:pPr>
        <w:ind w:left="1200" w:hanging="401"/>
        <w:spacing w:after="0"/>
        <w:tabs>
          <w:tab w:leader="none" w:pos="12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25-basis-point change in the discount rate would change the 2024 expected expense by approximately $1.2 million.</w:t>
      </w:r>
    </w:p>
    <w:p>
      <w:pPr>
        <w:spacing w:after="0" w:line="68" w:lineRule="exact"/>
        <w:rPr>
          <w:rFonts w:ascii="Times New Roman" w:cs="Times New Roman" w:eastAsia="Times New Roman" w:hAnsi="Times New Roman"/>
          <w:sz w:val="18"/>
          <w:szCs w:val="18"/>
          <w:color w:val="auto"/>
        </w:rPr>
      </w:pPr>
    </w:p>
    <w:p>
      <w:pPr>
        <w:ind w:left="1200" w:hanging="401"/>
        <w:spacing w:after="0" w:line="235" w:lineRule="auto"/>
        <w:tabs>
          <w:tab w:leader="none" w:pos="12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25-basis-point change in the expected long-term rate of return on assets would change the 2024 expected expense by approximately $2.9 million.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made pension plan and SERP contributons of $31.8 million in 2023 and $352.1 million during the fve-year period ended December 31, 2023. In total, the Company’s pension plans are overfunded (fair value of plan assets exceeds the projected beneft obligaton) by $207.6 million at December 31, 2023. The Company’s projected beneft obligaton was $969.2 million at December 31, 2023, an increase of $111.6 million, or 13%, versus the prior year, driven by the lower discount rate compared with the prior year. The Company expects to make pension plan and SERP contributons of $32.7 million in 2024, of which $25.0 million is voluntary.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231140</wp:posOffset>
            </wp:positionV>
            <wp:extent cx="325755" cy="1968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6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2" w:name="page63"/>
    <w:bookmarkEnd w:id="62"/>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Estmated Efectve Income Tax Rate</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uses the liability method to determine its provision for income taxes. Accordingly, the annual provision for income taxes refects estmates of the current liability for income taxes, estmates of the tax efect of fnancial reportng versus tax basis diferences using statutory income tax rates and management’s judgment with respect to any valuaton allowances on deferred tax assets and accruals for uncertain tax positons. The result is management’s estmate of the annual efectve tax rate (the ETR).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Income for tax purposes is determined through the applicaton of the rules and regulatons under the United States Internal Revenue Code and the statutes of various foreign, state and local tax jurisdictons in which the Company conducts business. Changes in the statutory tax rates and/or tax laws in these jurisdictons can have a material impact on the ETR. The efect of these changes, if material, is recognized when the change is enacted.</w:t>
      </w:r>
    </w:p>
    <w:p>
      <w:pPr>
        <w:spacing w:after="0" w:line="111"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As prescribed by these tax regulatons, as well as U.S. generally accepted accountng principles, the manner in which revenues and expenses are recognized for fnancial reportng and income tax purposes is not always the same. Therefore, these diferences between the Company’s pretax income for fnancial reportng purposes and the amount of taxable income for income tax purposes are treated as either temporary or permanent, depending on their nature.</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Temporary diferences refect revenues or expenses that are recognized in fnancial reportng in one period and taxable income in a diferent period. An example of a temporary diference is the use of the straight-line method of depreciaton of machinery and equipment for fnancial reportng purposes and the use of an accelerated method for income tax purposes. Temporary diferences result in diferences between the fnancial reportng basis and tax basis of assets or liabilites and give rise to deferred tax assets or liabilites (</w:t>
      </w:r>
      <w:r>
        <w:rPr>
          <w:rFonts w:ascii="Calibri" w:cs="Calibri" w:eastAsia="Calibri" w:hAnsi="Calibri"/>
          <w:sz w:val="18"/>
          <w:szCs w:val="18"/>
          <w:i w:val="1"/>
          <w:iCs w:val="1"/>
          <w:color w:val="auto"/>
        </w:rPr>
        <w:t>i.e.</w:t>
      </w:r>
      <w:r>
        <w:rPr>
          <w:rFonts w:ascii="Calibri" w:cs="Calibri" w:eastAsia="Calibri" w:hAnsi="Calibri"/>
          <w:sz w:val="18"/>
          <w:szCs w:val="18"/>
          <w:color w:val="auto"/>
        </w:rPr>
        <w:t>, future tax deductons or future taxable income). Therefore, when temporary diferences occur, they are ofset by a corresponding change in a deferred tax account. As such, total income tax expense as reported in the Company’s consolidated statements of earnings is not changed by temporary diferences.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deferred tax liabilites, primarily for right-of-use assets, property, plant and equipment, goodwill and other intangibles, employee pension and postretrement benefts and partnerships and joint ventures. The deferred tax liabilites atributable to property, plant and equipment relate to accelerated depreciaton and depleton methods used for income tax purposes as compared with the straight-line and units-of-producton methods used for fnancial reportng purposes. These temporary diferences will reverse over the remaining useful lives of the related assets. The deferred tax liabilites atributable to goodwill arise as a result of amortzing goodwill for income tax purposes but not for fnancial reportng purposes. This temporary diference reverses when goodwill is writen of for fnancial reportng purposes, either through divesttures or an impairment charge. The tming of such events cannot be estmated. The deferred tax liabilites atributable to employee pension and postretrement benefts relate to deductons as plans are funded for income tax purposes compared with deductons for fnancial reportng purposes based on accountng standards. The reversal of these diferences depends on the tming of the Company’s contributons to the related beneft plans as compared to the annual expense for fnancial reportng purposes. The deferred tax liabilites atributable to partnerships and joint ventures relate to the diference between the tax basis of the investments in partnerships and joint ventures when compared to the basis for fnancial reportng purposes. The temporary diference reverses through diferences recognized over the life of the investment or through divestture.</w:t>
      </w:r>
    </w:p>
    <w:p>
      <w:pPr>
        <w:spacing w:after="0" w:line="1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deferred tax assets, primarily for inventories, valuaton reserves, stock-based compensaton awards, unrecognized losses related to the funded status of the pension and postretrement beneft plans, lease liabilites, net operatng loss carryforwards and tax credit carryforwards. The deferred tax assets atributable to inventories and valuaton reserves relate to the deducton of estmated cost reserves and various period expenses for fnancial reportng purposes that are deductble in a later period for income tax purposes. The reversal of these diferences depends on facts and circumstances, including the tming of deducton for income tax purposes for reserves previously established and the establishment of additonal reserves for fnancial reportng purposes. The deferred tax assets atributable to unvested stock-based compensaton awards relate to diferences in the tming of deductbility for fnancial reportng purposes versus income tax purposes. For fnancial reportng purposes, the fair value of the awards is deducted ratably over the requisite service period. For income tax purposes, no deducton is allowed untl the award is vested or no longer subject to substantal risk of forfeiture. The Company refects all excess tax benefts and tax defciencies in income tax expense as a discrete event in the period in which the award vests or setles, increasing volatlity in the income tax rate from period to period.</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Property, Plant and Equipment</w:t>
      </w:r>
    </w:p>
    <w:p>
      <w:pPr>
        <w:spacing w:after="0" w:line="56" w:lineRule="exact"/>
        <w:rPr>
          <w:sz w:val="20"/>
          <w:szCs w:val="20"/>
          <w:color w:val="auto"/>
        </w:rPr>
      </w:pPr>
    </w:p>
    <w:p>
      <w:pPr>
        <w:spacing w:after="0"/>
        <w:rPr>
          <w:sz w:val="20"/>
          <w:szCs w:val="20"/>
          <w:color w:val="auto"/>
        </w:rPr>
      </w:pPr>
      <w:r>
        <w:rPr>
          <w:rFonts w:ascii="Calibri" w:cs="Calibri" w:eastAsia="Calibri" w:hAnsi="Calibri"/>
          <w:sz w:val="18"/>
          <w:szCs w:val="18"/>
          <w:color w:val="auto"/>
        </w:rPr>
        <w:t>Net property, plant and equipment (excluding the amount allocated to assets held for sale) represented 41% of total assets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3" w:name="page64"/>
    <w:bookmarkEnd w:id="63"/>
    <w:p>
      <w:pPr>
        <w:ind w:left="370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Aggregates mineral reserves and mineral interests are components within the property, plant and equipment balance on the consolidated balance sheets. The Company evaluates aggregates reserves, including those used in the cement manufacturing process, in several ways, depending on the geology at a partcular locaton and whether the locaton is a greensite, an acquisiton or an existng operaton. Greensites require an extensive drilling program before any signifcant investment is made in terms of tme, site development or eforts to obtain appropriate zoning and permitng (see </w:t>
      </w:r>
      <w:r>
        <w:rPr>
          <w:rFonts w:ascii="Calibri" w:cs="Calibri" w:eastAsia="Calibri" w:hAnsi="Calibri"/>
          <w:sz w:val="18"/>
          <w:szCs w:val="18"/>
          <w:i w:val="1"/>
          <w:iCs w:val="1"/>
          <w:color w:val="auto"/>
        </w:rPr>
        <w:t>Environmental Regulaton and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Litgaton </w:t>
      </w:r>
      <w:r>
        <w:rPr>
          <w:rFonts w:ascii="Calibri" w:cs="Calibri" w:eastAsia="Calibri" w:hAnsi="Calibri"/>
          <w:sz w:val="18"/>
          <w:szCs w:val="18"/>
          <w:color w:val="auto"/>
        </w:rPr>
        <w:t>secton). The depth of overburden and the quality and quantty of the aggregates reserves are signifcant factors in determining whether to pursue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opening the site. Further, the estmated average selling price for products in a market is also a signifcant factor in concluding that reserves are economically mineable. If the Company’s analysis based on these factors is satsfactory, the total aggregates reserves available are calculated and a determinaton is made whether to open the locaton. Reserve evaluaton at existng locatons is typically performed to evaluate purchasing adjoining propertes, for quality control, calculatng overburden volumes and for mine planning. Reserve evaluaton of acquisitons may require a higher degree of sampling to verify the total reserves.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Well-ordered subsurface sampling of the underlying deposit is basic to determining reserves at any locaton. This subsurface sampling usually involves one or more types of drilling, determined by the nature of the material to be sampled and the objectve of the sampling. The Company’s objectves are to ensure that the underlying deposit meets aggregate specifcatons and that the total reserves on site are sufcient for mining and economically recoverable. Locatons underlain with hard rock deposits, such as granite and limestone, are drilled using the diamond core method, which provides the most useful and accurate samples of the deposit. Selected core samples are tested for soundness, abrasion resistance and other physical propertes relevant to the aggregate's use and standard to the aggregates industry. The number, depth and spacing of the holes are determined by the size of the site and the complexity of the site-specifc geology. Some geological factors that may afect the number and depth of holes include faults, folds, chemical irregularites, clay pockets, thickness of formatons and weathering.</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quality of reserves within a deposit can vary. Constructon contracts, for the infrastructure market in partcular, include specifcatons related to the aggregates material propertes. If a limitng characteristc in the deposit is discovered, the aggregates material may not meet the required specifcatons. Although it is possible that the aggregates material can stll be used for non-specifcaton uses, this can have an adverse impact on the Company’s ability to serve certain customers or the Company’s proftability. In additon, other factors can arise that infuence the Company’s ability to develop reserves, including geological occurrences, mining practces, environmental requirements and zoning ordinances.</w:t>
      </w:r>
    </w:p>
    <w:p>
      <w:pPr>
        <w:spacing w:after="0" w:line="112"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Locatons underlain with sand and gravel are typically drilled using auger or sonic methods, whereby a corkscrew or hollow-stem tooling brings up material from below the ground, which is then sampled. Deposits in these locatons are typically limited in thickness. Additonally, the deposit's quality and sand-to-gravel rato can vary both horizontally and vertcally. The extent and type of drilling is determined by the characteristcs and the contnuity of the deposit.</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determining the amount of reserves, evaluatons are completed by or under the supervision of qualifed person(s) using industry best practces and internal controls defned by the Company. The designatons the Company uses for reserve categories, and those recognized by the aggregate industry are summarized as follows:</w:t>
      </w:r>
    </w:p>
    <w:p>
      <w:pPr>
        <w:spacing w:after="0" w:line="111" w:lineRule="exact"/>
        <w:rPr>
          <w:sz w:val="20"/>
          <w:szCs w:val="20"/>
          <w:color w:val="auto"/>
        </w:rPr>
      </w:pPr>
    </w:p>
    <w:p>
      <w:pPr>
        <w:jc w:val="both"/>
        <w:ind w:left="800"/>
        <w:spacing w:after="0" w:line="235" w:lineRule="auto"/>
        <w:rPr>
          <w:sz w:val="20"/>
          <w:szCs w:val="20"/>
          <w:color w:val="auto"/>
        </w:rPr>
      </w:pPr>
      <w:r>
        <w:rPr>
          <w:rFonts w:ascii="Calibri" w:cs="Calibri" w:eastAsia="Calibri" w:hAnsi="Calibri"/>
          <w:sz w:val="18"/>
          <w:szCs w:val="18"/>
          <w:i w:val="1"/>
          <w:iCs w:val="1"/>
          <w:color w:val="auto"/>
        </w:rPr>
        <w:t xml:space="preserve">Mineral Reserves </w:t>
      </w:r>
      <w:r>
        <w:rPr>
          <w:rFonts w:ascii="Calibri" w:cs="Calibri" w:eastAsia="Calibri" w:hAnsi="Calibri"/>
          <w:sz w:val="18"/>
          <w:szCs w:val="18"/>
          <w:color w:val="auto"/>
        </w:rPr>
        <w:t>– Mineral reserves are an estmate of tonnage and grade or quality that, in the opinion of a qualifed person, can be the basis of</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an economically viable project. More specifcally, it is the economically mineable part of a mineral [deposit], which includes dilutng materials and allowances for losses that may occur when the material is mined or extracted. Reserves are categorized as Proven and Probable and represent net tons afer consideraton of applicable losses incurred during mining and plant processing.</w:t>
      </w:r>
    </w:p>
    <w:p>
      <w:pPr>
        <w:spacing w:after="0" w:line="111" w:lineRule="exact"/>
        <w:rPr>
          <w:sz w:val="20"/>
          <w:szCs w:val="20"/>
          <w:color w:val="auto"/>
        </w:rPr>
      </w:pPr>
    </w:p>
    <w:p>
      <w:pPr>
        <w:jc w:val="both"/>
        <w:ind w:left="800"/>
        <w:spacing w:after="0" w:line="235" w:lineRule="auto"/>
        <w:rPr>
          <w:sz w:val="20"/>
          <w:szCs w:val="20"/>
          <w:color w:val="auto"/>
        </w:rPr>
      </w:pPr>
      <w:r>
        <w:rPr>
          <w:rFonts w:ascii="Calibri" w:cs="Calibri" w:eastAsia="Calibri" w:hAnsi="Calibri"/>
          <w:sz w:val="18"/>
          <w:szCs w:val="18"/>
          <w:i w:val="1"/>
          <w:iCs w:val="1"/>
          <w:color w:val="auto"/>
        </w:rPr>
        <w:t xml:space="preserve">Proven Reserves </w:t>
      </w:r>
      <w:r>
        <w:rPr>
          <w:rFonts w:ascii="Calibri" w:cs="Calibri" w:eastAsia="Calibri" w:hAnsi="Calibri"/>
          <w:sz w:val="18"/>
          <w:szCs w:val="18"/>
          <w:color w:val="auto"/>
        </w:rPr>
        <w:t>– Proven reserves are the porton of a mineral deposit for which quantty and quality are estmated on the basis of conclusive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evidence from closely spaced drilling and sampling.</w:t>
      </w:r>
    </w:p>
    <w:p>
      <w:pPr>
        <w:spacing w:after="0" w:line="110" w:lineRule="exact"/>
        <w:rPr>
          <w:sz w:val="20"/>
          <w:szCs w:val="20"/>
          <w:color w:val="auto"/>
        </w:rPr>
      </w:pPr>
    </w:p>
    <w:p>
      <w:pPr>
        <w:jc w:val="both"/>
        <w:ind w:left="800"/>
        <w:spacing w:after="0" w:line="235" w:lineRule="auto"/>
        <w:rPr>
          <w:sz w:val="20"/>
          <w:szCs w:val="20"/>
          <w:color w:val="auto"/>
        </w:rPr>
      </w:pPr>
      <w:r>
        <w:rPr>
          <w:rFonts w:ascii="Calibri" w:cs="Calibri" w:eastAsia="Calibri" w:hAnsi="Calibri"/>
          <w:sz w:val="18"/>
          <w:szCs w:val="18"/>
          <w:i w:val="1"/>
          <w:iCs w:val="1"/>
          <w:color w:val="auto"/>
        </w:rPr>
        <w:t xml:space="preserve">Probable Reserves </w:t>
      </w:r>
      <w:r>
        <w:rPr>
          <w:rFonts w:ascii="Calibri" w:cs="Calibri" w:eastAsia="Calibri" w:hAnsi="Calibri"/>
          <w:sz w:val="18"/>
          <w:szCs w:val="18"/>
          <w:color w:val="auto"/>
        </w:rPr>
        <w:t>– Probable reserves are estmated on the basis of less geologic evidence but are considered adequate for determining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quantty and quality.</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Company’s proven and probable reserves refect reasonable economic and operatng constraints and also include reserves at the Company’s inactve and undeveloped sites, including some sites where permitng and zoning applicatons will not be fled untl warranted by expected future growth. The Company has historically been successful in obtaining and maintaining appropriate zoning and permitng (see </w:t>
      </w:r>
      <w:r>
        <w:rPr>
          <w:rFonts w:ascii="Calibri" w:cs="Calibri" w:eastAsia="Calibri" w:hAnsi="Calibri"/>
          <w:sz w:val="18"/>
          <w:szCs w:val="18"/>
          <w:i w:val="1"/>
          <w:iCs w:val="1"/>
          <w:color w:val="auto"/>
        </w:rPr>
        <w:t>Environmental Regulaton and Litgaton</w:t>
      </w:r>
      <w:r>
        <w:rPr>
          <w:rFonts w:ascii="Calibri" w:cs="Calibri" w:eastAsia="Calibri" w:hAnsi="Calibri"/>
          <w:sz w:val="18"/>
          <w:szCs w:val="18"/>
          <w:color w:val="auto"/>
        </w:rPr>
        <w:t xml:space="preserve"> secton). The Company bases estmates on the informaton known at the tme of determinaton and regularly reevaluates reserves whenever new informaton indicates a material change in reserves at one of the Company’s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68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4" w:name="page65"/>
    <w:bookmarkEnd w:id="64"/>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7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Mineral reserves and mineral interests, when acquired in connecton with a business combinaton, are valued using an excess earnings approach for the life of the proven and probable reserves.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uses proven and probable reserves as the denominator in its units-of-producton calculaton to record depleton expense for its mineral reserves and mineral interests. For 2023, depleton expense was $52.8 million.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begins capitalizing quarry development costs at a point when reserves are determined to be proven or probable, economically mineable and when demand supports investment in the market. Capitalizaton of these costs ceases when producton commences. Capitalized quarry development costs are classifed as land improvements.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New mining areas may be developed at existng quarries in order to access additonal reserves. When this occurs, management reviews the facts and circumstances of each situaton in making a determinaton as to the appropriateness of capitalizing or expensing the related pre-producton development costs. If the additonal mining locaton operates in a separate and distnct area of a quarry, the costs are capitalized as quarry development costs and depreciated over the life of the uncovered reserves. Further, a separate asset retrement obligaton is created for additonal mining areas when the liability is incurred. Once a new mining area enters the producton phase, all post-producton stripping costs are expensed as incurred as periodic inventory producton costs.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Useful lives of the assets can vary depending on factors, including producton levels, geographic locaton, portability and maintenance practces. Additonally, climate and inclement weather can reduce the useful life of an asset. Historically, the Company has not recognized signifcant losses on the disposal or retrement of fxed assets.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Forward-Looking Statements – Safe Harbor Provisions Under the Private Securites Litgaton Reform Act of 1995</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you are interested in Martn Marieta stock, management recommends that, at a minimum, you read the Company’s current annual report and Forms 10-K, 10-Q and 8-K reports to the Securites and Exchange Commission (SEC) over the past year. The Company’s recent proxy statement for the annual meetng of shareholders also contains important informaton. These and other materials that have been fled with the SEC are accessible through the Company’s website at www.martnmarieta.com and are also available at the SEC’s website at www.sec.gov. You may also write or call the Company’s Corporate Secretary, who will provide copies of such reports.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Investors are cautoned that all statements in this Annual Report that relate to the future involve risks and uncertaintes, and are based on assumptons that the Company believes in good faith are reasonable but which may be materially diferent from actual results. These statements, which are forward-looking statements within the meaning of Secton 21E of the Securites Exchange Act of 1934 and 27A of the Securites Act of 1933, and are made pursuant to the safe harbor provisions of the Private Securites Litgaton Reform Act of 1995, provide the investor with the Company’s expectatons or forecasts of future events. You can identfy these statements by the fact that they do not relate only to historical or current facts. They may use words such as “antcipate,” “may,” “expect,” “should,” “believe,” “project,” “intend,” “will,” and other words of similar meaning in connecton with future events or future operatng or fnancial performance. In additon to the statements included in this report, we may from tme to tme make other oral or writen forward-looking statements in other flings under the Securites Exchange Act of 1934 or in other public disclosures. Any or all of management’s forward-looking statements here and in other publicatons may turn out to be wrong.</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These forward-looking statements are subject to risks and uncertaintes, and are based on assumptons that may be materially diferent from actual results, and include, but are not limited to:</w:t>
      </w:r>
    </w:p>
    <w:p>
      <w:pPr>
        <w:spacing w:after="0" w:line="118" w:lineRule="exact"/>
        <w:rPr>
          <w:sz w:val="20"/>
          <w:szCs w:val="20"/>
          <w:color w:val="auto"/>
        </w:rPr>
      </w:pPr>
    </w:p>
    <w:p>
      <w:pPr>
        <w:ind w:left="800" w:hanging="397"/>
        <w:spacing w:after="0"/>
        <w:tabs>
          <w:tab w:leader="none" w:pos="8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ability of the Company to face challenges, including shipment declines resultng from economic events beyond the Company's control;</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widespread decline in aggregates pricing, including a decline in aggregates shipment volume negatvely afectng aggregates price;</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history of both cement and ready mixed concrete being subject to signifcant changes in supply, demand and price fuctuatons;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terminaton, capping and/or reducton or suspension of the federal and/or state fuel tax(es) or other revenue related to public constructon;</w:t>
      </w:r>
    </w:p>
    <w:p>
      <w:pPr>
        <w:spacing w:after="0" w:line="68"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level and tming of federal, state or local transportaton or infrastructure or public projects funding, most partcularly in Texas, North Carolina, Colorado, California, Georgia, Minnesota, Arizona, Iowa, Florida and 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5" w:name="page66"/>
    <w:bookmarkEnd w:id="65"/>
    <w:p>
      <w:pPr>
        <w:ind w:left="368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7 – Management’s Discussion and Analysis of Financial Conditon and Results of Operatons</w:t>
      </w:r>
    </w:p>
    <w:p>
      <w:pPr>
        <w:spacing w:after="0" w:line="199" w:lineRule="exact"/>
        <w:rPr>
          <w:sz w:val="20"/>
          <w:szCs w:val="20"/>
          <w:color w:val="auto"/>
        </w:rPr>
      </w:pPr>
    </w:p>
    <w:p>
      <w:pPr>
        <w:ind w:left="780" w:hanging="397"/>
        <w:spacing w:after="0" w:line="235" w:lineRule="auto"/>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United States Congress’ inability to reach agreement among themselves or with the Executve Branch on policy issues that impact the federal budget;</w:t>
      </w:r>
    </w:p>
    <w:p>
      <w:pPr>
        <w:spacing w:after="0" w:line="64"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ability of states and/or other enttes to fnance approved projects either with tax revenues or alternatve fnancing structures;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levels of constructon spending in the markets the Company serves;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reducton in defense spending and the subsequent impact on constructon actvity on or near military bases;</w:t>
      </w:r>
    </w:p>
    <w:p>
      <w:pPr>
        <w:spacing w:after="0" w:line="68"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decline in energy-related constructon actvity resultng from a sustained period of low global oil prices or changes in oil producton paterns or capital spending, partcularly in Texas and West Virginia;</w:t>
      </w:r>
    </w:p>
    <w:p>
      <w:pPr>
        <w:spacing w:after="0" w:line="69"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sustained high residental mortgage interest rates and other factors that have resulted in a slowdown in residental constructon in some geographies;</w:t>
      </w:r>
    </w:p>
    <w:p>
      <w:pPr>
        <w:spacing w:after="0" w:line="69" w:lineRule="exact"/>
        <w:rPr>
          <w:rFonts w:ascii="Times New Roman" w:cs="Times New Roman" w:eastAsia="Times New Roman" w:hAnsi="Times New Roman"/>
          <w:sz w:val="18"/>
          <w:szCs w:val="18"/>
          <w:color w:val="auto"/>
        </w:rPr>
      </w:pPr>
    </w:p>
    <w:p>
      <w:pPr>
        <w:jc w:val="both"/>
        <w:ind w:left="780" w:hanging="397"/>
        <w:spacing w:after="0" w:line="235" w:lineRule="auto"/>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unfavorable weather conditons, partcularly Atlantc Ocean, Pacifc Ocean and Gulf of Mexico storm and hurricane actvity, wildfres, the late start to spring or the early onset of winter and the impact of a drought or excessive rainfall in the markets served by the Company, any of which can signifcantly afect producton schedules, volumes, product and/or geographic mix and proftability;</w:t>
      </w:r>
    </w:p>
    <w:p>
      <w:pPr>
        <w:spacing w:after="0" w:line="70" w:lineRule="exact"/>
        <w:rPr>
          <w:rFonts w:ascii="Times New Roman" w:cs="Times New Roman" w:eastAsia="Times New Roman" w:hAnsi="Times New Roman"/>
          <w:sz w:val="18"/>
          <w:szCs w:val="18"/>
          <w:color w:val="auto"/>
        </w:rPr>
      </w:pPr>
    </w:p>
    <w:p>
      <w:pPr>
        <w:jc w:val="both"/>
        <w:ind w:left="780" w:hanging="397"/>
        <w:spacing w:after="0" w:line="235" w:lineRule="auto"/>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volatlity of fuel costs and energy, partcularly diesel fuel, electricity, natural gas and the impact on the cost, or the availability generally, of other consumables, namely steel, explosives, tres and conveyor belts, and with respect to the Company’s Magnesia Specialtes business, natural gas;</w:t>
      </w:r>
    </w:p>
    <w:p>
      <w:pPr>
        <w:spacing w:after="0" w:line="65"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contnued increases in the cost of other repair and supply parts;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constructon labor shortages and/or supply chain challenges;</w:t>
      </w:r>
    </w:p>
    <w:p>
      <w:pPr>
        <w:spacing w:after="0" w:line="68" w:lineRule="exact"/>
        <w:rPr>
          <w:rFonts w:ascii="Times New Roman" w:cs="Times New Roman" w:eastAsia="Times New Roman" w:hAnsi="Times New Roman"/>
          <w:sz w:val="18"/>
          <w:szCs w:val="18"/>
          <w:color w:val="auto"/>
        </w:rPr>
      </w:pPr>
    </w:p>
    <w:p>
      <w:pPr>
        <w:ind w:left="780" w:right="20" w:hanging="397"/>
        <w:spacing w:after="0" w:line="235" w:lineRule="auto"/>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unexpected equipment failures, unscheduled maintenance, industrial accident or other prolonged and/or signifcant disrupton to producton facilites;</w:t>
      </w:r>
    </w:p>
    <w:p>
      <w:pPr>
        <w:spacing w:after="0" w:line="64"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resiliency and potental declines of the Company's various constructon end-use markets;</w:t>
      </w:r>
    </w:p>
    <w:p>
      <w:pPr>
        <w:spacing w:after="0" w:line="68" w:lineRule="exact"/>
        <w:rPr>
          <w:rFonts w:ascii="Times New Roman" w:cs="Times New Roman" w:eastAsia="Times New Roman" w:hAnsi="Times New Roman"/>
          <w:sz w:val="18"/>
          <w:szCs w:val="18"/>
          <w:color w:val="auto"/>
        </w:rPr>
      </w:pPr>
    </w:p>
    <w:p>
      <w:pPr>
        <w:jc w:val="both"/>
        <w:ind w:left="780" w:hanging="397"/>
        <w:spacing w:after="0" w:line="235" w:lineRule="auto"/>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potental negatve impacts of new waves of outbreak of diseases, epidemic or pandemic, or similar public health threat, or fear of such event and its related economic or societal response, including any impact on the Company's suppliers, customers, or other business partners as well as on its employees;</w:t>
      </w:r>
    </w:p>
    <w:p>
      <w:pPr>
        <w:spacing w:after="0" w:line="65"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performance of the United States economy;</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increasing governmental regulaton, including environmental laws and climate change regulatons at the federal and state levels;</w:t>
      </w:r>
    </w:p>
    <w:p>
      <w:pPr>
        <w:spacing w:after="0" w:line="68" w:lineRule="exact"/>
        <w:rPr>
          <w:rFonts w:ascii="Times New Roman" w:cs="Times New Roman" w:eastAsia="Times New Roman" w:hAnsi="Times New Roman"/>
          <w:sz w:val="18"/>
          <w:szCs w:val="18"/>
          <w:color w:val="auto"/>
        </w:rPr>
      </w:pPr>
    </w:p>
    <w:p>
      <w:pPr>
        <w:jc w:val="both"/>
        <w:ind w:left="780" w:hanging="397"/>
        <w:spacing w:after="0" w:line="235" w:lineRule="auto"/>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transportaton availability or a sustained reducton in capital investment by the railroads, notably the availability of railcars, locomotve power and the conditon of rail infrastructure to move trains to supply the Company’s Texas, Colorado, Florida, Carolinas and Gulf Coast markets, including the movement of essental dolomitc lime for magnesia chemicals to the Company’s plant in Manistee, Michigan and its customers;</w:t>
      </w:r>
    </w:p>
    <w:p>
      <w:pPr>
        <w:spacing w:after="0" w:line="70"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increased transportaton costs, including increases from higher or fuctuatng passed-through energy costs or fuel surcharges, and other costs to comply with tghtening regulatons, as well as higher volumes of rail and water shipments;</w:t>
      </w:r>
    </w:p>
    <w:p>
      <w:pPr>
        <w:spacing w:after="0" w:line="64"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availability of trucks and licensed drivers for transport of the Company’s materials;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availability and cost of constructon equipment in the United States;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weakening in the steel industry markets served by the Company’s dolomitc lime products;</w:t>
      </w:r>
    </w:p>
    <w:p>
      <w:pPr>
        <w:spacing w:after="0" w:line="68"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potental impact on costs, supply chain, oil and gas prices, or other maters relatng to geopolitcal conficts, including the war between Russia and Ukraine, the war in Israel and related confict in the Middle East and the confict between China and Taiwan;</w:t>
      </w:r>
    </w:p>
    <w:p>
      <w:pPr>
        <w:spacing w:after="0" w:line="64"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trade disputes with one or more natons impactng the U.S. economy, including the impact of tarifs on the steel industry;</w:t>
      </w:r>
    </w:p>
    <w:p>
      <w:pPr>
        <w:spacing w:after="0" w:line="68" w:lineRule="exact"/>
        <w:rPr>
          <w:rFonts w:ascii="Times New Roman" w:cs="Times New Roman" w:eastAsia="Times New Roman" w:hAnsi="Times New Roman"/>
          <w:sz w:val="18"/>
          <w:szCs w:val="18"/>
          <w:color w:val="auto"/>
        </w:rPr>
      </w:pPr>
    </w:p>
    <w:p>
      <w:pPr>
        <w:ind w:left="780" w:hanging="397"/>
        <w:spacing w:after="0" w:line="235" w:lineRule="auto"/>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unplanned changes in costs or realignment of customers that introduce volatlity to earnings, including that of the Magnesia Specialtes business that is running at capacity;</w:t>
      </w:r>
    </w:p>
    <w:p>
      <w:pPr>
        <w:spacing w:after="0" w:line="64"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proper functoning of informaton technology and automated operatng systems to manage or support operatons;</w:t>
      </w:r>
    </w:p>
    <w:p>
      <w:pPr>
        <w:spacing w:after="0" w:line="63" w:lineRule="exact"/>
        <w:rPr>
          <w:rFonts w:ascii="Times New Roman" w:cs="Times New Roman" w:eastAsia="Times New Roman" w:hAnsi="Times New Roman"/>
          <w:sz w:val="18"/>
          <w:szCs w:val="18"/>
          <w:color w:val="auto"/>
        </w:rPr>
      </w:pPr>
    </w:p>
    <w:p>
      <w:pPr>
        <w:ind w:left="780" w:hanging="397"/>
        <w:spacing w:after="0"/>
        <w:tabs>
          <w:tab w:leader="none" w:pos="78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infaton and its efect on both producton and interest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6764655</wp:posOffset>
            </wp:positionH>
            <wp:positionV relativeFrom="paragraph">
              <wp:posOffset>92075</wp:posOffset>
            </wp:positionV>
            <wp:extent cx="325755" cy="1974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591820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0" w:right="339" w:bottom="1440" w:gutter="0" w:footer="0" w:header="0"/>
        </w:sectPr>
      </w:pPr>
    </w:p>
    <w:bookmarkStart w:id="66" w:name="page67"/>
    <w:bookmarkEnd w:id="66"/>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 – Management’s Discussion and Analysis of Financial Conditon and Results of Operatons</w:t>
      </w:r>
    </w:p>
    <w:p>
      <w:pPr>
        <w:spacing w:after="0" w:line="182" w:lineRule="exact"/>
        <w:rPr>
          <w:sz w:val="20"/>
          <w:szCs w:val="20"/>
          <w:color w:val="auto"/>
        </w:rPr>
      </w:pPr>
    </w:p>
    <w:p>
      <w:pPr>
        <w:ind w:left="800" w:hanging="397"/>
        <w:spacing w:after="0"/>
        <w:tabs>
          <w:tab w:leader="none" w:pos="8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concentraton of customers in constructon markets and the increased risk of potental losses on customer receivables;</w:t>
      </w:r>
    </w:p>
    <w:p>
      <w:pPr>
        <w:spacing w:after="0" w:line="68"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impact of the level of demand in the Company’s end-use markets, producton levels and management of producton costs on the operatng leverage and therefore proftability of the Company;</w:t>
      </w:r>
    </w:p>
    <w:p>
      <w:pPr>
        <w:spacing w:after="0" w:line="69"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possibility that the expected synergies from acquisitons will not be realized or will not be realized within the expected tme period, including achieving antcipated proftability to maintain compliance with the Company’s leverage rato debt covenant;</w:t>
      </w:r>
    </w:p>
    <w:p>
      <w:pPr>
        <w:spacing w:after="0" w:line="64"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strategic benefts, outlook, performance and opportunites expected as a result of acquisitons and portolio optmizaton;</w:t>
      </w:r>
    </w:p>
    <w:p>
      <w:pPr>
        <w:spacing w:after="0" w:line="68" w:lineRule="exact"/>
        <w:rPr>
          <w:rFonts w:ascii="Times New Roman" w:cs="Times New Roman" w:eastAsia="Times New Roman" w:hAnsi="Times New Roman"/>
          <w:sz w:val="18"/>
          <w:szCs w:val="18"/>
          <w:color w:val="auto"/>
        </w:rPr>
      </w:pPr>
    </w:p>
    <w:p>
      <w:pPr>
        <w:ind w:left="800" w:hanging="397"/>
        <w:spacing w:after="0" w:line="235" w:lineRule="auto"/>
        <w:tabs>
          <w:tab w:leader="none" w:pos="8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tax laws, the interpretaton of such laws and/or administratve practces, including acquisitons or divesttures, that would increase the Company’s tax rate;</w:t>
      </w:r>
    </w:p>
    <w:p>
      <w:pPr>
        <w:spacing w:after="0" w:line="64"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violaton of the Company’s debt covenant if price and/or volumes return to previous levels of instability;</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downward pressure on the Company’s common stock price and its impact on goodwill impairment evaluatons;</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possibility of a reducton of the Company’s credit ratng to non-investment grade; and</w:t>
      </w:r>
    </w:p>
    <w:p>
      <w:pPr>
        <w:spacing w:after="0" w:line="63" w:lineRule="exact"/>
        <w:rPr>
          <w:rFonts w:ascii="Times New Roman" w:cs="Times New Roman" w:eastAsia="Times New Roman" w:hAnsi="Times New Roman"/>
          <w:sz w:val="18"/>
          <w:szCs w:val="18"/>
          <w:color w:val="auto"/>
        </w:rPr>
      </w:pPr>
    </w:p>
    <w:p>
      <w:pPr>
        <w:ind w:left="800" w:hanging="397"/>
        <w:spacing w:after="0"/>
        <w:tabs>
          <w:tab w:leader="none" w:pos="80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other risk factors listed from tme to tme found in the Company’s flings with the SEC.</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 increased highway constructon funding pressures resultng from either federal or state issues can afect proftability. If these negatvely afect transportaton budgets more than in the past, constructon spending could be reduced. Cement is subject to cyclical supply and demand and price fuctuatons.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principal business serves customers in constructon markets. This concentraton could increase the risk of potental losses on customer receivables; however, payment bonds normally posted on public projects, together with lien rights on private projects, mitgate the risk of uncollectble receivables. The level of demand in the Company’s end-use markets, producton levels and the management of producton costs will afect the operatng leverage of the Building Materials business and, therefore, proftability. Producton costs in the Building Materials business are also sensitve to energy and raw material prices, both directly and indirectly. Diesel fuel, natural gas, coal and other consumables change producton costs directly through consumpton or indirectly by increased energy-related input costs, such as steel, explosives, tres and conveyor belts. Fluctuatng diesel fuel pricing also afects transportaton costs, primarily through fuel surcharges in the Company’s long-haul distributon network. The Magnesia Specialtes business is sensitve to changes in domestc steel capacity utlizaton as well as the absolute price and fuctuaton in the cost of natural gas.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Transportaton in the Company’s long-haul network, partcularly the supply of railcars and locomotve power and conditon of rail infrastructure to move trains, afects the Company’s efcient transportaton of aggregates products in certain markets, most notably Texas, Colorado, Florida, North Carolina and the Gulf Coast. In additon, availability of railcars and locomotves afects the Company’s movement of essental dolomitc lime for magnesia chemicals to both the Company’s plant in Manistee, Michigan, and its customers. The availability of trucks, drivers and railcars to transport the Company’s product, partcularly in markets experiencing high growth and increased demand, is also a risk and pressures the associated costs.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All of the Company’s businesses are also subject to weather-related risks that can signifcantly afect producton schedules and proftability. The frst and fourth quarters are most adversely afected by winter weather. Hurricane and cyclone actvity in the Atlantc Ocean, Pacifc Ocean and Gulf Coast generally is most actve during the second, third and fourth quarters.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Risks also include shipment declines resultng from economic events beyond the Company’s control.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the foregoing, other factors that could cause actual results to difer materially from the forward-looking statements in this Annual Report include but are not limited to those listed above in Item 1, “</w:t>
      </w:r>
      <w:r>
        <w:rPr>
          <w:rFonts w:ascii="Calibri" w:cs="Calibri" w:eastAsia="Calibri" w:hAnsi="Calibri"/>
          <w:sz w:val="18"/>
          <w:szCs w:val="18"/>
          <w:u w:val="single" w:color="auto"/>
          <w:color w:val="007DC6"/>
        </w:rPr>
        <w:t>Business – Competton</w:t>
      </w:r>
      <w:r>
        <w:rPr>
          <w:rFonts w:ascii="Calibri" w:cs="Calibri" w:eastAsia="Calibri" w:hAnsi="Calibri"/>
          <w:sz w:val="18"/>
          <w:szCs w:val="18"/>
          <w:color w:val="auto"/>
        </w:rPr>
        <w:t>,” Item 1A, “</w:t>
      </w:r>
      <w:r>
        <w:rPr>
          <w:rFonts w:ascii="Calibri" w:cs="Calibri" w:eastAsia="Calibri" w:hAnsi="Calibri"/>
          <w:sz w:val="18"/>
          <w:szCs w:val="18"/>
          <w:u w:val="single" w:color="auto"/>
          <w:color w:val="007DC6"/>
        </w:rPr>
        <w:t>Risk Factors</w:t>
      </w:r>
      <w:r>
        <w:rPr>
          <w:rFonts w:ascii="Calibri" w:cs="Calibri" w:eastAsia="Calibri" w:hAnsi="Calibri"/>
          <w:sz w:val="18"/>
          <w:szCs w:val="18"/>
          <w:color w:val="auto"/>
        </w:rPr>
        <w:t>,” and “</w:t>
      </w:r>
      <w:r>
        <w:rPr>
          <w:rFonts w:ascii="Calibri" w:cs="Calibri" w:eastAsia="Calibri" w:hAnsi="Calibri"/>
          <w:sz w:val="18"/>
          <w:szCs w:val="18"/>
          <w:u w:val="single" w:color="auto"/>
          <w:color w:val="007DC6"/>
        </w:rPr>
        <w:t>Note A: Accountng Policies</w:t>
      </w:r>
      <w:r>
        <w:rPr>
          <w:rFonts w:ascii="Calibri" w:cs="Calibri" w:eastAsia="Calibri" w:hAnsi="Calibri"/>
          <w:sz w:val="18"/>
          <w:szCs w:val="18"/>
          <w:color w:val="auto"/>
        </w:rPr>
        <w:t>” and “</w:t>
      </w:r>
      <w:r>
        <w:rPr>
          <w:rFonts w:ascii="Calibri" w:cs="Calibri" w:eastAsia="Calibri" w:hAnsi="Calibri"/>
          <w:sz w:val="18"/>
          <w:szCs w:val="18"/>
          <w:u w:val="single" w:color="auto"/>
          <w:color w:val="007DC6"/>
        </w:rPr>
        <w:t>Note N:</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Commitments and Contngencies</w:t>
      </w:r>
      <w:r>
        <w:rPr>
          <w:rFonts w:ascii="Calibri" w:cs="Calibri" w:eastAsia="Calibri" w:hAnsi="Calibri"/>
          <w:sz w:val="18"/>
          <w:szCs w:val="18"/>
          <w:color w:val="000000"/>
        </w:rPr>
        <w:t>” of the “</w:t>
      </w:r>
      <w:r>
        <w:rPr>
          <w:rFonts w:ascii="Calibri" w:cs="Calibri" w:eastAsia="Calibri" w:hAnsi="Calibri"/>
          <w:sz w:val="18"/>
          <w:szCs w:val="18"/>
          <w:u w:val="single" w:color="auto"/>
          <w:color w:val="007DC6"/>
        </w:rPr>
        <w:t>Notes to Financial Statements</w:t>
      </w:r>
      <w:r>
        <w:rPr>
          <w:rFonts w:ascii="Calibri" w:cs="Calibri" w:eastAsia="Calibri" w:hAnsi="Calibri"/>
          <w:sz w:val="18"/>
          <w:szCs w:val="18"/>
          <w:color w:val="000000"/>
        </w:rPr>
        <w:t>” of the audited consolidated fnancial statements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2724150</wp:posOffset>
            </wp:positionH>
            <wp:positionV relativeFrom="paragraph">
              <wp:posOffset>-154940</wp:posOffset>
            </wp:positionV>
            <wp:extent cx="105727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05727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4337050</wp:posOffset>
            </wp:positionH>
            <wp:positionV relativeFrom="paragraph">
              <wp:posOffset>-154940</wp:posOffset>
            </wp:positionV>
            <wp:extent cx="27959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2795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32581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9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You should consider these forward-looking statements in light of risk factors discussed in the Company’s Annual Report on Form 10-K for the year ended December 31, 2023 and other flings made with the SEC. All of the Company’s forward-looking statements should be considered in light of these factors. In additon, other risks and uncertaintes not presently known to the Company or that the Company considers immaterial could afect the accuracy of its forward-looking statements, or adversely afect or be material to the Company. All forward-looking statements are made as of the date of fling or publicaton and we assume no obligaton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68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7" w:name="page68"/>
    <w:bookmarkEnd w:id="67"/>
    <w:p>
      <w:pPr>
        <w:ind w:left="5620"/>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7A – Quanttatve and Qualitatve Disclosures About Market Risk</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7A – QUANTITATIVE AND QUALITATIVE DISCLOSURES ABOUT MARKET RISK</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 discussed earlier, the Company’s operatons are highly dependent upon the interest rate-sensitve constructon and steelmaking industries. Consequently, these marketplaces could experience lower levels of economic actvity in an environment of rising interest rates or escalatng costs (see </w:t>
      </w:r>
      <w:r>
        <w:rPr>
          <w:rFonts w:ascii="Calibri" w:cs="Calibri" w:eastAsia="Calibri" w:hAnsi="Calibri"/>
          <w:sz w:val="18"/>
          <w:szCs w:val="18"/>
          <w:i w:val="1"/>
          <w:iCs w:val="1"/>
          <w:color w:val="auto"/>
        </w:rPr>
        <w:t>Business Environment</w:t>
      </w:r>
      <w:r>
        <w:rPr>
          <w:rFonts w:ascii="Calibri" w:cs="Calibri" w:eastAsia="Calibri" w:hAnsi="Calibri"/>
          <w:sz w:val="18"/>
          <w:szCs w:val="18"/>
          <w:color w:val="auto"/>
        </w:rPr>
        <w:t xml:space="preserve"> secton included under Item 7 – MD&amp;A of this Form 10-K).</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Management has considered the current economic environment and its potental impact to the Company’s business. Demand for aggregates products, partcularly in the infrastructure constructon market, is afected by federal, state and local budget and defcit issues. Further, delays or cancellatons of capital projects in the nonresidental and residental constructon markets could occur if companies and consumers are unable to obtain afordable fnancing for constructon projects or if consumer confdence is eroded by economic uncertainty.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Demand in the nonresidental and residental constructon markets, which combined accounted for 59% of the Company's 2023 aggregates shipments, is afected by interest rates. During 2023, the Federal Reserve raised the target federal funds rate 100 basis points.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Aside from these inherent risks from within its operatons, the Company’s earnings are also afected by changes in short-term interest rates and changes in enacted tax laws.</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Variable-Rate Borrowing Facilites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2023, the Company had an $800.0 million Revolving Facility and a $400.0 million Trade Receivable Facility. Borrowings under these facilites bear interest at a variable interest rate. As of December 31, 2023, the Company did not have any outstanding variable-rate debt. However, any future borrowings under the credit facilites or outstanding variable-rate debt are exposed to interest rate risk.</w:t>
      </w:r>
    </w:p>
    <w:p>
      <w:pPr>
        <w:spacing w:after="0" w:line="187"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Pension Expense</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Company’s results of operatons are afected by its pension expense. Assumptons that afect pension expense include the discount rate and, for the qualifed defned beneft pension plan only, the expected long-term rate of return on pension assets. Therefore, the Company has interest rate risk associated with these factors. The impact of hypothetcal changes in these assumptons on the Company’s annual pension expense and accrued pension obligaton is discussed in the </w:t>
      </w:r>
      <w:r>
        <w:rPr>
          <w:rFonts w:ascii="Calibri" w:cs="Calibri" w:eastAsia="Calibri" w:hAnsi="Calibri"/>
          <w:sz w:val="18"/>
          <w:szCs w:val="18"/>
          <w:i w:val="1"/>
          <w:iCs w:val="1"/>
          <w:color w:val="auto"/>
        </w:rPr>
        <w:t>Critcal Accountng Policies and Estmates – Pension Expense – Selecton of Assumptons</w:t>
      </w:r>
      <w:r>
        <w:rPr>
          <w:rFonts w:ascii="Calibri" w:cs="Calibri" w:eastAsia="Calibri" w:hAnsi="Calibri"/>
          <w:sz w:val="18"/>
          <w:szCs w:val="18"/>
          <w:color w:val="auto"/>
        </w:rPr>
        <w:t xml:space="preserve"> secton included under Item 7 – MD&amp;A of this Form 10-K.</w:t>
      </w:r>
    </w:p>
    <w:p>
      <w:pPr>
        <w:spacing w:after="0" w:line="17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Income Tax</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changes in enacted tax laws, rules or regulatory or judicial interpretaton, or any change in the pronouncements relatng to accountng for income taxes, could materially impact the Company's efectve tax rate, tax payments, fnancial conditon and results of operatons.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Energy Costs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Energy costs, including diesel fuel, natural gas, electricity, coal, petroleum coke and liquid asphalt, represent signifcant producton costs of the Company. The Company may be unable to pass along increases in the costs of energy to customers in the form of price increases for the Company’s products. The cement product line and Magnesia Specialtes business each have varying fxed-price agreements for a porton of their future energy requirements. A hypothetcal 10% change in the Company’s energy prices in 2024 as compared with 2023, assuming constant volumes, would change 2024 energy expense by $40.5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231140</wp:posOffset>
            </wp:positionV>
            <wp:extent cx="325755" cy="1968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67"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8" w:name="page69"/>
    <w:bookmarkEnd w:id="68"/>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7A – Quanttatve and Qualitatve Disclosures About Market Risk</w:t>
      </w:r>
    </w:p>
    <w:p>
      <w:pPr>
        <w:spacing w:after="0" w:line="16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Commodity Risk</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is a commodity and competton is based principally on price, which is highly sensitve to changes in supply and demand. Prices are ofen subject to material changes in response to relatvely minor fuctuatons in supply and demand, general economic conditons and other market conditons beyond the Company’s control. Increases in the producton capacity of industry partcipants or increases in cement imports tend to create an oversupply of such products leading to an imbalance between supply and demand, which can have a negatve impact on product prices. There can be no assurance that product prices will not decline in the future or that such declines will not have a material adverse efect on the Company’s business, fnancial conditon and results of operatons. Using full-year 2023 cement revenues of $725.5 million as a baseline, a hypothetcal 10% change in average selling price of the cement product line would impact full-year cement product line revenues by $72.6 million.</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Cement is a key raw material in the producton of ready mixed concrete. The Company may be unable to pass along increases in the costs of cement and raw materials to customers in the form of price increases for the Company’s products. A hypothetcal 10% change in cement costs in 2024 compared with 2023, assuming constant volumes, would change the ready mixed concrete product line cost of sales by $29.2 million. While increases in cement pricing may negatvely impact the proftability of the Company's ready mixed concrete operatons, the cement business would beneft, although the positve impact may not refect a direct correlaton to the impact to the ready mixed concrete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74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308"/>
        </w:trPr>
        <w:tc>
          <w:tcPr>
            <w:tcW w:w="17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0" w:type="dxa"/>
            <w:vAlign w:val="bottom"/>
            <w:gridSpan w:val="2"/>
          </w:tcPr>
          <w:p>
            <w:pPr>
              <w:jc w:val="right"/>
              <w:spacing w:after="0"/>
              <w:rPr>
                <w:sz w:val="20"/>
                <w:szCs w:val="20"/>
                <w:color w:val="auto"/>
              </w:rPr>
            </w:pPr>
            <w:r>
              <w:rPr>
                <w:rFonts w:ascii="Calibri" w:cs="Calibri" w:eastAsia="Calibri" w:hAnsi="Calibri"/>
                <w:sz w:val="18"/>
                <w:szCs w:val="18"/>
                <w:color w:val="auto"/>
                <w:w w:val="98"/>
              </w:rPr>
              <w:t xml:space="preserve">Part II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8 – Financial Statements and Supplementary Data</w:t>
            </w:r>
          </w:p>
        </w:tc>
        <w:tc>
          <w:tcPr>
            <w:tcW w:w="0" w:type="dxa"/>
            <w:vAlign w:val="bottom"/>
          </w:tcPr>
          <w:p>
            <w:pPr>
              <w:spacing w:after="0"/>
              <w:rPr>
                <w:sz w:val="1"/>
                <w:szCs w:val="1"/>
                <w:color w:val="auto"/>
              </w:rPr>
            </w:pPr>
          </w:p>
        </w:tc>
      </w:tr>
      <w:tr>
        <w:trPr>
          <w:trHeight w:val="487"/>
        </w:trPr>
        <w:tc>
          <w:tcPr>
            <w:tcW w:w="6640" w:type="dxa"/>
            <w:vAlign w:val="bottom"/>
            <w:gridSpan w:val="13"/>
          </w:tcPr>
          <w:p>
            <w:pPr>
              <w:spacing w:after="0"/>
              <w:rPr>
                <w:sz w:val="20"/>
                <w:szCs w:val="20"/>
                <w:color w:val="auto"/>
              </w:rPr>
            </w:pPr>
            <w:r>
              <w:rPr>
                <w:rFonts w:ascii="Calibri" w:cs="Calibri" w:eastAsia="Calibri" w:hAnsi="Calibri"/>
                <w:sz w:val="25"/>
                <w:szCs w:val="25"/>
                <w:b w:val="1"/>
                <w:bCs w:val="1"/>
                <w:color w:val="auto"/>
              </w:rPr>
              <w:t>ITEM 8 – FINANCIAL STATEMENTS AND SUPPLEMENTARY DATA</w:t>
            </w:r>
          </w:p>
        </w:tc>
        <w:tc>
          <w:tcPr>
            <w:tcW w:w="3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640" w:type="dxa"/>
            <w:vAlign w:val="bottom"/>
            <w:gridSpan w:val="13"/>
          </w:tcPr>
          <w:p>
            <w:pPr>
              <w:ind w:left="20"/>
              <w:spacing w:after="0"/>
              <w:rPr>
                <w:sz w:val="20"/>
                <w:szCs w:val="20"/>
                <w:color w:val="auto"/>
              </w:rPr>
            </w:pPr>
            <w:r>
              <w:rPr>
                <w:rFonts w:ascii="Calibri" w:cs="Calibri" w:eastAsia="Calibri" w:hAnsi="Calibri"/>
                <w:sz w:val="18"/>
                <w:szCs w:val="18"/>
                <w:b w:val="1"/>
                <w:bCs w:val="1"/>
                <w:color w:val="007DC6"/>
              </w:rPr>
              <w:t>Index to Consolidated Financial Statements</w:t>
            </w:r>
          </w:p>
        </w:tc>
        <w:tc>
          <w:tcPr>
            <w:tcW w:w="374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Calibri" w:cs="Calibri" w:eastAsia="Calibri" w:hAnsi="Calibri"/>
                <w:sz w:val="18"/>
                <w:szCs w:val="18"/>
                <w:b w:val="1"/>
                <w:bCs w:val="1"/>
                <w:color w:val="007DC6"/>
              </w:rPr>
              <w:t>Page</w:t>
            </w:r>
          </w:p>
        </w:tc>
        <w:tc>
          <w:tcPr>
            <w:tcW w:w="0" w:type="dxa"/>
            <w:vAlign w:val="bottom"/>
          </w:tcPr>
          <w:p>
            <w:pPr>
              <w:spacing w:after="0"/>
              <w:rPr>
                <w:sz w:val="1"/>
                <w:szCs w:val="1"/>
                <w:color w:val="auto"/>
              </w:rPr>
            </w:pPr>
          </w:p>
        </w:tc>
      </w:tr>
      <w:tr>
        <w:trPr>
          <w:trHeight w:val="37"/>
        </w:trPr>
        <w:tc>
          <w:tcPr>
            <w:tcW w:w="1700" w:type="dxa"/>
            <w:vAlign w:val="bottom"/>
          </w:tcPr>
          <w:p>
            <w:pPr>
              <w:spacing w:after="0"/>
              <w:rPr>
                <w:sz w:val="3"/>
                <w:szCs w:val="3"/>
                <w:color w:val="auto"/>
              </w:rPr>
            </w:pPr>
          </w:p>
        </w:tc>
        <w:tc>
          <w:tcPr>
            <w:tcW w:w="4940" w:type="dxa"/>
            <w:vAlign w:val="bottom"/>
            <w:gridSpan w:val="12"/>
            <w:vMerge w:val="restart"/>
          </w:tcPr>
          <w:p>
            <w:pPr>
              <w:spacing w:after="0"/>
              <w:rPr>
                <w:sz w:val="20"/>
                <w:szCs w:val="20"/>
                <w:color w:val="auto"/>
              </w:rPr>
            </w:pPr>
            <w:r>
              <w:rPr>
                <w:rFonts w:ascii="Calibri" w:cs="Calibri" w:eastAsia="Calibri" w:hAnsi="Calibri"/>
                <w:sz w:val="18"/>
                <w:szCs w:val="18"/>
                <w:color w:val="007DC6"/>
              </w:rPr>
              <w:t>Statement of Responsibility and Management’s Report on</w:t>
            </w:r>
          </w:p>
        </w:tc>
        <w:tc>
          <w:tcPr>
            <w:tcW w:w="3740" w:type="dxa"/>
            <w:vAlign w:val="bottom"/>
          </w:tcPr>
          <w:p>
            <w:pPr>
              <w:spacing w:after="0"/>
              <w:rPr>
                <w:sz w:val="3"/>
                <w:szCs w:val="3"/>
                <w:color w:val="auto"/>
              </w:rPr>
            </w:pPr>
          </w:p>
        </w:tc>
        <w:tc>
          <w:tcPr>
            <w:tcW w:w="860" w:type="dxa"/>
            <w:vAlign w:val="bottom"/>
            <w:tcBorders>
              <w:bottom w:val="single" w:sz="8" w:color="007DC6"/>
            </w:tcBorders>
          </w:tcPr>
          <w:p>
            <w:pPr>
              <w:spacing w:after="0"/>
              <w:rPr>
                <w:sz w:val="3"/>
                <w:szCs w:val="3"/>
                <w:color w:val="auto"/>
              </w:rPr>
            </w:pPr>
          </w:p>
        </w:tc>
        <w:tc>
          <w:tcPr>
            <w:tcW w:w="0" w:type="dxa"/>
            <w:vAlign w:val="bottom"/>
          </w:tcPr>
          <w:p>
            <w:pPr>
              <w:spacing w:after="0"/>
              <w:rPr>
                <w:sz w:val="1"/>
                <w:szCs w:val="1"/>
                <w:color w:val="auto"/>
              </w:rPr>
            </w:pPr>
          </w:p>
        </w:tc>
      </w:tr>
      <w:tr>
        <w:trPr>
          <w:trHeight w:val="412"/>
        </w:trPr>
        <w:tc>
          <w:tcPr>
            <w:tcW w:w="1700" w:type="dxa"/>
            <w:vAlign w:val="bottom"/>
          </w:tcPr>
          <w:p>
            <w:pPr>
              <w:spacing w:after="0"/>
              <w:rPr>
                <w:sz w:val="24"/>
                <w:szCs w:val="24"/>
                <w:color w:val="auto"/>
              </w:rPr>
            </w:pPr>
          </w:p>
        </w:tc>
        <w:tc>
          <w:tcPr>
            <w:tcW w:w="4940" w:type="dxa"/>
            <w:vAlign w:val="bottom"/>
            <w:gridSpan w:val="12"/>
            <w:vMerge w:val="continue"/>
          </w:tcPr>
          <w:p>
            <w:pPr>
              <w:spacing w:after="0"/>
              <w:rPr>
                <w:sz w:val="24"/>
                <w:szCs w:val="24"/>
                <w:color w:val="auto"/>
              </w:rPr>
            </w:pPr>
          </w:p>
        </w:tc>
        <w:tc>
          <w:tcPr>
            <w:tcW w:w="3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2900" w:type="dxa"/>
            <w:vAlign w:val="bottom"/>
            <w:tcBorders>
              <w:top w:val="single" w:sz="8" w:color="007DC6"/>
              <w:bottom w:val="single" w:sz="8" w:color="007DC6"/>
            </w:tcBorders>
            <w:gridSpan w:val="4"/>
          </w:tcPr>
          <w:p>
            <w:pPr>
              <w:spacing w:after="0" w:line="196" w:lineRule="exact"/>
              <w:rPr>
                <w:sz w:val="20"/>
                <w:szCs w:val="20"/>
                <w:color w:val="auto"/>
              </w:rPr>
            </w:pPr>
            <w:r>
              <w:rPr>
                <w:rFonts w:ascii="Calibri" w:cs="Calibri" w:eastAsia="Calibri" w:hAnsi="Calibri"/>
                <w:sz w:val="18"/>
                <w:szCs w:val="18"/>
                <w:color w:val="007DC6"/>
                <w:w w:val="98"/>
              </w:rPr>
              <w:t>Internal Control over Financial Reportng</w:t>
            </w:r>
          </w:p>
        </w:tc>
        <w:tc>
          <w:tcPr>
            <w:tcW w:w="1220" w:type="dxa"/>
            <w:vAlign w:val="bottom"/>
            <w:tcBorders>
              <w:top w:val="single" w:sz="8" w:color="007DC6"/>
            </w:tcBorders>
            <w:gridSpan w:val="7"/>
          </w:tcPr>
          <w:p>
            <w:pPr>
              <w:spacing w:after="0"/>
              <w:rPr>
                <w:sz w:val="17"/>
                <w:szCs w:val="17"/>
                <w:color w:val="auto"/>
              </w:rPr>
            </w:pPr>
          </w:p>
        </w:tc>
        <w:tc>
          <w:tcPr>
            <w:tcW w:w="820" w:type="dxa"/>
            <w:vAlign w:val="bottom"/>
          </w:tcPr>
          <w:p>
            <w:pPr>
              <w:spacing w:after="0"/>
              <w:rPr>
                <w:sz w:val="17"/>
                <w:szCs w:val="17"/>
                <w:color w:val="auto"/>
              </w:rPr>
            </w:pPr>
          </w:p>
        </w:tc>
        <w:tc>
          <w:tcPr>
            <w:tcW w:w="46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68</w:t>
            </w:r>
          </w:p>
        </w:tc>
        <w:tc>
          <w:tcPr>
            <w:tcW w:w="0" w:type="dxa"/>
            <w:vAlign w:val="bottom"/>
          </w:tcPr>
          <w:p>
            <w:pPr>
              <w:spacing w:after="0"/>
              <w:rPr>
                <w:sz w:val="1"/>
                <w:szCs w:val="1"/>
                <w:color w:val="auto"/>
              </w:rPr>
            </w:pPr>
          </w:p>
        </w:tc>
      </w:tr>
      <w:tr>
        <w:trPr>
          <w:trHeight w:val="466"/>
        </w:trPr>
        <w:tc>
          <w:tcPr>
            <w:tcW w:w="1700" w:type="dxa"/>
            <w:vAlign w:val="bottom"/>
          </w:tcPr>
          <w:p>
            <w:pPr>
              <w:spacing w:after="0"/>
              <w:rPr>
                <w:sz w:val="24"/>
                <w:szCs w:val="24"/>
                <w:color w:val="auto"/>
              </w:rPr>
            </w:pPr>
          </w:p>
        </w:tc>
        <w:tc>
          <w:tcPr>
            <w:tcW w:w="4100" w:type="dxa"/>
            <w:vAlign w:val="bottom"/>
            <w:tcBorders>
              <w:bottom w:val="single" w:sz="8" w:color="007DC6"/>
            </w:tcBorders>
            <w:gridSpan w:val="10"/>
          </w:tcPr>
          <w:p>
            <w:pPr>
              <w:spacing w:after="0"/>
              <w:rPr>
                <w:sz w:val="20"/>
                <w:szCs w:val="20"/>
                <w:color w:val="auto"/>
              </w:rPr>
            </w:pPr>
            <w:r>
              <w:rPr>
                <w:rFonts w:ascii="Calibri" w:cs="Calibri" w:eastAsia="Calibri" w:hAnsi="Calibri"/>
                <w:sz w:val="18"/>
                <w:szCs w:val="18"/>
                <w:color w:val="007DC6"/>
                <w:w w:val="97"/>
              </w:rPr>
              <w:t>Report of Independent Registered Public Accountng Firm</w:t>
            </w:r>
          </w:p>
        </w:tc>
        <w:tc>
          <w:tcPr>
            <w:tcW w:w="840" w:type="dxa"/>
            <w:vAlign w:val="bottom"/>
            <w:gridSpan w:val="2"/>
          </w:tcPr>
          <w:p>
            <w:pPr>
              <w:spacing w:after="0"/>
              <w:rPr>
                <w:sz w:val="24"/>
                <w:szCs w:val="24"/>
                <w:color w:val="auto"/>
              </w:rPr>
            </w:pPr>
          </w:p>
        </w:tc>
        <w:tc>
          <w:tcPr>
            <w:tcW w:w="4600" w:type="dxa"/>
            <w:vAlign w:val="bottom"/>
            <w:gridSpan w:val="2"/>
          </w:tcPr>
          <w:p>
            <w:pPr>
              <w:jc w:val="right"/>
              <w:spacing w:after="0"/>
              <w:rPr>
                <w:sz w:val="20"/>
                <w:szCs w:val="20"/>
                <w:color w:val="auto"/>
              </w:rPr>
            </w:pPr>
            <w:r>
              <w:rPr>
                <w:rFonts w:ascii="Calibri" w:cs="Calibri" w:eastAsia="Calibri" w:hAnsi="Calibri"/>
                <w:sz w:val="18"/>
                <w:szCs w:val="18"/>
                <w:color w:val="auto"/>
              </w:rPr>
              <w:t>70</w:t>
            </w:r>
          </w:p>
        </w:tc>
        <w:tc>
          <w:tcPr>
            <w:tcW w:w="0" w:type="dxa"/>
            <w:vAlign w:val="bottom"/>
          </w:tcPr>
          <w:p>
            <w:pPr>
              <w:spacing w:after="0"/>
              <w:rPr>
                <w:sz w:val="1"/>
                <w:szCs w:val="1"/>
                <w:color w:val="auto"/>
              </w:rPr>
            </w:pPr>
          </w:p>
        </w:tc>
      </w:tr>
      <w:tr>
        <w:trPr>
          <w:trHeight w:val="466"/>
        </w:trPr>
        <w:tc>
          <w:tcPr>
            <w:tcW w:w="1700" w:type="dxa"/>
            <w:vAlign w:val="bottom"/>
          </w:tcPr>
          <w:p>
            <w:pPr>
              <w:spacing w:after="0"/>
              <w:rPr>
                <w:sz w:val="24"/>
                <w:szCs w:val="24"/>
                <w:color w:val="auto"/>
              </w:rPr>
            </w:pPr>
          </w:p>
        </w:tc>
        <w:tc>
          <w:tcPr>
            <w:tcW w:w="4940" w:type="dxa"/>
            <w:vAlign w:val="bottom"/>
            <w:gridSpan w:val="12"/>
          </w:tcPr>
          <w:p>
            <w:pPr>
              <w:spacing w:after="0"/>
              <w:rPr>
                <w:sz w:val="20"/>
                <w:szCs w:val="20"/>
                <w:color w:val="auto"/>
              </w:rPr>
            </w:pPr>
            <w:r>
              <w:rPr>
                <w:rFonts w:ascii="Calibri" w:cs="Calibri" w:eastAsia="Calibri" w:hAnsi="Calibri"/>
                <w:sz w:val="18"/>
                <w:szCs w:val="18"/>
                <w:color w:val="007DC6"/>
              </w:rPr>
              <w:t>Consolidated Statements of Earnings –</w:t>
            </w:r>
          </w:p>
        </w:tc>
        <w:tc>
          <w:tcPr>
            <w:tcW w:w="3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80" w:type="dxa"/>
            <w:vAlign w:val="bottom"/>
            <w:tcBorders>
              <w:right w:val="single" w:sz="8" w:color="007DC6"/>
            </w:tcBorders>
            <w:shd w:val="clear" w:color="auto" w:fill="007DC6"/>
          </w:tcPr>
          <w:p>
            <w:pPr>
              <w:spacing w:after="0" w:line="20" w:lineRule="exact"/>
              <w:rPr>
                <w:sz w:val="1"/>
                <w:szCs w:val="1"/>
                <w:color w:val="auto"/>
              </w:rPr>
            </w:pPr>
          </w:p>
        </w:tc>
        <w:tc>
          <w:tcPr>
            <w:tcW w:w="120" w:type="dxa"/>
            <w:vAlign w:val="bottom"/>
            <w:tcBorders>
              <w:right w:val="single" w:sz="8" w:color="007DC6"/>
            </w:tcBorders>
            <w:shd w:val="clear" w:color="auto" w:fill="007DC6"/>
          </w:tcPr>
          <w:p>
            <w:pPr>
              <w:spacing w:after="0" w:line="20" w:lineRule="exact"/>
              <w:rPr>
                <w:sz w:val="1"/>
                <w:szCs w:val="1"/>
                <w:color w:val="auto"/>
              </w:rPr>
            </w:pPr>
          </w:p>
        </w:tc>
        <w:tc>
          <w:tcPr>
            <w:tcW w:w="440" w:type="dxa"/>
            <w:vAlign w:val="bottom"/>
            <w:shd w:val="clear" w:color="auto" w:fill="007DC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3700" w:type="dxa"/>
            <w:vAlign w:val="bottom"/>
            <w:tcBorders>
              <w:bottom w:val="single" w:sz="8" w:color="007DC6"/>
            </w:tcBorders>
            <w:gridSpan w:val="7"/>
          </w:tcPr>
          <w:p>
            <w:pPr>
              <w:spacing w:after="0" w:line="196" w:lineRule="exact"/>
              <w:rPr>
                <w:sz w:val="20"/>
                <w:szCs w:val="20"/>
                <w:color w:val="auto"/>
              </w:rPr>
            </w:pPr>
            <w:r>
              <w:rPr>
                <w:rFonts w:ascii="Calibri" w:cs="Calibri" w:eastAsia="Calibri" w:hAnsi="Calibri"/>
                <w:sz w:val="18"/>
                <w:szCs w:val="18"/>
                <w:color w:val="007DC6"/>
                <w:w w:val="97"/>
              </w:rPr>
              <w:t>for years ended December 31, 2023, 2022 and 2021</w:t>
            </w:r>
          </w:p>
        </w:tc>
        <w:tc>
          <w:tcPr>
            <w:tcW w:w="20" w:type="dxa"/>
            <w:vAlign w:val="bottom"/>
            <w:tcBorders>
              <w:bottom w:val="single" w:sz="8" w:color="0000EE"/>
            </w:tcBorders>
          </w:tcPr>
          <w:p>
            <w:pPr>
              <w:spacing w:after="0"/>
              <w:rPr>
                <w:sz w:val="17"/>
                <w:szCs w:val="17"/>
                <w:color w:val="auto"/>
              </w:rPr>
            </w:pPr>
          </w:p>
        </w:tc>
        <w:tc>
          <w:tcPr>
            <w:tcW w:w="1220" w:type="dxa"/>
            <w:vAlign w:val="bottom"/>
            <w:gridSpan w:val="4"/>
          </w:tcPr>
          <w:p>
            <w:pPr>
              <w:spacing w:after="0"/>
              <w:rPr>
                <w:sz w:val="17"/>
                <w:szCs w:val="17"/>
                <w:color w:val="auto"/>
              </w:rPr>
            </w:pPr>
          </w:p>
        </w:tc>
        <w:tc>
          <w:tcPr>
            <w:tcW w:w="46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72</w:t>
            </w:r>
          </w:p>
        </w:tc>
        <w:tc>
          <w:tcPr>
            <w:tcW w:w="0" w:type="dxa"/>
            <w:vAlign w:val="bottom"/>
          </w:tcPr>
          <w:p>
            <w:pPr>
              <w:spacing w:after="0"/>
              <w:rPr>
                <w:sz w:val="1"/>
                <w:szCs w:val="1"/>
                <w:color w:val="auto"/>
              </w:rPr>
            </w:pPr>
          </w:p>
        </w:tc>
      </w:tr>
      <w:tr>
        <w:trPr>
          <w:trHeight w:val="466"/>
        </w:trPr>
        <w:tc>
          <w:tcPr>
            <w:tcW w:w="1700" w:type="dxa"/>
            <w:vAlign w:val="bottom"/>
          </w:tcPr>
          <w:p>
            <w:pPr>
              <w:spacing w:after="0"/>
              <w:rPr>
                <w:sz w:val="24"/>
                <w:szCs w:val="24"/>
                <w:color w:val="auto"/>
              </w:rPr>
            </w:pPr>
          </w:p>
        </w:tc>
        <w:tc>
          <w:tcPr>
            <w:tcW w:w="3900" w:type="dxa"/>
            <w:vAlign w:val="bottom"/>
            <w:tcBorders>
              <w:bottom w:val="single" w:sz="8" w:color="007DC6"/>
            </w:tcBorders>
            <w:gridSpan w:val="9"/>
          </w:tcPr>
          <w:p>
            <w:pPr>
              <w:spacing w:after="0"/>
              <w:rPr>
                <w:sz w:val="20"/>
                <w:szCs w:val="20"/>
                <w:color w:val="auto"/>
              </w:rPr>
            </w:pPr>
            <w:r>
              <w:rPr>
                <w:rFonts w:ascii="Calibri" w:cs="Calibri" w:eastAsia="Calibri" w:hAnsi="Calibri"/>
                <w:sz w:val="18"/>
                <w:szCs w:val="18"/>
                <w:color w:val="007DC6"/>
                <w:w w:val="96"/>
              </w:rPr>
              <w:t>Consolidated Statements of Comprehensive Earnings –</w:t>
            </w:r>
          </w:p>
        </w:tc>
        <w:tc>
          <w:tcPr>
            <w:tcW w:w="1040" w:type="dxa"/>
            <w:vAlign w:val="bottom"/>
            <w:gridSpan w:val="3"/>
          </w:tcPr>
          <w:p>
            <w:pPr>
              <w:spacing w:after="0"/>
              <w:rPr>
                <w:sz w:val="24"/>
                <w:szCs w:val="24"/>
                <w:color w:val="auto"/>
              </w:rPr>
            </w:pPr>
          </w:p>
        </w:tc>
        <w:tc>
          <w:tcPr>
            <w:tcW w:w="3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700" w:type="dxa"/>
            <w:vAlign w:val="bottom"/>
            <w:tcBorders>
              <w:bottom w:val="single" w:sz="8" w:color="007DC6"/>
            </w:tcBorders>
            <w:gridSpan w:val="7"/>
          </w:tcPr>
          <w:p>
            <w:pPr>
              <w:spacing w:after="0" w:line="196" w:lineRule="exact"/>
              <w:rPr>
                <w:sz w:val="20"/>
                <w:szCs w:val="20"/>
                <w:color w:val="auto"/>
              </w:rPr>
            </w:pPr>
            <w:r>
              <w:rPr>
                <w:rFonts w:ascii="Calibri" w:cs="Calibri" w:eastAsia="Calibri" w:hAnsi="Calibri"/>
                <w:sz w:val="18"/>
                <w:szCs w:val="18"/>
                <w:color w:val="007DC6"/>
                <w:w w:val="97"/>
              </w:rPr>
              <w:t>for years ended December 31, 2023, 2022 and 2021</w:t>
            </w:r>
          </w:p>
        </w:tc>
        <w:tc>
          <w:tcPr>
            <w:tcW w:w="1240" w:type="dxa"/>
            <w:vAlign w:val="bottom"/>
            <w:gridSpan w:val="5"/>
          </w:tcPr>
          <w:p>
            <w:pPr>
              <w:spacing w:after="0"/>
              <w:rPr>
                <w:sz w:val="17"/>
                <w:szCs w:val="17"/>
                <w:color w:val="auto"/>
              </w:rPr>
            </w:pPr>
          </w:p>
        </w:tc>
        <w:tc>
          <w:tcPr>
            <w:tcW w:w="46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73</w:t>
            </w:r>
          </w:p>
        </w:tc>
        <w:tc>
          <w:tcPr>
            <w:tcW w:w="0" w:type="dxa"/>
            <w:vAlign w:val="bottom"/>
          </w:tcPr>
          <w:p>
            <w:pPr>
              <w:spacing w:after="0"/>
              <w:rPr>
                <w:sz w:val="1"/>
                <w:szCs w:val="1"/>
                <w:color w:val="auto"/>
              </w:rPr>
            </w:pPr>
          </w:p>
        </w:tc>
      </w:tr>
      <w:tr>
        <w:trPr>
          <w:trHeight w:val="466"/>
        </w:trPr>
        <w:tc>
          <w:tcPr>
            <w:tcW w:w="1700" w:type="dxa"/>
            <w:vAlign w:val="bottom"/>
          </w:tcPr>
          <w:p>
            <w:pPr>
              <w:spacing w:after="0"/>
              <w:rPr>
                <w:sz w:val="24"/>
                <w:szCs w:val="24"/>
                <w:color w:val="auto"/>
              </w:rPr>
            </w:pPr>
          </w:p>
        </w:tc>
        <w:tc>
          <w:tcPr>
            <w:tcW w:w="4940" w:type="dxa"/>
            <w:vAlign w:val="bottom"/>
            <w:gridSpan w:val="12"/>
          </w:tcPr>
          <w:p>
            <w:pPr>
              <w:spacing w:after="0"/>
              <w:rPr>
                <w:sz w:val="20"/>
                <w:szCs w:val="20"/>
                <w:color w:val="auto"/>
              </w:rPr>
            </w:pPr>
            <w:r>
              <w:rPr>
                <w:rFonts w:ascii="Calibri" w:cs="Calibri" w:eastAsia="Calibri" w:hAnsi="Calibri"/>
                <w:sz w:val="18"/>
                <w:szCs w:val="18"/>
                <w:color w:val="007DC6"/>
              </w:rPr>
              <w:t>Consolidated Balance Sheets –</w:t>
            </w:r>
          </w:p>
        </w:tc>
        <w:tc>
          <w:tcPr>
            <w:tcW w:w="3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80" w:type="dxa"/>
            <w:vAlign w:val="bottom"/>
            <w:tcBorders>
              <w:right w:val="single" w:sz="8" w:color="007DC6"/>
            </w:tcBorders>
            <w:shd w:val="clear" w:color="auto" w:fill="007DC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4940" w:type="dxa"/>
            <w:vAlign w:val="bottom"/>
            <w:gridSpan w:val="12"/>
          </w:tcPr>
          <w:p>
            <w:pPr>
              <w:spacing w:after="0" w:line="196" w:lineRule="exact"/>
              <w:rPr>
                <w:sz w:val="20"/>
                <w:szCs w:val="20"/>
                <w:color w:val="auto"/>
              </w:rPr>
            </w:pPr>
            <w:r>
              <w:rPr>
                <w:rFonts w:ascii="Calibri" w:cs="Calibri" w:eastAsia="Calibri" w:hAnsi="Calibri"/>
                <w:sz w:val="18"/>
                <w:szCs w:val="18"/>
                <w:color w:val="007DC6"/>
              </w:rPr>
              <w:t>at December 31, 2023 and 2022</w:t>
            </w:r>
          </w:p>
        </w:tc>
        <w:tc>
          <w:tcPr>
            <w:tcW w:w="46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74</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80" w:type="dxa"/>
            <w:vAlign w:val="bottom"/>
            <w:tcBorders>
              <w:right w:val="single" w:sz="8" w:color="007DC6"/>
            </w:tcBorders>
            <w:shd w:val="clear" w:color="auto" w:fill="007DC6"/>
          </w:tcPr>
          <w:p>
            <w:pPr>
              <w:spacing w:after="0" w:line="20" w:lineRule="exact"/>
              <w:rPr>
                <w:sz w:val="1"/>
                <w:szCs w:val="1"/>
                <w:color w:val="auto"/>
              </w:rPr>
            </w:pPr>
          </w:p>
        </w:tc>
        <w:tc>
          <w:tcPr>
            <w:tcW w:w="120" w:type="dxa"/>
            <w:vAlign w:val="bottom"/>
            <w:tcBorders>
              <w:right w:val="single" w:sz="8" w:color="0000EE"/>
            </w:tcBorders>
            <w:shd w:val="clear" w:color="auto" w:fill="007DC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700" w:type="dxa"/>
            <w:vAlign w:val="bottom"/>
          </w:tcPr>
          <w:p>
            <w:pPr>
              <w:spacing w:after="0"/>
              <w:rPr>
                <w:sz w:val="24"/>
                <w:szCs w:val="24"/>
                <w:color w:val="auto"/>
              </w:rPr>
            </w:pPr>
          </w:p>
        </w:tc>
        <w:tc>
          <w:tcPr>
            <w:tcW w:w="4940" w:type="dxa"/>
            <w:vAlign w:val="bottom"/>
            <w:gridSpan w:val="12"/>
          </w:tcPr>
          <w:p>
            <w:pPr>
              <w:spacing w:after="0"/>
              <w:rPr>
                <w:sz w:val="20"/>
                <w:szCs w:val="20"/>
                <w:color w:val="auto"/>
              </w:rPr>
            </w:pPr>
            <w:r>
              <w:rPr>
                <w:rFonts w:ascii="Calibri" w:cs="Calibri" w:eastAsia="Calibri" w:hAnsi="Calibri"/>
                <w:sz w:val="18"/>
                <w:szCs w:val="18"/>
                <w:color w:val="007DC6"/>
              </w:rPr>
              <w:t>Consolidated Statements of Cash Flows –</w:t>
            </w:r>
          </w:p>
        </w:tc>
        <w:tc>
          <w:tcPr>
            <w:tcW w:w="3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180" w:type="dxa"/>
            <w:vAlign w:val="bottom"/>
            <w:tcBorders>
              <w:right w:val="single" w:sz="8" w:color="007DC6"/>
            </w:tcBorders>
            <w:shd w:val="clear" w:color="auto" w:fill="007DC6"/>
          </w:tcPr>
          <w:p>
            <w:pPr>
              <w:spacing w:after="0" w:line="20" w:lineRule="exact"/>
              <w:rPr>
                <w:sz w:val="1"/>
                <w:szCs w:val="1"/>
                <w:color w:val="auto"/>
              </w:rPr>
            </w:pPr>
          </w:p>
        </w:tc>
        <w:tc>
          <w:tcPr>
            <w:tcW w:w="740" w:type="dxa"/>
            <w:vAlign w:val="bottom"/>
            <w:gridSpan w:val="4"/>
            <w:shd w:val="clear" w:color="auto" w:fill="007DC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Pr>
          <w:p>
            <w:pPr>
              <w:spacing w:after="0"/>
              <w:rPr>
                <w:sz w:val="17"/>
                <w:szCs w:val="17"/>
                <w:color w:val="auto"/>
              </w:rPr>
            </w:pPr>
          </w:p>
        </w:tc>
        <w:tc>
          <w:tcPr>
            <w:tcW w:w="3700" w:type="dxa"/>
            <w:vAlign w:val="bottom"/>
            <w:tcBorders>
              <w:bottom w:val="single" w:sz="8" w:color="007DC6"/>
            </w:tcBorders>
            <w:gridSpan w:val="7"/>
          </w:tcPr>
          <w:p>
            <w:pPr>
              <w:spacing w:after="0" w:line="196" w:lineRule="exact"/>
              <w:rPr>
                <w:sz w:val="20"/>
                <w:szCs w:val="20"/>
                <w:color w:val="auto"/>
              </w:rPr>
            </w:pPr>
            <w:r>
              <w:rPr>
                <w:rFonts w:ascii="Calibri" w:cs="Calibri" w:eastAsia="Calibri" w:hAnsi="Calibri"/>
                <w:sz w:val="18"/>
                <w:szCs w:val="18"/>
                <w:color w:val="007DC6"/>
                <w:w w:val="97"/>
              </w:rPr>
              <w:t>for years ended December 31, 2023, 2022 and 2021</w:t>
            </w:r>
          </w:p>
        </w:tc>
        <w:tc>
          <w:tcPr>
            <w:tcW w:w="1240" w:type="dxa"/>
            <w:vAlign w:val="bottom"/>
            <w:gridSpan w:val="5"/>
          </w:tcPr>
          <w:p>
            <w:pPr>
              <w:spacing w:after="0"/>
              <w:rPr>
                <w:sz w:val="17"/>
                <w:szCs w:val="17"/>
                <w:color w:val="auto"/>
              </w:rPr>
            </w:pPr>
          </w:p>
        </w:tc>
        <w:tc>
          <w:tcPr>
            <w:tcW w:w="46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75</w:t>
            </w:r>
          </w:p>
        </w:tc>
        <w:tc>
          <w:tcPr>
            <w:tcW w:w="0" w:type="dxa"/>
            <w:vAlign w:val="bottom"/>
          </w:tcPr>
          <w:p>
            <w:pPr>
              <w:spacing w:after="0"/>
              <w:rPr>
                <w:sz w:val="1"/>
                <w:szCs w:val="1"/>
                <w:color w:val="auto"/>
              </w:rPr>
            </w:pPr>
          </w:p>
        </w:tc>
      </w:tr>
      <w:tr>
        <w:trPr>
          <w:trHeight w:val="466"/>
        </w:trPr>
        <w:tc>
          <w:tcPr>
            <w:tcW w:w="1700" w:type="dxa"/>
            <w:vAlign w:val="bottom"/>
          </w:tcPr>
          <w:p>
            <w:pPr>
              <w:spacing w:after="0"/>
              <w:rPr>
                <w:sz w:val="24"/>
                <w:szCs w:val="24"/>
                <w:color w:val="auto"/>
              </w:rPr>
            </w:pPr>
          </w:p>
        </w:tc>
        <w:tc>
          <w:tcPr>
            <w:tcW w:w="2980" w:type="dxa"/>
            <w:vAlign w:val="bottom"/>
            <w:tcBorders>
              <w:bottom w:val="single" w:sz="8" w:color="007DC6"/>
            </w:tcBorders>
            <w:gridSpan w:val="6"/>
          </w:tcPr>
          <w:p>
            <w:pPr>
              <w:spacing w:after="0"/>
              <w:rPr>
                <w:sz w:val="20"/>
                <w:szCs w:val="20"/>
                <w:color w:val="auto"/>
              </w:rPr>
            </w:pPr>
            <w:r>
              <w:rPr>
                <w:rFonts w:ascii="Calibri" w:cs="Calibri" w:eastAsia="Calibri" w:hAnsi="Calibri"/>
                <w:sz w:val="18"/>
                <w:szCs w:val="18"/>
                <w:color w:val="007DC6"/>
                <w:w w:val="96"/>
              </w:rPr>
              <w:t>Consolidated Statements of Total Equity –</w:t>
            </w:r>
          </w:p>
        </w:tc>
        <w:tc>
          <w:tcPr>
            <w:tcW w:w="1960" w:type="dxa"/>
            <w:vAlign w:val="bottom"/>
            <w:gridSpan w:val="6"/>
          </w:tcPr>
          <w:p>
            <w:pPr>
              <w:spacing w:after="0"/>
              <w:rPr>
                <w:sz w:val="24"/>
                <w:szCs w:val="24"/>
                <w:color w:val="auto"/>
              </w:rPr>
            </w:pPr>
          </w:p>
        </w:tc>
        <w:tc>
          <w:tcPr>
            <w:tcW w:w="3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3700" w:type="dxa"/>
            <w:vAlign w:val="bottom"/>
            <w:tcBorders>
              <w:bottom w:val="single" w:sz="8" w:color="007DC6"/>
            </w:tcBorders>
            <w:gridSpan w:val="7"/>
          </w:tcPr>
          <w:p>
            <w:pPr>
              <w:spacing w:after="0" w:line="196" w:lineRule="exact"/>
              <w:rPr>
                <w:sz w:val="20"/>
                <w:szCs w:val="20"/>
                <w:color w:val="auto"/>
              </w:rPr>
            </w:pPr>
            <w:r>
              <w:rPr>
                <w:rFonts w:ascii="Calibri" w:cs="Calibri" w:eastAsia="Calibri" w:hAnsi="Calibri"/>
                <w:sz w:val="18"/>
                <w:szCs w:val="18"/>
                <w:color w:val="007DC6"/>
                <w:w w:val="97"/>
              </w:rPr>
              <w:t>for years ended December 31, 2023, 2022 and 2021</w:t>
            </w:r>
          </w:p>
        </w:tc>
        <w:tc>
          <w:tcPr>
            <w:tcW w:w="1240" w:type="dxa"/>
            <w:vAlign w:val="bottom"/>
            <w:gridSpan w:val="5"/>
          </w:tcPr>
          <w:p>
            <w:pPr>
              <w:spacing w:after="0"/>
              <w:rPr>
                <w:sz w:val="17"/>
                <w:szCs w:val="17"/>
                <w:color w:val="auto"/>
              </w:rPr>
            </w:pPr>
          </w:p>
        </w:tc>
        <w:tc>
          <w:tcPr>
            <w:tcW w:w="4600" w:type="dxa"/>
            <w:vAlign w:val="bottom"/>
            <w:gridSpan w:val="2"/>
          </w:tcPr>
          <w:p>
            <w:pPr>
              <w:jc w:val="right"/>
              <w:spacing w:after="0" w:line="196" w:lineRule="exact"/>
              <w:rPr>
                <w:sz w:val="20"/>
                <w:szCs w:val="20"/>
                <w:color w:val="auto"/>
              </w:rPr>
            </w:pPr>
            <w:r>
              <w:rPr>
                <w:rFonts w:ascii="Calibri" w:cs="Calibri" w:eastAsia="Calibri" w:hAnsi="Calibri"/>
                <w:sz w:val="18"/>
                <w:szCs w:val="18"/>
                <w:color w:val="auto"/>
              </w:rPr>
              <w:t>76</w:t>
            </w:r>
          </w:p>
        </w:tc>
        <w:tc>
          <w:tcPr>
            <w:tcW w:w="0" w:type="dxa"/>
            <w:vAlign w:val="bottom"/>
          </w:tcPr>
          <w:p>
            <w:pPr>
              <w:spacing w:after="0"/>
              <w:rPr>
                <w:sz w:val="1"/>
                <w:szCs w:val="1"/>
                <w:color w:val="auto"/>
              </w:rPr>
            </w:pPr>
          </w:p>
        </w:tc>
      </w:tr>
      <w:tr>
        <w:trPr>
          <w:trHeight w:val="466"/>
        </w:trPr>
        <w:tc>
          <w:tcPr>
            <w:tcW w:w="1700" w:type="dxa"/>
            <w:vAlign w:val="bottom"/>
          </w:tcPr>
          <w:p>
            <w:pPr>
              <w:spacing w:after="0"/>
              <w:rPr>
                <w:sz w:val="24"/>
                <w:szCs w:val="24"/>
                <w:color w:val="auto"/>
              </w:rPr>
            </w:pPr>
          </w:p>
        </w:tc>
        <w:tc>
          <w:tcPr>
            <w:tcW w:w="2180" w:type="dxa"/>
            <w:vAlign w:val="bottom"/>
            <w:tcBorders>
              <w:bottom w:val="single" w:sz="8" w:color="007DC6"/>
            </w:tcBorders>
          </w:tcPr>
          <w:p>
            <w:pPr>
              <w:spacing w:after="0"/>
              <w:rPr>
                <w:sz w:val="20"/>
                <w:szCs w:val="20"/>
                <w:color w:val="auto"/>
              </w:rPr>
            </w:pPr>
            <w:r>
              <w:rPr>
                <w:rFonts w:ascii="Calibri" w:cs="Calibri" w:eastAsia="Calibri" w:hAnsi="Calibri"/>
                <w:sz w:val="18"/>
                <w:szCs w:val="18"/>
                <w:color w:val="007DC6"/>
                <w:w w:val="97"/>
              </w:rPr>
              <w:t>Notes to Financial Statements</w:t>
            </w:r>
          </w:p>
        </w:tc>
        <w:tc>
          <w:tcPr>
            <w:tcW w:w="2760" w:type="dxa"/>
            <w:vAlign w:val="bottom"/>
            <w:gridSpan w:val="11"/>
          </w:tcPr>
          <w:p>
            <w:pPr>
              <w:spacing w:after="0"/>
              <w:rPr>
                <w:sz w:val="24"/>
                <w:szCs w:val="24"/>
                <w:color w:val="auto"/>
              </w:rPr>
            </w:pPr>
          </w:p>
        </w:tc>
        <w:tc>
          <w:tcPr>
            <w:tcW w:w="4600" w:type="dxa"/>
            <w:vAlign w:val="bottom"/>
            <w:gridSpan w:val="2"/>
          </w:tcPr>
          <w:p>
            <w:pPr>
              <w:jc w:val="right"/>
              <w:spacing w:after="0"/>
              <w:rPr>
                <w:sz w:val="20"/>
                <w:szCs w:val="20"/>
                <w:color w:val="auto"/>
              </w:rPr>
            </w:pPr>
            <w:r>
              <w:rPr>
                <w:rFonts w:ascii="Calibri" w:cs="Calibri" w:eastAsia="Calibri" w:hAnsi="Calibri"/>
                <w:sz w:val="18"/>
                <w:szCs w:val="18"/>
                <w:color w:val="auto"/>
              </w:rPr>
              <w:t>77</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700"/>
        <w:spacing w:after="0" w:line="255" w:lineRule="auto"/>
        <w:rPr>
          <w:sz w:val="20"/>
          <w:szCs w:val="20"/>
          <w:color w:val="auto"/>
        </w:rPr>
      </w:pPr>
      <w:r>
        <w:rPr>
          <w:rFonts w:ascii="Calibri" w:cs="Calibri" w:eastAsia="Calibri" w:hAnsi="Calibri"/>
          <w:sz w:val="25"/>
          <w:szCs w:val="25"/>
          <w:b w:val="1"/>
          <w:bCs w:val="1"/>
          <w:color w:val="786970"/>
        </w:rPr>
        <w:t xml:space="preserve">Statement of Responsibility and Management’s Report on Internal Control over Financial Reportng </w:t>
      </w:r>
      <w:r>
        <w:rPr>
          <w:rFonts w:ascii="Calibri" w:cs="Calibri" w:eastAsia="Calibri" w:hAnsi="Calibri"/>
          <w:sz w:val="21"/>
          <w:szCs w:val="21"/>
          <w:b w:val="1"/>
          <w:bCs w:val="1"/>
          <w:color w:val="007DC6"/>
        </w:rPr>
        <w:t>Management’s Statement of Responsibility</w:t>
      </w:r>
    </w:p>
    <w:p>
      <w:pPr>
        <w:spacing w:after="0" w:line="4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management of Martn Marieta Materials, Inc. (the Company or Martn Marieta) is responsible for the consolidated fnancial statements, the related fnancial informaton contained in this Form 10-K and the establishment and maintenance of adequate internal control over fnancial reportng. The consolidated balance sheets for Martn Marieta, at December 31, 2023 and 2022, and the related consolidated statements of earnings, comprehensive earnings, total equity and cash fows for each of the three years in the period ended December 31, 2023, include amounts based on estmates and judgments and have been prepared in accordance with accountng principles generally accepted in the United States applied on a consistent basis.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system of internal control over fnancial reportng is designed to provide reasonable assurance, in a cost-efectve manner, that assets are safeguarded, transactons are executed and recorded in accordance with management’s authorizaton, accountability for assets is maintained and fnancial statements are prepared and presented fairly in accordance with accountng principles generally accepted in the United States. Internal control systems over fnancial reportng have inherent limitatons and may not prevent or detect misstatements. Therefore, even those systems determined to be efectve can provide only reasonable assurance with respect to fnancial statement preparaton and presentaton.</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operates in an environment that establishes an appropriate system of internal control over fnancial reportng and ensures that the system is maintained, assessed and monitored on a periodic basis. This internal control system includes examinatons by internal audit staf and oversight by the Audit Commitee of the Board of Directors.</w:t>
      </w:r>
    </w:p>
    <w:p>
      <w:pPr>
        <w:spacing w:after="0" w:line="111"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 xml:space="preserve">The Company’s management recognizes its responsibility to foster a strong ethical climate. Management has issued writen policy statements that document the Company’s business code of ethics. The importance of ethical behavior is regularly communicated to all employees through the distributon of the </w:t>
      </w:r>
      <w:r>
        <w:rPr>
          <w:rFonts w:ascii="Calibri" w:cs="Calibri" w:eastAsia="Calibri" w:hAnsi="Calibri"/>
          <w:sz w:val="17"/>
          <w:szCs w:val="17"/>
          <w:i w:val="1"/>
          <w:iCs w:val="1"/>
          <w:color w:val="auto"/>
        </w:rPr>
        <w:t>Code of</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 xml:space="preserve">Ethical Business Conduct </w:t>
      </w:r>
      <w:r>
        <w:rPr>
          <w:rFonts w:ascii="Calibri" w:cs="Calibri" w:eastAsia="Calibri" w:hAnsi="Calibri"/>
          <w:sz w:val="17"/>
          <w:szCs w:val="17"/>
          <w:color w:val="auto"/>
        </w:rPr>
        <w:t>and through ongoing educaton and review programs designed to create a strong commitment to ethical business practces.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221615</wp:posOffset>
            </wp:positionV>
            <wp:extent cx="325755" cy="1968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5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0" w:name="page71"/>
    <w:bookmarkEnd w:id="70"/>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Audit Commitee of the Board of Directors, which consists of four independent, nonemployee directors, meets periodically and separately with management, the independent auditors and the internal auditors to review the actvites of each. The Audit Commitee meets standards established by the Securites and Exchange Commission (SEC) and the New York Stock Exchange as they relate to the compositon and practces of audit commitees.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Management’s Report on Internal Control over Financial Reportng</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management of Martn Marieta is responsible for establishing and maintaining adequate internal control over fnancial reportng. Management assessed the efectveness of the Company’s internal control over fnancial reportng as of December 31, 2023. In making this assessment, management used the criteria set forth in </w:t>
      </w:r>
      <w:r>
        <w:rPr>
          <w:rFonts w:ascii="Calibri" w:cs="Calibri" w:eastAsia="Calibri" w:hAnsi="Calibri"/>
          <w:sz w:val="18"/>
          <w:szCs w:val="18"/>
          <w:i w:val="1"/>
          <w:iCs w:val="1"/>
          <w:color w:val="auto"/>
        </w:rPr>
        <w:t>Internal Control—Integrated Framework (2013)</w:t>
      </w:r>
      <w:r>
        <w:rPr>
          <w:rFonts w:ascii="Calibri" w:cs="Calibri" w:eastAsia="Calibri" w:hAnsi="Calibri"/>
          <w:sz w:val="18"/>
          <w:szCs w:val="18"/>
          <w:color w:val="auto"/>
        </w:rPr>
        <w:t xml:space="preserve"> issued by the Commitee of Sponsoring Organizatons of the Treadway Commission (2013 framework). Based on management’s assessment under the 2013 framework, management concluded that the Company’s internal control over fnancial reportng was efectve as of December 31, 2023.</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consolidated fnancial statements of the Company as of December 31, 2023 and 2022, and for each of the three years in the period ended December 31, 2023, and the efectveness of the Company’s internal control over fnancial reportng as of December 31, 2023, have been audited by PricewaterhouseCoopers LLP, an independent registered public accountng frm, whose report appears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1268730" cy="5829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68730" cy="58293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24130</wp:posOffset>
            </wp:positionV>
            <wp:extent cx="1731645" cy="548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7316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5620" w:val="left"/>
        </w:tabs>
        <w:rPr>
          <w:sz w:val="20"/>
          <w:szCs w:val="20"/>
          <w:color w:val="auto"/>
        </w:rPr>
      </w:pPr>
      <w:r>
        <w:rPr>
          <w:rFonts w:ascii="Calibri" w:cs="Calibri" w:eastAsia="Calibri" w:hAnsi="Calibri"/>
          <w:sz w:val="18"/>
          <w:szCs w:val="18"/>
          <w:b w:val="1"/>
          <w:bCs w:val="1"/>
          <w:color w:val="auto"/>
        </w:rPr>
        <w:t xml:space="preserve">C. Howard Nye, </w:t>
      </w:r>
      <w:r>
        <w:rPr>
          <w:rFonts w:ascii="Calibri" w:cs="Calibri" w:eastAsia="Calibri" w:hAnsi="Calibri"/>
          <w:sz w:val="16"/>
          <w:szCs w:val="16"/>
          <w:i w:val="1"/>
          <w:iCs w:val="1"/>
          <w:color w:val="auto"/>
        </w:rPr>
        <w:t>Chairman, President and Chief Executve Ofcer</w:t>
      </w:r>
      <w:r>
        <w:rPr>
          <w:sz w:val="20"/>
          <w:szCs w:val="20"/>
          <w:color w:val="auto"/>
        </w:rPr>
        <w:tab/>
      </w:r>
      <w:r>
        <w:rPr>
          <w:rFonts w:ascii="Calibri" w:cs="Calibri" w:eastAsia="Calibri" w:hAnsi="Calibri"/>
          <w:sz w:val="18"/>
          <w:szCs w:val="18"/>
          <w:b w:val="1"/>
          <w:bCs w:val="1"/>
          <w:color w:val="auto"/>
        </w:rPr>
        <w:t>James A. J. Nickolas</w:t>
      </w:r>
      <w:r>
        <w:rPr>
          <w:rFonts w:ascii="Calibri" w:cs="Calibri" w:eastAsia="Calibri" w:hAnsi="Calibri"/>
          <w:sz w:val="18"/>
          <w:szCs w:val="18"/>
          <w:color w:val="auto"/>
        </w:rPr>
        <w:t>,</w:t>
      </w:r>
      <w:r>
        <w:rPr>
          <w:rFonts w:ascii="Calibri" w:cs="Calibri" w:eastAsia="Calibri" w:hAnsi="Calibri"/>
          <w:sz w:val="18"/>
          <w:szCs w:val="18"/>
          <w:b w:val="1"/>
          <w:bCs w:val="1"/>
          <w:color w:val="auto"/>
        </w:rPr>
        <w:t xml:space="preserve"> </w:t>
      </w:r>
      <w:r>
        <w:rPr>
          <w:rFonts w:ascii="Calibri" w:cs="Calibri" w:eastAsia="Calibri" w:hAnsi="Calibri"/>
          <w:sz w:val="16"/>
          <w:szCs w:val="16"/>
          <w:i w:val="1"/>
          <w:iCs w:val="1"/>
          <w:color w:val="auto"/>
        </w:rPr>
        <w:t>Executve Vice President and Chief Financial Ofcer</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1" w:name="page72"/>
    <w:bookmarkEnd w:id="71"/>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16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Report of Independent Registered Public Accountng Firm</w:t>
      </w:r>
    </w:p>
    <w:p>
      <w:pPr>
        <w:spacing w:after="0" w:line="59"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Board of Directors and Shareholders of Martn Marieta Materials, Inc.</w:t>
      </w:r>
    </w:p>
    <w:p>
      <w:pPr>
        <w:spacing w:after="0" w:line="10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Opinions on the Financial Statements and Internal Control over Financial Reportng</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audited the accompanying consolidated balance sheets of Martn Marieta Materials, Inc. and its subsidiaries (the “Company”) as of December 31, 2023 and 2022, and the related consolidated statements of earnings, of comprehensive earnings, of total equity and of cash fows for each of the three years in the period ended December 31, 2023, including the related notes and schedule of valuaton and qualifying accounts for each of the three years in the period ended December 31, 2023 appearing under Item 15(c) (collectvely referred to as the “consolidated fnancial statements”). We also have audited the Company's internal control over fnancial reportng as of December 31, 2023, based on criteria established in Internal Control - Integrated Framework (2013) issued by the Commitee of Sponsoring Organizatons of the Treadway Commission (COSO).</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opinion, the consolidated fnancial statements referred to above present fairly, in all material respects, the fnancial positon of the Company as of December 31, 2023 and 2022, and the results of its operatons and its cash fows for each of the three years in the period ended December 31, 2023 in conformity with accountng principles generally accepted in the United States of America. Also in our opinion, the Company maintained, in all material respects, efectve internal control over fnancial reportng as of December 31, 2023, based on criteria established in Internal Control - Integrated Framework (2013) issued by the COSO.</w:t>
      </w:r>
    </w:p>
    <w:p>
      <w:pPr>
        <w:spacing w:after="0" w:line="109"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Basis for Opinions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management is responsible for these consolidated fnancial statements, for maintaining efectve internal control over fnancial reportng, and for its assessment of the efectveness of internal control over fnancial reportng, included in the accompanying Management’s Report on Internal Control over Financial Reportng. Our responsibility is to express opinions on the Company’s consolidated fnancial statements and on the Company's internal control over fnancial reportng based on our audits. We are a public accountng frm registered with the Public Company Accountng Oversight Board (United States) (PCAOB) and are required to be independent with respect to the Company in accordance with the U.S. federal securites laws and the applicable rules and regulatons of the Securites and Exchange Commission and the PCAOB.</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audits to obtain reasonable assurance about whether the consolidated fnancial statements are free of material misstatement, whether due to error or fraud, and whether efectve internal control over fnancial reportng was maintained in all material respects.</w:t>
      </w:r>
    </w:p>
    <w:p>
      <w:pPr>
        <w:spacing w:after="0" w:line="11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Our audits of the consolidated fnancial statements included performing procedures to assess the risks of material misstatement of the consolidated fnancial statements, whether due to error or fraud, and performing procedures that respond to those risks. Such procedures included examining, on a test basis, evidence regarding the amounts and disclosures in the consolidated fnancial statements. Our audits also included evaluatng the accountng principles used and signifcant estmates made by management, as well as evaluatng the overall presentaton of the consolidated fnancial statements. Our audit of internal control over fnancial reportng included obtaining an understanding of internal control over fnancial reportng, assessing the risk that a material weakness exists, and testng and evaluatng the design and operatng efectveness of internal control based on the assessed risk. Our audits also included performing such other procedures as we considered necessary in the circumstances. We believe that our audits provide a reasonable basis for our opinions.</w:t>
      </w:r>
    </w:p>
    <w:p>
      <w:pPr>
        <w:spacing w:after="0" w:line="98"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Defniton and Limitatons of Internal Control over Financial Reportng</w:t>
      </w:r>
    </w:p>
    <w:p>
      <w:pPr>
        <w:spacing w:after="0" w:line="11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(i) pertain to the maintenance of records that, in reasonable detail, accurately and fairly refect the transactons and dispositons of the assets of the company; (ii)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(iii) provide reasonable assurance regarding preventon or tmely detecton of unauthorized acquisiton, use, or dispositon of the company’s assets that could have a material efect on the fnancial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86995</wp:posOffset>
            </wp:positionV>
            <wp:extent cx="325755" cy="1968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2" w:name="page73"/>
    <w:bookmarkEnd w:id="72"/>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10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Critcal Audit Maters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critcal audit mater communicated below is a mater arising from the current period audit of the consolidated fnancial statements that was communicated or required to be communicated to the audit commitee and that (i) relates to accounts or disclosures that are material to the consolidated fnancial statements and (ii) involved our especially challenging, subjectve, or complex judgments. The communicaton of critcal audit maters does not alter in any way our opinion on the consolidated fnancial statements, taken as a whole, and we are not, by communicatng the critcal audit mater below, providing a separate opinion on the critcal audit mater or on the accounts or disclosures to which it relates.</w:t>
      </w:r>
    </w:p>
    <w:p>
      <w:pPr>
        <w:spacing w:after="0" w:line="107"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Valuaton of the Projected Beneft Obligaton for Certain Defned Beneft Plans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described in Note J to the consolidated fnancial statements, the Company’s net projected beneft obligaton for all defned beneft plans was $969.2 million as of December 31, 2023. As disclosed by management, annually, as of December 31, management remeasures the defned beneft pension plans’ projected beneft obligaton based on the present value of the projected future beneft payments to all partcipants for services rendered to date, refectng expected future pay increases through the partcipants’ expected retrement dates. The key assumptons used by management to estmate the projected beneft obligaton are the discount rate, the expected long-term rate of return on pension plan assets, the mortality table and mortality improvement scale, and the rate of increase in future compensaton levels.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principal consideratons for our determinaton that performing procedures relatng to the valuaton of the projected beneft obligaton for certain defned beneft plans is a critcal audit mater are the (i) signifcant judgment by management when developing the estmate of the projected beneft obligaton; (ii) a high degree of auditor judgment, subjectvity and efort in performing procedures and evaluatng management’s signifcant assumpton related to the discount rate; and (iii) the audit efort involved the use of professionals with specialized skill and knowledge.</w:t>
      </w:r>
    </w:p>
    <w:p>
      <w:pPr>
        <w:spacing w:after="0" w:line="11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Addressing the mater involved performing procedures and evaluatng audit evidence in connecton with forming our overall opinion on the consolidated fnancial statements. These procedures included testng the efectveness of controls relatng to the valuaton of the projected beneft obligaton, including controls over the discount rate assumpton. These procedures also included, among others, (i) testng the completeness and accuracy of the underlying data provided by management and (ii) the involvement of professionals with specialized skill and knowledge to assist in evaluatng the reasonableness of management’s estmate for certain defned beneft plans by (a) evaluatng the appropriateness of management’s actuarial methodologies; (b) developing an independent range of the discount rate and comparing management's selected discount rate to the independently developed range to evaluate the reasonableness of management’s discount rate assumpton; and (c) assessing the consistency of management’s actuarial methodologies period-over-period.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alibri" w:cs="Calibri" w:eastAsia="Calibri" w:hAnsi="Calibri"/>
          <w:sz w:val="18"/>
          <w:szCs w:val="18"/>
          <w:color w:val="auto"/>
        </w:rPr>
        <w:t>/s/ PricewaterhouseCoopers LLP</w:t>
      </w:r>
    </w:p>
    <w:p>
      <w:pPr>
        <w:spacing w:after="0" w:line="235" w:lineRule="auto"/>
        <w:rPr>
          <w:sz w:val="20"/>
          <w:szCs w:val="20"/>
          <w:color w:val="auto"/>
        </w:rPr>
      </w:pPr>
      <w:r>
        <w:rPr>
          <w:rFonts w:ascii="Calibri" w:cs="Calibri" w:eastAsia="Calibri" w:hAnsi="Calibri"/>
          <w:sz w:val="18"/>
          <w:szCs w:val="18"/>
          <w:color w:val="auto"/>
        </w:rPr>
        <w:t>Raleigh, North Carolina</w:t>
      </w:r>
    </w:p>
    <w:p>
      <w:pPr>
        <w:spacing w:after="0" w:line="236" w:lineRule="auto"/>
        <w:rPr>
          <w:sz w:val="20"/>
          <w:szCs w:val="20"/>
          <w:color w:val="auto"/>
        </w:rPr>
      </w:pPr>
      <w:r>
        <w:rPr>
          <w:rFonts w:ascii="Calibri" w:cs="Calibri" w:eastAsia="Calibri" w:hAnsi="Calibri"/>
          <w:sz w:val="18"/>
          <w:szCs w:val="18"/>
          <w:color w:val="auto"/>
        </w:rPr>
        <w:t>February 23, 2024</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served as the Company’s auditor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3" w:name="page74"/>
    <w:bookmarkEnd w:id="73"/>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Financial Statements</w:t>
      </w:r>
    </w:p>
    <w:p>
      <w:pPr>
        <w:spacing w:after="0" w:line="34"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color w:val="auto"/>
        </w:rPr>
        <w:t>Martn Marieta Materials, Inc. and Consolidated Subsidiaries</w:t>
      </w:r>
    </w:p>
    <w:p>
      <w:pPr>
        <w:spacing w:after="0" w:line="1"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b w:val="1"/>
          <w:bCs w:val="1"/>
          <w:color w:val="007DC6"/>
        </w:rPr>
        <w:t>Consolidated Statements of Earnings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80" w:type="dxa"/>
            <w:vAlign w:val="bottom"/>
          </w:tcPr>
          <w:p>
            <w:pPr>
              <w:ind w:left="20"/>
              <w:spacing w:after="0"/>
              <w:rPr>
                <w:sz w:val="20"/>
                <w:szCs w:val="20"/>
                <w:color w:val="auto"/>
              </w:rPr>
            </w:pPr>
            <w:r>
              <w:rPr>
                <w:rFonts w:ascii="Calibri" w:cs="Calibri" w:eastAsia="Calibri" w:hAnsi="Calibri"/>
                <w:sz w:val="16"/>
                <w:szCs w:val="16"/>
                <w:i w:val="1"/>
                <w:iCs w:val="1"/>
                <w:color w:val="auto"/>
              </w:rPr>
              <w:t>years ended December 31</w:t>
            </w:r>
          </w:p>
        </w:tc>
        <w:tc>
          <w:tcPr>
            <w:tcW w:w="300" w:type="dxa"/>
            <w:vAlign w:val="bottom"/>
            <w:shd w:val="clear" w:color="auto" w:fill="007DC6"/>
          </w:tcPr>
          <w:p>
            <w:pPr>
              <w:spacing w:after="0"/>
              <w:rPr>
                <w:sz w:val="17"/>
                <w:szCs w:val="17"/>
                <w:color w:val="auto"/>
              </w:rPr>
            </w:pPr>
          </w:p>
        </w:tc>
        <w:tc>
          <w:tcPr>
            <w:tcW w:w="1280" w:type="dxa"/>
            <w:vAlign w:val="bottom"/>
            <w:shd w:val="clear" w:color="auto" w:fill="007DC6"/>
          </w:tcPr>
          <w:p>
            <w:pPr>
              <w:spacing w:after="0"/>
              <w:rPr>
                <w:sz w:val="17"/>
                <w:szCs w:val="17"/>
                <w:color w:val="auto"/>
              </w:rPr>
            </w:pPr>
          </w:p>
        </w:tc>
        <w:tc>
          <w:tcPr>
            <w:tcW w:w="120" w:type="dxa"/>
            <w:vAlign w:val="bottom"/>
            <w:shd w:val="clear" w:color="auto" w:fill="007DC6"/>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0"/>
              <w:spacing w:after="0" w:line="193" w:lineRule="exact"/>
              <w:rPr>
                <w:sz w:val="20"/>
                <w:szCs w:val="20"/>
                <w:color w:val="auto"/>
              </w:rPr>
            </w:pPr>
            <w:r>
              <w:rPr>
                <w:rFonts w:ascii="Calibri" w:cs="Calibri" w:eastAsia="Calibri" w:hAnsi="Calibri"/>
                <w:sz w:val="16"/>
                <w:szCs w:val="16"/>
                <w:color w:val="auto"/>
              </w:rPr>
              <w:t>(in millions, except per share data)</w:t>
            </w:r>
          </w:p>
        </w:tc>
        <w:tc>
          <w:tcPr>
            <w:tcW w:w="300" w:type="dxa"/>
            <w:vAlign w:val="bottom"/>
            <w:tcBorders>
              <w:bottom w:val="single" w:sz="8" w:color="007DC6"/>
            </w:tcBorders>
            <w:shd w:val="clear" w:color="auto" w:fill="007DC6"/>
          </w:tcPr>
          <w:p>
            <w:pPr>
              <w:spacing w:after="0"/>
              <w:rPr>
                <w:sz w:val="20"/>
                <w:szCs w:val="20"/>
                <w:color w:val="auto"/>
              </w:rPr>
            </w:pPr>
          </w:p>
        </w:tc>
        <w:tc>
          <w:tcPr>
            <w:tcW w:w="1280" w:type="dxa"/>
            <w:vAlign w:val="bottom"/>
            <w:tcBorders>
              <w:bottom w:val="single" w:sz="8" w:color="007DC6"/>
            </w:tcBorders>
            <w:shd w:val="clear" w:color="auto" w:fill="007DC6"/>
          </w:tcPr>
          <w:p>
            <w:pPr>
              <w:jc w:val="right"/>
              <w:ind w:right="459"/>
              <w:spacing w:after="0" w:line="193" w:lineRule="exact"/>
              <w:rPr>
                <w:sz w:val="20"/>
                <w:szCs w:val="20"/>
                <w:color w:val="auto"/>
              </w:rPr>
            </w:pPr>
            <w:r>
              <w:rPr>
                <w:rFonts w:ascii="Calibri" w:cs="Calibri" w:eastAsia="Calibri" w:hAnsi="Calibri"/>
                <w:sz w:val="16"/>
                <w:szCs w:val="16"/>
                <w:b w:val="1"/>
                <w:bCs w:val="1"/>
                <w:color w:val="FFFFFF"/>
              </w:rPr>
              <w:t>2023</w:t>
            </w:r>
          </w:p>
        </w:tc>
        <w:tc>
          <w:tcPr>
            <w:tcW w:w="120" w:type="dxa"/>
            <w:vAlign w:val="bottom"/>
            <w:tcBorders>
              <w:bottom w:val="single" w:sz="8" w:color="007DC6"/>
            </w:tcBorders>
            <w:shd w:val="clear" w:color="auto" w:fill="007DC6"/>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60" w:type="dxa"/>
            <w:vAlign w:val="bottom"/>
            <w:tcBorders>
              <w:bottom w:val="single" w:sz="8" w:color="DEEAEB"/>
            </w:tcBorders>
            <w:shd w:val="clear" w:color="auto" w:fill="DEEAEB"/>
          </w:tcPr>
          <w:p>
            <w:pPr>
              <w:jc w:val="right"/>
              <w:ind w:right="439"/>
              <w:spacing w:after="0" w:line="193" w:lineRule="exact"/>
              <w:rPr>
                <w:sz w:val="20"/>
                <w:szCs w:val="20"/>
                <w:color w:val="auto"/>
              </w:rPr>
            </w:pPr>
            <w:r>
              <w:rPr>
                <w:rFonts w:ascii="Calibri" w:cs="Calibri" w:eastAsia="Calibri" w:hAnsi="Calibri"/>
                <w:sz w:val="16"/>
                <w:szCs w:val="16"/>
                <w:color w:val="auto"/>
              </w:rPr>
              <w:t>2022</w:t>
            </w:r>
          </w:p>
        </w:tc>
        <w:tc>
          <w:tcPr>
            <w:tcW w:w="120" w:type="dxa"/>
            <w:vAlign w:val="bottom"/>
            <w:tcBorders>
              <w:bottom w:val="single" w:sz="8" w:color="DEEAEB"/>
            </w:tcBorders>
            <w:shd w:val="clear" w:color="auto" w:fill="DEEAEB"/>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80" w:type="dxa"/>
            <w:vAlign w:val="bottom"/>
            <w:tcBorders>
              <w:bottom w:val="single" w:sz="8" w:color="DEEAEB"/>
            </w:tcBorders>
            <w:shd w:val="clear" w:color="auto" w:fill="DEEAEB"/>
          </w:tcPr>
          <w:p>
            <w:pPr>
              <w:jc w:val="right"/>
              <w:ind w:right="459"/>
              <w:spacing w:after="0" w:line="193" w:lineRule="exact"/>
              <w:rPr>
                <w:sz w:val="20"/>
                <w:szCs w:val="20"/>
                <w:color w:val="auto"/>
              </w:rPr>
            </w:pPr>
            <w:r>
              <w:rPr>
                <w:rFonts w:ascii="Calibri" w:cs="Calibri" w:eastAsia="Calibri" w:hAnsi="Calibri"/>
                <w:sz w:val="16"/>
                <w:szCs w:val="16"/>
                <w:color w:val="auto"/>
              </w:rPr>
              <w:t>2021</w:t>
            </w:r>
          </w:p>
        </w:tc>
        <w:tc>
          <w:tcPr>
            <w:tcW w:w="100" w:type="dxa"/>
            <w:vAlign w:val="bottom"/>
            <w:tcBorders>
              <w:bottom w:val="single" w:sz="8" w:color="DEEAEB"/>
            </w:tcBorders>
            <w:shd w:val="clear" w:color="auto" w:fill="DEEAEB"/>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Revenues</w:t>
            </w:r>
          </w:p>
        </w:tc>
        <w:tc>
          <w:tcPr>
            <w:tcW w:w="30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6,777.2</w:t>
            </w:r>
          </w:p>
        </w:tc>
        <w:tc>
          <w:tcPr>
            <w:tcW w:w="120" w:type="dxa"/>
            <w:vAlign w:val="bottom"/>
            <w:tcBorders>
              <w:top w:val="single" w:sz="8" w:color="auto"/>
            </w:tcBorders>
            <w:shd w:val="clear" w:color="auto" w:fill="B6D2E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6,160.7</w:t>
            </w:r>
          </w:p>
        </w:tc>
        <w:tc>
          <w:tcPr>
            <w:tcW w:w="120" w:type="dxa"/>
            <w:vAlign w:val="bottom"/>
            <w:tcBorders>
              <w:top w:val="single" w:sz="8" w:color="auto"/>
            </w:tcBorders>
            <w:shd w:val="clear" w:color="auto" w:fill="DEEAEB"/>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5,414.0</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980" w:type="dxa"/>
            <w:vAlign w:val="bottom"/>
          </w:tcPr>
          <w:p>
            <w:pPr>
              <w:ind w:left="20"/>
              <w:spacing w:after="0"/>
              <w:rPr>
                <w:sz w:val="20"/>
                <w:szCs w:val="20"/>
                <w:color w:val="auto"/>
              </w:rPr>
            </w:pPr>
            <w:r>
              <w:rPr>
                <w:rFonts w:ascii="Calibri" w:cs="Calibri" w:eastAsia="Calibri" w:hAnsi="Calibri"/>
                <w:sz w:val="16"/>
                <w:szCs w:val="16"/>
                <w:color w:val="auto"/>
              </w:rPr>
              <w:t>Total cost of revenues</w:t>
            </w:r>
          </w:p>
        </w:tc>
        <w:tc>
          <w:tcPr>
            <w:tcW w:w="30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4,754.6</w:t>
            </w:r>
          </w:p>
        </w:tc>
        <w:tc>
          <w:tcPr>
            <w:tcW w:w="120" w:type="dxa"/>
            <w:vAlign w:val="bottom"/>
            <w:tcBorders>
              <w:bottom w:val="single" w:sz="8" w:color="B6D2E2"/>
            </w:tcBorders>
            <w:shd w:val="clear" w:color="auto" w:fill="B6D2E2"/>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4,737.4</w:t>
            </w:r>
          </w:p>
        </w:tc>
        <w:tc>
          <w:tcPr>
            <w:tcW w:w="120" w:type="dxa"/>
            <w:vAlign w:val="bottom"/>
            <w:tcBorders>
              <w:bottom w:val="single" w:sz="8" w:color="DEEAEB"/>
            </w:tcBorders>
            <w:shd w:val="clear" w:color="auto" w:fill="DEEAEB"/>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4,065.6</w:t>
            </w:r>
          </w:p>
        </w:tc>
        <w:tc>
          <w:tcPr>
            <w:tcW w:w="100" w:type="dxa"/>
            <w:vAlign w:val="bottom"/>
            <w:tcBorders>
              <w:bottom w:val="single" w:sz="8" w:color="DEEAEB"/>
            </w:tcBorders>
            <w:shd w:val="clear" w:color="auto" w:fill="DEEAEB"/>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Gross Proft</w:t>
            </w:r>
          </w:p>
        </w:tc>
        <w:tc>
          <w:tcPr>
            <w:tcW w:w="30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2,022.6</w:t>
            </w:r>
          </w:p>
        </w:tc>
        <w:tc>
          <w:tcPr>
            <w:tcW w:w="120" w:type="dxa"/>
            <w:vAlign w:val="bottom"/>
            <w:tcBorders>
              <w:top w:val="single" w:sz="8" w:color="auto"/>
            </w:tcBorders>
            <w:shd w:val="clear" w:color="auto" w:fill="B6D2E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1,423.3</w:t>
            </w:r>
          </w:p>
        </w:tc>
        <w:tc>
          <w:tcPr>
            <w:tcW w:w="120" w:type="dxa"/>
            <w:vAlign w:val="bottom"/>
            <w:tcBorders>
              <w:top w:val="single" w:sz="8" w:color="auto"/>
            </w:tcBorders>
            <w:shd w:val="clear" w:color="auto" w:fill="DEEAEB"/>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1,348.4</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980" w:type="dxa"/>
            <w:vAlign w:val="bottom"/>
          </w:tcPr>
          <w:p>
            <w:pPr>
              <w:ind w:left="20"/>
              <w:spacing w:after="0"/>
              <w:rPr>
                <w:sz w:val="20"/>
                <w:szCs w:val="20"/>
                <w:color w:val="auto"/>
              </w:rPr>
            </w:pPr>
            <w:r>
              <w:rPr>
                <w:rFonts w:ascii="Calibri" w:cs="Calibri" w:eastAsia="Calibri" w:hAnsi="Calibri"/>
                <w:sz w:val="16"/>
                <w:szCs w:val="16"/>
                <w:color w:val="auto"/>
              </w:rPr>
              <w:t>Selling, general and administratve expenses</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442.8</w:t>
            </w: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396.7</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351.0</w:t>
            </w: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Acquisiton, divestture and integraton expenses</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12.2</w:t>
            </w: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9.1</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57.9</w:t>
            </w: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5980" w:type="dxa"/>
            <w:vAlign w:val="bottom"/>
          </w:tcPr>
          <w:p>
            <w:pPr>
              <w:ind w:left="20"/>
              <w:spacing w:after="0"/>
              <w:rPr>
                <w:sz w:val="20"/>
                <w:szCs w:val="20"/>
                <w:color w:val="auto"/>
              </w:rPr>
            </w:pPr>
            <w:r>
              <w:rPr>
                <w:rFonts w:ascii="Calibri" w:cs="Calibri" w:eastAsia="Calibri" w:hAnsi="Calibri"/>
                <w:sz w:val="16"/>
                <w:szCs w:val="16"/>
                <w:color w:val="auto"/>
              </w:rPr>
              <w:t>Other operatng income, net</w:t>
            </w:r>
          </w:p>
        </w:tc>
        <w:tc>
          <w:tcPr>
            <w:tcW w:w="30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(28.4</w:t>
            </w:r>
          </w:p>
        </w:tc>
        <w:tc>
          <w:tcPr>
            <w:tcW w:w="12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(189.2</w:t>
            </w:r>
          </w:p>
        </w:tc>
        <w:tc>
          <w:tcPr>
            <w:tcW w:w="12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(34.3</w:t>
            </w:r>
          </w:p>
        </w:tc>
        <w:tc>
          <w:tcPr>
            <w:tcW w:w="1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c>
          <w:tcPr>
            <w:tcW w:w="0" w:type="dxa"/>
            <w:vAlign w:val="bottom"/>
          </w:tcPr>
          <w:p>
            <w:pPr>
              <w:spacing w:after="0"/>
              <w:rPr>
                <w:sz w:val="1"/>
                <w:szCs w:val="1"/>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Earnings from Operatons</w:t>
            </w:r>
          </w:p>
        </w:tc>
        <w:tc>
          <w:tcPr>
            <w:tcW w:w="30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1,596.0</w:t>
            </w:r>
          </w:p>
        </w:tc>
        <w:tc>
          <w:tcPr>
            <w:tcW w:w="120" w:type="dxa"/>
            <w:vAlign w:val="bottom"/>
            <w:tcBorders>
              <w:top w:val="single" w:sz="8" w:color="auto"/>
            </w:tcBorders>
            <w:shd w:val="clear" w:color="auto" w:fill="B6D2E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1,206.7</w:t>
            </w:r>
          </w:p>
        </w:tc>
        <w:tc>
          <w:tcPr>
            <w:tcW w:w="120" w:type="dxa"/>
            <w:vAlign w:val="bottom"/>
            <w:tcBorders>
              <w:top w:val="single" w:sz="8" w:color="auto"/>
            </w:tcBorders>
            <w:shd w:val="clear" w:color="auto" w:fill="DEEAEB"/>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973.8</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980" w:type="dxa"/>
            <w:vAlign w:val="bottom"/>
          </w:tcPr>
          <w:p>
            <w:pPr>
              <w:ind w:left="20"/>
              <w:spacing w:after="0"/>
              <w:rPr>
                <w:sz w:val="20"/>
                <w:szCs w:val="20"/>
                <w:color w:val="auto"/>
              </w:rPr>
            </w:pPr>
            <w:r>
              <w:rPr>
                <w:rFonts w:ascii="Calibri" w:cs="Calibri" w:eastAsia="Calibri" w:hAnsi="Calibri"/>
                <w:sz w:val="16"/>
                <w:szCs w:val="16"/>
                <w:color w:val="auto"/>
              </w:rPr>
              <w:t>Interest expense</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165.3</w:t>
            </w: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169.0</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142.7</w:t>
            </w: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
              <w:spacing w:after="0"/>
              <w:rPr>
                <w:sz w:val="20"/>
                <w:szCs w:val="20"/>
                <w:color w:val="auto"/>
              </w:rPr>
            </w:pPr>
            <w:r>
              <w:rPr>
                <w:rFonts w:ascii="Calibri" w:cs="Calibri" w:eastAsia="Calibri" w:hAnsi="Calibri"/>
                <w:sz w:val="16"/>
                <w:szCs w:val="16"/>
                <w:color w:val="auto"/>
              </w:rPr>
              <w:t>Other nonoperatng income, net</w:t>
            </w:r>
          </w:p>
        </w:tc>
        <w:tc>
          <w:tcPr>
            <w:tcW w:w="300" w:type="dxa"/>
            <w:vAlign w:val="bottom"/>
            <w:tcBorders>
              <w:bottom w:val="single" w:sz="8" w:color="B6D2E2"/>
            </w:tcBorders>
            <w:shd w:val="clear" w:color="auto" w:fill="B6D2E2"/>
          </w:tcPr>
          <w:p>
            <w:pPr>
              <w:spacing w:after="0"/>
              <w:rPr>
                <w:sz w:val="23"/>
                <w:szCs w:val="23"/>
                <w:color w:val="auto"/>
              </w:rPr>
            </w:pPr>
          </w:p>
        </w:tc>
        <w:tc>
          <w:tcPr>
            <w:tcW w:w="1400" w:type="dxa"/>
            <w:vAlign w:val="bottom"/>
            <w:tcBorders>
              <w:bottom w:val="single" w:sz="8" w:color="B6D2E2"/>
            </w:tcBorders>
            <w:gridSpan w:val="2"/>
            <w:shd w:val="clear" w:color="auto" w:fill="B6D2E2"/>
          </w:tcPr>
          <w:p>
            <w:pPr>
              <w:jc w:val="right"/>
              <w:spacing w:after="0"/>
              <w:rPr>
                <w:sz w:val="20"/>
                <w:szCs w:val="20"/>
                <w:color w:val="auto"/>
              </w:rPr>
            </w:pPr>
            <w:r>
              <w:rPr>
                <w:rFonts w:ascii="Calibri" w:cs="Calibri" w:eastAsia="Calibri" w:hAnsi="Calibri"/>
                <w:sz w:val="16"/>
                <w:szCs w:val="16"/>
                <w:b w:val="1"/>
                <w:bCs w:val="1"/>
                <w:color w:val="auto"/>
              </w:rPr>
              <w:t>(62.1 )</w:t>
            </w: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380" w:type="dxa"/>
            <w:vAlign w:val="bottom"/>
            <w:tcBorders>
              <w:bottom w:val="single" w:sz="8" w:color="DEEAEB"/>
            </w:tcBorders>
            <w:gridSpan w:val="2"/>
            <w:shd w:val="clear" w:color="auto" w:fill="DEEAEB"/>
          </w:tcPr>
          <w:p>
            <w:pPr>
              <w:jc w:val="right"/>
              <w:spacing w:after="0"/>
              <w:rPr>
                <w:sz w:val="20"/>
                <w:szCs w:val="20"/>
                <w:color w:val="auto"/>
              </w:rPr>
            </w:pPr>
            <w:r>
              <w:rPr>
                <w:rFonts w:ascii="Calibri" w:cs="Calibri" w:eastAsia="Calibri" w:hAnsi="Calibri"/>
                <w:sz w:val="16"/>
                <w:szCs w:val="16"/>
                <w:color w:val="auto"/>
              </w:rPr>
              <w:t>(53.4 )</w:t>
            </w: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380" w:type="dxa"/>
            <w:vAlign w:val="bottom"/>
            <w:tcBorders>
              <w:bottom w:val="single" w:sz="8" w:color="DEEAEB"/>
            </w:tcBorders>
            <w:gridSpan w:val="2"/>
            <w:shd w:val="clear" w:color="auto" w:fill="DEEAEB"/>
          </w:tcPr>
          <w:p>
            <w:pPr>
              <w:jc w:val="right"/>
              <w:spacing w:after="0"/>
              <w:rPr>
                <w:sz w:val="20"/>
                <w:szCs w:val="20"/>
                <w:color w:val="auto"/>
              </w:rPr>
            </w:pPr>
            <w:r>
              <w:rPr>
                <w:rFonts w:ascii="Calibri" w:cs="Calibri" w:eastAsia="Calibri" w:hAnsi="Calibri"/>
                <w:sz w:val="16"/>
                <w:szCs w:val="16"/>
                <w:color w:val="auto"/>
              </w:rPr>
              <w:t>(24.4 )</w:t>
            </w:r>
          </w:p>
        </w:tc>
        <w:tc>
          <w:tcPr>
            <w:tcW w:w="0" w:type="dxa"/>
            <w:vAlign w:val="bottom"/>
          </w:tcPr>
          <w:p>
            <w:pPr>
              <w:spacing w:after="0"/>
              <w:rPr>
                <w:sz w:val="1"/>
                <w:szCs w:val="1"/>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Earnings from contnuing operatons before income tax expense</w:t>
            </w:r>
          </w:p>
        </w:tc>
        <w:tc>
          <w:tcPr>
            <w:tcW w:w="30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1,492.8</w:t>
            </w:r>
          </w:p>
        </w:tc>
        <w:tc>
          <w:tcPr>
            <w:tcW w:w="120" w:type="dxa"/>
            <w:vAlign w:val="bottom"/>
            <w:tcBorders>
              <w:top w:val="single" w:sz="8" w:color="auto"/>
            </w:tcBorders>
            <w:shd w:val="clear" w:color="auto" w:fill="B6D2E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1,091.1</w:t>
            </w:r>
          </w:p>
        </w:tc>
        <w:tc>
          <w:tcPr>
            <w:tcW w:w="120" w:type="dxa"/>
            <w:vAlign w:val="bottom"/>
            <w:tcBorders>
              <w:top w:val="single" w:sz="8" w:color="auto"/>
            </w:tcBorders>
            <w:shd w:val="clear" w:color="auto" w:fill="DEEAEB"/>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855.5</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980" w:type="dxa"/>
            <w:vAlign w:val="bottom"/>
          </w:tcPr>
          <w:p>
            <w:pPr>
              <w:ind w:left="20"/>
              <w:spacing w:after="0"/>
              <w:rPr>
                <w:sz w:val="20"/>
                <w:szCs w:val="20"/>
                <w:color w:val="auto"/>
              </w:rPr>
            </w:pPr>
            <w:r>
              <w:rPr>
                <w:rFonts w:ascii="Calibri" w:cs="Calibri" w:eastAsia="Calibri" w:hAnsi="Calibri"/>
                <w:sz w:val="16"/>
                <w:szCs w:val="16"/>
                <w:color w:val="auto"/>
              </w:rPr>
              <w:t>Income tax expense</w:t>
            </w:r>
          </w:p>
        </w:tc>
        <w:tc>
          <w:tcPr>
            <w:tcW w:w="30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292.5</w:t>
            </w:r>
          </w:p>
        </w:tc>
        <w:tc>
          <w:tcPr>
            <w:tcW w:w="120" w:type="dxa"/>
            <w:vAlign w:val="bottom"/>
            <w:tcBorders>
              <w:bottom w:val="single" w:sz="8" w:color="B6D2E2"/>
            </w:tcBorders>
            <w:shd w:val="clear" w:color="auto" w:fill="B6D2E2"/>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234.8</w:t>
            </w:r>
          </w:p>
        </w:tc>
        <w:tc>
          <w:tcPr>
            <w:tcW w:w="120" w:type="dxa"/>
            <w:vAlign w:val="bottom"/>
            <w:tcBorders>
              <w:bottom w:val="single" w:sz="8" w:color="DEEAEB"/>
            </w:tcBorders>
            <w:shd w:val="clear" w:color="auto" w:fill="DEEAEB"/>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153.2</w:t>
            </w:r>
          </w:p>
        </w:tc>
        <w:tc>
          <w:tcPr>
            <w:tcW w:w="100" w:type="dxa"/>
            <w:vAlign w:val="bottom"/>
            <w:tcBorders>
              <w:bottom w:val="single" w:sz="8" w:color="DEEAEB"/>
            </w:tcBorders>
            <w:shd w:val="clear" w:color="auto" w:fill="DEEAEB"/>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Earnings from contnuing operatons</w:t>
            </w:r>
          </w:p>
        </w:tc>
        <w:tc>
          <w:tcPr>
            <w:tcW w:w="30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1,200.3</w:t>
            </w:r>
          </w:p>
        </w:tc>
        <w:tc>
          <w:tcPr>
            <w:tcW w:w="120" w:type="dxa"/>
            <w:vAlign w:val="bottom"/>
            <w:tcBorders>
              <w:top w:val="single" w:sz="8" w:color="auto"/>
            </w:tcBorders>
            <w:shd w:val="clear" w:color="auto" w:fill="B6D2E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856.3</w:t>
            </w:r>
          </w:p>
        </w:tc>
        <w:tc>
          <w:tcPr>
            <w:tcW w:w="120" w:type="dxa"/>
            <w:vAlign w:val="bottom"/>
            <w:tcBorders>
              <w:top w:val="single" w:sz="8" w:color="auto"/>
            </w:tcBorders>
            <w:shd w:val="clear" w:color="auto" w:fill="DEEAEB"/>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702.3</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980" w:type="dxa"/>
            <w:vAlign w:val="bottom"/>
          </w:tcPr>
          <w:p>
            <w:pPr>
              <w:ind w:left="20"/>
              <w:spacing w:after="0"/>
              <w:rPr>
                <w:sz w:val="20"/>
                <w:szCs w:val="20"/>
                <w:color w:val="auto"/>
              </w:rPr>
            </w:pPr>
            <w:r>
              <w:rPr>
                <w:rFonts w:ascii="Calibri" w:cs="Calibri" w:eastAsia="Calibri" w:hAnsi="Calibri"/>
                <w:sz w:val="16"/>
                <w:szCs w:val="16"/>
                <w:color w:val="auto"/>
              </w:rPr>
              <w:t>(Loss) Earnings from discontnued operatons, net of income tax</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spacing w:after="0"/>
              <w:rPr>
                <w:sz w:val="19"/>
                <w:szCs w:val="19"/>
                <w:color w:val="auto"/>
              </w:rPr>
            </w:pP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80" w:type="dxa"/>
            <w:vAlign w:val="bottom"/>
          </w:tcPr>
          <w:p>
            <w:pPr>
              <w:ind w:left="140"/>
              <w:spacing w:after="0"/>
              <w:rPr>
                <w:sz w:val="20"/>
                <w:szCs w:val="20"/>
                <w:color w:val="auto"/>
              </w:rPr>
            </w:pPr>
            <w:r>
              <w:rPr>
                <w:rFonts w:ascii="Calibri" w:cs="Calibri" w:eastAsia="Calibri" w:hAnsi="Calibri"/>
                <w:sz w:val="16"/>
                <w:szCs w:val="16"/>
                <w:color w:val="auto"/>
              </w:rPr>
              <w:t>(beneft) expense</w:t>
            </w:r>
          </w:p>
        </w:tc>
        <w:tc>
          <w:tcPr>
            <w:tcW w:w="300" w:type="dxa"/>
            <w:vAlign w:val="bottom"/>
            <w:tcBorders>
              <w:bottom w:val="single" w:sz="8" w:color="B6D2E2"/>
            </w:tcBorders>
            <w:shd w:val="clear" w:color="auto" w:fill="B6D2E2"/>
          </w:tcPr>
          <w:p>
            <w:pPr>
              <w:spacing w:after="0"/>
              <w:rPr>
                <w:sz w:val="21"/>
                <w:szCs w:val="21"/>
                <w:color w:val="auto"/>
              </w:rPr>
            </w:pPr>
          </w:p>
        </w:tc>
        <w:tc>
          <w:tcPr>
            <w:tcW w:w="1400" w:type="dxa"/>
            <w:vAlign w:val="bottom"/>
            <w:tcBorders>
              <w:bottom w:val="single" w:sz="8" w:color="B6D2E2"/>
            </w:tcBorders>
            <w:gridSpan w:val="2"/>
            <w:shd w:val="clear" w:color="auto" w:fill="B6D2E2"/>
          </w:tcPr>
          <w:p>
            <w:pPr>
              <w:jc w:val="right"/>
              <w:spacing w:after="0"/>
              <w:rPr>
                <w:sz w:val="20"/>
                <w:szCs w:val="20"/>
                <w:color w:val="auto"/>
              </w:rPr>
            </w:pPr>
            <w:r>
              <w:rPr>
                <w:rFonts w:ascii="Calibri" w:cs="Calibri" w:eastAsia="Calibri" w:hAnsi="Calibri"/>
                <w:sz w:val="16"/>
                <w:szCs w:val="16"/>
                <w:b w:val="1"/>
                <w:bCs w:val="1"/>
                <w:color w:val="auto"/>
              </w:rPr>
              <w:t>(30.9 )</w:t>
            </w:r>
          </w:p>
        </w:tc>
        <w:tc>
          <w:tcPr>
            <w:tcW w:w="140" w:type="dxa"/>
            <w:vAlign w:val="bottom"/>
          </w:tcPr>
          <w:p>
            <w:pPr>
              <w:spacing w:after="0"/>
              <w:rPr>
                <w:sz w:val="21"/>
                <w:szCs w:val="21"/>
                <w:color w:val="auto"/>
              </w:rPr>
            </w:pPr>
          </w:p>
        </w:tc>
        <w:tc>
          <w:tcPr>
            <w:tcW w:w="260" w:type="dxa"/>
            <w:vAlign w:val="bottom"/>
            <w:tcBorders>
              <w:bottom w:val="single" w:sz="8" w:color="DEEAEB"/>
            </w:tcBorders>
            <w:shd w:val="clear" w:color="auto" w:fill="DEEAEB"/>
          </w:tcPr>
          <w:p>
            <w:pPr>
              <w:spacing w:after="0"/>
              <w:rPr>
                <w:sz w:val="21"/>
                <w:szCs w:val="21"/>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10.5</w:t>
            </w:r>
          </w:p>
        </w:tc>
        <w:tc>
          <w:tcPr>
            <w:tcW w:w="120" w:type="dxa"/>
            <w:vAlign w:val="bottom"/>
            <w:tcBorders>
              <w:bottom w:val="single" w:sz="8" w:color="DEEAEB"/>
            </w:tcBorders>
            <w:shd w:val="clear" w:color="auto" w:fill="DEEAEB"/>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DEEAEB"/>
            </w:tcBorders>
            <w:shd w:val="clear" w:color="auto" w:fill="DEEAEB"/>
          </w:tcPr>
          <w:p>
            <w:pPr>
              <w:spacing w:after="0"/>
              <w:rPr>
                <w:sz w:val="21"/>
                <w:szCs w:val="21"/>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0.5</w:t>
            </w:r>
          </w:p>
        </w:tc>
        <w:tc>
          <w:tcPr>
            <w:tcW w:w="100" w:type="dxa"/>
            <w:vAlign w:val="bottom"/>
            <w:tcBorders>
              <w:bottom w:val="single" w:sz="8" w:color="DEEAEB"/>
            </w:tcBorders>
            <w:shd w:val="clear" w:color="auto" w:fill="DEEAEB"/>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Consolidated net earnings</w:t>
            </w:r>
          </w:p>
        </w:tc>
        <w:tc>
          <w:tcPr>
            <w:tcW w:w="30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1,169.4</w:t>
            </w:r>
          </w:p>
        </w:tc>
        <w:tc>
          <w:tcPr>
            <w:tcW w:w="120" w:type="dxa"/>
            <w:vAlign w:val="bottom"/>
            <w:tcBorders>
              <w:top w:val="single" w:sz="8" w:color="auto"/>
            </w:tcBorders>
            <w:shd w:val="clear" w:color="auto" w:fill="B6D2E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866.8</w:t>
            </w:r>
          </w:p>
        </w:tc>
        <w:tc>
          <w:tcPr>
            <w:tcW w:w="120" w:type="dxa"/>
            <w:vAlign w:val="bottom"/>
            <w:tcBorders>
              <w:top w:val="single" w:sz="8" w:color="auto"/>
            </w:tcBorders>
            <w:shd w:val="clear" w:color="auto" w:fill="DEEAEB"/>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702.8</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980" w:type="dxa"/>
            <w:vAlign w:val="bottom"/>
          </w:tcPr>
          <w:p>
            <w:pPr>
              <w:ind w:left="20"/>
              <w:spacing w:after="0"/>
              <w:rPr>
                <w:sz w:val="20"/>
                <w:szCs w:val="20"/>
                <w:color w:val="auto"/>
              </w:rPr>
            </w:pPr>
            <w:r>
              <w:rPr>
                <w:rFonts w:ascii="Calibri" w:cs="Calibri" w:eastAsia="Calibri" w:hAnsi="Calibri"/>
                <w:sz w:val="16"/>
                <w:szCs w:val="16"/>
                <w:color w:val="auto"/>
              </w:rPr>
              <w:t>Less: Net earnings atributable to noncontrolling interests</w:t>
            </w:r>
          </w:p>
        </w:tc>
        <w:tc>
          <w:tcPr>
            <w:tcW w:w="30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0.5</w:t>
            </w:r>
          </w:p>
        </w:tc>
        <w:tc>
          <w:tcPr>
            <w:tcW w:w="120" w:type="dxa"/>
            <w:vAlign w:val="bottom"/>
            <w:tcBorders>
              <w:bottom w:val="single" w:sz="8" w:color="B6D2E2"/>
            </w:tcBorders>
            <w:shd w:val="clear" w:color="auto" w:fill="B6D2E2"/>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380" w:type="dxa"/>
            <w:vAlign w:val="bottom"/>
            <w:tcBorders>
              <w:bottom w:val="single" w:sz="8" w:color="DEEAEB"/>
            </w:tcBorders>
            <w:gridSpan w:val="2"/>
            <w:shd w:val="clear" w:color="auto" w:fill="DEEAEB"/>
          </w:tcPr>
          <w:p>
            <w:pPr>
              <w:jc w:val="right"/>
              <w:ind w:right="39"/>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0.3</w:t>
            </w:r>
          </w:p>
        </w:tc>
        <w:tc>
          <w:tcPr>
            <w:tcW w:w="100" w:type="dxa"/>
            <w:vAlign w:val="bottom"/>
            <w:tcBorders>
              <w:bottom w:val="single" w:sz="8" w:color="DEEAEB"/>
            </w:tcBorders>
            <w:shd w:val="clear" w:color="auto" w:fill="DEEAEB"/>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Net Earnings Atributable to Martn Marieta</w:t>
            </w:r>
          </w:p>
        </w:tc>
        <w:tc>
          <w:tcPr>
            <w:tcW w:w="30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1,168.9</w:t>
            </w:r>
          </w:p>
        </w:tc>
        <w:tc>
          <w:tcPr>
            <w:tcW w:w="120" w:type="dxa"/>
            <w:vAlign w:val="bottom"/>
            <w:tcBorders>
              <w:top w:val="single" w:sz="8" w:color="auto"/>
              <w:bottom w:val="single" w:sz="8" w:color="B6D2E2"/>
            </w:tcBorders>
            <w:shd w:val="clear" w:color="auto" w:fill="B6D2E2"/>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866.8</w:t>
            </w:r>
          </w:p>
        </w:tc>
        <w:tc>
          <w:tcPr>
            <w:tcW w:w="120" w:type="dxa"/>
            <w:vAlign w:val="bottom"/>
            <w:tcBorders>
              <w:top w:val="single" w:sz="8" w:color="auto"/>
              <w:bottom w:val="single" w:sz="8" w:color="DEEAEB"/>
            </w:tcBorders>
            <w:shd w:val="clear" w:color="auto" w:fill="DEEAEB"/>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702.5</w:t>
            </w:r>
          </w:p>
        </w:tc>
        <w:tc>
          <w:tcPr>
            <w:tcW w:w="100" w:type="dxa"/>
            <w:vAlign w:val="bottom"/>
            <w:tcBorders>
              <w:top w:val="single" w:sz="8" w:color="auto"/>
              <w:bottom w:val="single" w:sz="8" w:color="DEEAEB"/>
            </w:tcBorders>
            <w:shd w:val="clear" w:color="auto" w:fill="DEEAEB"/>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5980" w:type="dxa"/>
            <w:vAlign w:val="bottom"/>
            <w:tcBorders>
              <w:top w:val="single" w:sz="8" w:color="auto"/>
            </w:tcBorders>
          </w:tcPr>
          <w:p>
            <w:pPr>
              <w:ind w:left="20"/>
              <w:spacing w:after="0"/>
              <w:rPr>
                <w:sz w:val="20"/>
                <w:szCs w:val="20"/>
                <w:color w:val="auto"/>
              </w:rPr>
            </w:pPr>
            <w:r>
              <w:rPr>
                <w:rFonts w:ascii="Calibri" w:cs="Calibri" w:eastAsia="Calibri" w:hAnsi="Calibri"/>
                <w:sz w:val="16"/>
                <w:szCs w:val="16"/>
                <w:b w:val="1"/>
                <w:bCs w:val="1"/>
                <w:color w:val="auto"/>
              </w:rPr>
              <w:t>Net Earnings (Loss) Atributable to Martn Marieta Per Common</w:t>
            </w:r>
          </w:p>
        </w:tc>
        <w:tc>
          <w:tcPr>
            <w:tcW w:w="300" w:type="dxa"/>
            <w:vAlign w:val="bottom"/>
            <w:tcBorders>
              <w:top w:val="single" w:sz="8" w:color="auto"/>
            </w:tcBorders>
            <w:shd w:val="clear" w:color="auto" w:fill="B6D2E2"/>
          </w:tcPr>
          <w:p>
            <w:pPr>
              <w:spacing w:after="0"/>
              <w:rPr>
                <w:sz w:val="24"/>
                <w:szCs w:val="24"/>
                <w:color w:val="auto"/>
              </w:rPr>
            </w:pPr>
          </w:p>
        </w:tc>
        <w:tc>
          <w:tcPr>
            <w:tcW w:w="1280" w:type="dxa"/>
            <w:vAlign w:val="bottom"/>
            <w:tcBorders>
              <w:top w:val="single" w:sz="8" w:color="auto"/>
            </w:tcBorders>
            <w:shd w:val="clear" w:color="auto" w:fill="B6D2E2"/>
          </w:tcPr>
          <w:p>
            <w:pPr>
              <w:spacing w:after="0"/>
              <w:rPr>
                <w:sz w:val="24"/>
                <w:szCs w:val="24"/>
                <w:color w:val="auto"/>
              </w:rPr>
            </w:pPr>
          </w:p>
        </w:tc>
        <w:tc>
          <w:tcPr>
            <w:tcW w:w="120" w:type="dxa"/>
            <w:vAlign w:val="bottom"/>
            <w:tcBorders>
              <w:top w:val="single" w:sz="8" w:color="auto"/>
            </w:tcBorders>
            <w:shd w:val="clear" w:color="auto" w:fill="B6D2E2"/>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shd w:val="clear" w:color="auto" w:fill="DEEAEB"/>
          </w:tcPr>
          <w:p>
            <w:pPr>
              <w:spacing w:after="0"/>
              <w:rPr>
                <w:sz w:val="24"/>
                <w:szCs w:val="24"/>
                <w:color w:val="auto"/>
              </w:rPr>
            </w:pPr>
          </w:p>
        </w:tc>
        <w:tc>
          <w:tcPr>
            <w:tcW w:w="1260" w:type="dxa"/>
            <w:vAlign w:val="bottom"/>
            <w:tcBorders>
              <w:top w:val="single" w:sz="8" w:color="auto"/>
            </w:tcBorders>
            <w:shd w:val="clear" w:color="auto" w:fill="DEEAEB"/>
          </w:tcPr>
          <w:p>
            <w:pPr>
              <w:spacing w:after="0"/>
              <w:rPr>
                <w:sz w:val="24"/>
                <w:szCs w:val="24"/>
                <w:color w:val="auto"/>
              </w:rPr>
            </w:pPr>
          </w:p>
        </w:tc>
        <w:tc>
          <w:tcPr>
            <w:tcW w:w="120" w:type="dxa"/>
            <w:vAlign w:val="bottom"/>
            <w:tcBorders>
              <w:top w:val="single" w:sz="8" w:color="auto"/>
            </w:tcBorders>
            <w:shd w:val="clear" w:color="auto" w:fill="DEEAEB"/>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shd w:val="clear" w:color="auto" w:fill="DEEAEB"/>
          </w:tcPr>
          <w:p>
            <w:pPr>
              <w:spacing w:after="0"/>
              <w:rPr>
                <w:sz w:val="24"/>
                <w:szCs w:val="24"/>
                <w:color w:val="auto"/>
              </w:rPr>
            </w:pPr>
          </w:p>
        </w:tc>
        <w:tc>
          <w:tcPr>
            <w:tcW w:w="1280" w:type="dxa"/>
            <w:vAlign w:val="bottom"/>
            <w:tcBorders>
              <w:top w:val="single" w:sz="8" w:color="auto"/>
            </w:tcBorders>
            <w:shd w:val="clear" w:color="auto" w:fill="DEEAEB"/>
          </w:tcPr>
          <w:p>
            <w:pPr>
              <w:spacing w:after="0"/>
              <w:rPr>
                <w:sz w:val="24"/>
                <w:szCs w:val="24"/>
                <w:color w:val="auto"/>
              </w:rPr>
            </w:pPr>
          </w:p>
        </w:tc>
        <w:tc>
          <w:tcPr>
            <w:tcW w:w="100" w:type="dxa"/>
            <w:vAlign w:val="bottom"/>
            <w:tcBorders>
              <w:top w:val="single" w:sz="8" w:color="auto"/>
            </w:tcBorders>
            <w:shd w:val="clear" w:color="auto" w:fill="DEEAEB"/>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40"/>
              <w:spacing w:after="0"/>
              <w:rPr>
                <w:sz w:val="20"/>
                <w:szCs w:val="20"/>
                <w:color w:val="auto"/>
              </w:rPr>
            </w:pPr>
            <w:r>
              <w:rPr>
                <w:rFonts w:ascii="Calibri" w:cs="Calibri" w:eastAsia="Calibri" w:hAnsi="Calibri"/>
                <w:sz w:val="16"/>
                <w:szCs w:val="16"/>
                <w:b w:val="1"/>
                <w:bCs w:val="1"/>
                <w:color w:val="auto"/>
              </w:rPr>
              <w:t>Share (see Note A)</w:t>
            </w:r>
          </w:p>
        </w:tc>
        <w:tc>
          <w:tcPr>
            <w:tcW w:w="300" w:type="dxa"/>
            <w:vAlign w:val="bottom"/>
            <w:shd w:val="clear" w:color="auto" w:fill="B6D2E2"/>
          </w:tcPr>
          <w:p>
            <w:pPr>
              <w:spacing w:after="0"/>
              <w:rPr>
                <w:sz w:val="17"/>
                <w:szCs w:val="17"/>
                <w:color w:val="auto"/>
              </w:rPr>
            </w:pPr>
          </w:p>
        </w:tc>
        <w:tc>
          <w:tcPr>
            <w:tcW w:w="12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0"/>
              <w:spacing w:after="0"/>
              <w:rPr>
                <w:sz w:val="20"/>
                <w:szCs w:val="20"/>
                <w:color w:val="auto"/>
              </w:rPr>
            </w:pPr>
            <w:r>
              <w:rPr>
                <w:rFonts w:ascii="Calibri" w:cs="Calibri" w:eastAsia="Calibri" w:hAnsi="Calibri"/>
                <w:sz w:val="16"/>
                <w:szCs w:val="16"/>
                <w:color w:val="auto"/>
              </w:rPr>
              <w:t>Basic earnings per share from contnuing operatons atributable to</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spacing w:after="0"/>
              <w:rPr>
                <w:sz w:val="19"/>
                <w:szCs w:val="19"/>
                <w:color w:val="auto"/>
              </w:rPr>
            </w:pP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20"/>
              <w:spacing w:after="0"/>
              <w:rPr>
                <w:sz w:val="20"/>
                <w:szCs w:val="20"/>
                <w:color w:val="auto"/>
              </w:rPr>
            </w:pPr>
            <w:r>
              <w:rPr>
                <w:rFonts w:ascii="Calibri" w:cs="Calibri" w:eastAsia="Calibri" w:hAnsi="Calibri"/>
                <w:sz w:val="16"/>
                <w:szCs w:val="16"/>
                <w:color w:val="auto"/>
              </w:rPr>
              <w:t>common shareholders</w:t>
            </w:r>
          </w:p>
        </w:tc>
        <w:tc>
          <w:tcPr>
            <w:tcW w:w="30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19.38</w:t>
            </w:r>
          </w:p>
        </w:tc>
        <w:tc>
          <w:tcPr>
            <w:tcW w:w="120" w:type="dxa"/>
            <w:vAlign w:val="bottom"/>
            <w:shd w:val="clear" w:color="auto" w:fill="B6D2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13.74</w:t>
            </w:r>
          </w:p>
        </w:tc>
        <w:tc>
          <w:tcPr>
            <w:tcW w:w="12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11.25</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0"/>
              <w:spacing w:after="0"/>
              <w:rPr>
                <w:sz w:val="20"/>
                <w:szCs w:val="20"/>
                <w:color w:val="auto"/>
              </w:rPr>
            </w:pPr>
            <w:r>
              <w:rPr>
                <w:rFonts w:ascii="Calibri" w:cs="Calibri" w:eastAsia="Calibri" w:hAnsi="Calibri"/>
                <w:sz w:val="16"/>
                <w:szCs w:val="16"/>
                <w:color w:val="auto"/>
              </w:rPr>
              <w:t>Basic earnings per share from discontnued operatons atributable</w:t>
            </w:r>
          </w:p>
        </w:tc>
        <w:tc>
          <w:tcPr>
            <w:tcW w:w="300" w:type="dxa"/>
            <w:vAlign w:val="bottom"/>
            <w:shd w:val="clear" w:color="auto" w:fill="B6D2E2"/>
          </w:tcPr>
          <w:p>
            <w:pPr>
              <w:spacing w:after="0"/>
              <w:rPr>
                <w:sz w:val="19"/>
                <w:szCs w:val="19"/>
                <w:color w:val="auto"/>
              </w:rPr>
            </w:pPr>
          </w:p>
        </w:tc>
        <w:tc>
          <w:tcPr>
            <w:tcW w:w="1400" w:type="dxa"/>
            <w:vAlign w:val="bottom"/>
            <w:gridSpan w:val="2"/>
            <w:vMerge w:val="restart"/>
            <w:shd w:val="clear" w:color="auto" w:fill="B6D2E2"/>
          </w:tcPr>
          <w:p>
            <w:pPr>
              <w:jc w:val="right"/>
              <w:spacing w:after="0"/>
              <w:rPr>
                <w:sz w:val="20"/>
                <w:szCs w:val="20"/>
                <w:color w:val="auto"/>
              </w:rPr>
            </w:pPr>
            <w:r>
              <w:rPr>
                <w:rFonts w:ascii="Calibri" w:cs="Calibri" w:eastAsia="Calibri" w:hAnsi="Calibri"/>
                <w:sz w:val="16"/>
                <w:szCs w:val="16"/>
                <w:b w:val="1"/>
                <w:bCs w:val="1"/>
                <w:color w:val="auto"/>
              </w:rPr>
              <w:t>(0.50 )</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vMerge w:val="restart"/>
            <w:shd w:val="clear" w:color="auto" w:fill="DEEAEB"/>
          </w:tcPr>
          <w:p>
            <w:pPr>
              <w:jc w:val="right"/>
              <w:spacing w:after="0"/>
              <w:rPr>
                <w:sz w:val="20"/>
                <w:szCs w:val="20"/>
                <w:color w:val="auto"/>
              </w:rPr>
            </w:pPr>
            <w:r>
              <w:rPr>
                <w:rFonts w:ascii="Calibri" w:cs="Calibri" w:eastAsia="Calibri" w:hAnsi="Calibri"/>
                <w:sz w:val="16"/>
                <w:szCs w:val="16"/>
                <w:color w:val="auto"/>
              </w:rPr>
              <w:t>0.17</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vMerge w:val="restart"/>
            <w:shd w:val="clear" w:color="auto" w:fill="DEEAEB"/>
          </w:tcPr>
          <w:p>
            <w:pPr>
              <w:jc w:val="right"/>
              <w:spacing w:after="0"/>
              <w:rPr>
                <w:sz w:val="20"/>
                <w:szCs w:val="20"/>
                <w:color w:val="auto"/>
              </w:rPr>
            </w:pPr>
            <w:r>
              <w:rPr>
                <w:rFonts w:ascii="Calibri" w:cs="Calibri" w:eastAsia="Calibri" w:hAnsi="Calibri"/>
                <w:sz w:val="16"/>
                <w:szCs w:val="16"/>
                <w:color w:val="auto"/>
              </w:rPr>
              <w:t>0.01</w:t>
            </w: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20"/>
              <w:spacing w:after="0"/>
              <w:rPr>
                <w:sz w:val="20"/>
                <w:szCs w:val="20"/>
                <w:color w:val="auto"/>
              </w:rPr>
            </w:pPr>
            <w:r>
              <w:rPr>
                <w:rFonts w:ascii="Calibri" w:cs="Calibri" w:eastAsia="Calibri" w:hAnsi="Calibri"/>
                <w:sz w:val="16"/>
                <w:szCs w:val="16"/>
                <w:color w:val="auto"/>
              </w:rPr>
              <w:t>to common shareholders</w:t>
            </w:r>
          </w:p>
        </w:tc>
        <w:tc>
          <w:tcPr>
            <w:tcW w:w="300" w:type="dxa"/>
            <w:vAlign w:val="bottom"/>
            <w:tcBorders>
              <w:bottom w:val="single" w:sz="8" w:color="B6D2E2"/>
            </w:tcBorders>
            <w:shd w:val="clear" w:color="auto" w:fill="B6D2E2"/>
          </w:tcPr>
          <w:p>
            <w:pPr>
              <w:spacing w:after="0"/>
              <w:rPr>
                <w:sz w:val="20"/>
                <w:szCs w:val="20"/>
                <w:color w:val="auto"/>
              </w:rPr>
            </w:pPr>
          </w:p>
        </w:tc>
        <w:tc>
          <w:tcPr>
            <w:tcW w:w="1400" w:type="dxa"/>
            <w:vAlign w:val="bottom"/>
            <w:tcBorders>
              <w:bottom w:val="single" w:sz="8" w:color="B6D2E2"/>
            </w:tcBorders>
            <w:gridSpan w:val="2"/>
            <w:vMerge w:val="continue"/>
            <w:shd w:val="clear" w:color="auto" w:fill="B6D2E2"/>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60" w:type="dxa"/>
            <w:vAlign w:val="bottom"/>
            <w:tcBorders>
              <w:bottom w:val="single" w:sz="8" w:color="DEEAEB"/>
            </w:tcBorders>
            <w:vMerge w:val="continue"/>
            <w:shd w:val="clear" w:color="auto" w:fill="DEEAEB"/>
          </w:tcPr>
          <w:p>
            <w:pPr>
              <w:spacing w:after="0"/>
              <w:rPr>
                <w:sz w:val="20"/>
                <w:szCs w:val="20"/>
                <w:color w:val="auto"/>
              </w:rPr>
            </w:pPr>
          </w:p>
        </w:tc>
        <w:tc>
          <w:tcPr>
            <w:tcW w:w="120" w:type="dxa"/>
            <w:vAlign w:val="bottom"/>
            <w:tcBorders>
              <w:bottom w:val="single" w:sz="8" w:color="DEEAEB"/>
            </w:tcBorders>
            <w:shd w:val="clear" w:color="auto" w:fill="DEEAEB"/>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80" w:type="dxa"/>
            <w:vAlign w:val="bottom"/>
            <w:tcBorders>
              <w:bottom w:val="single" w:sz="8" w:color="DEEAEB"/>
            </w:tcBorders>
            <w:vMerge w:val="continue"/>
            <w:shd w:val="clear" w:color="auto" w:fill="DEEAEB"/>
          </w:tcPr>
          <w:p>
            <w:pPr>
              <w:spacing w:after="0"/>
              <w:rPr>
                <w:sz w:val="20"/>
                <w:szCs w:val="20"/>
                <w:color w:val="auto"/>
              </w:rPr>
            </w:pPr>
          </w:p>
        </w:tc>
        <w:tc>
          <w:tcPr>
            <w:tcW w:w="100" w:type="dxa"/>
            <w:vAlign w:val="bottom"/>
            <w:tcBorders>
              <w:bottom w:val="single" w:sz="8" w:color="DEEAEB"/>
            </w:tcBorders>
            <w:shd w:val="clear" w:color="auto" w:fill="DEEAEB"/>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980" w:type="dxa"/>
            <w:vAlign w:val="bottom"/>
          </w:tcPr>
          <w:p>
            <w:pPr>
              <w:spacing w:after="0"/>
              <w:rPr>
                <w:sz w:val="22"/>
                <w:szCs w:val="22"/>
                <w:color w:val="auto"/>
              </w:rPr>
            </w:pPr>
          </w:p>
        </w:tc>
        <w:tc>
          <w:tcPr>
            <w:tcW w:w="30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18.88</w:t>
            </w:r>
          </w:p>
        </w:tc>
        <w:tc>
          <w:tcPr>
            <w:tcW w:w="120" w:type="dxa"/>
            <w:vAlign w:val="bottom"/>
            <w:tcBorders>
              <w:top w:val="single" w:sz="8" w:color="auto"/>
              <w:bottom w:val="single" w:sz="8" w:color="B6D2E2"/>
            </w:tcBorders>
            <w:shd w:val="clear" w:color="auto" w:fill="B6D2E2"/>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13.91</w:t>
            </w:r>
          </w:p>
        </w:tc>
        <w:tc>
          <w:tcPr>
            <w:tcW w:w="120" w:type="dxa"/>
            <w:vAlign w:val="bottom"/>
            <w:tcBorders>
              <w:top w:val="single" w:sz="8" w:color="auto"/>
              <w:bottom w:val="single" w:sz="8" w:color="DEEAEB"/>
            </w:tcBorders>
            <w:shd w:val="clear" w:color="auto" w:fill="DEEAEB"/>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11.26</w:t>
            </w:r>
          </w:p>
        </w:tc>
        <w:tc>
          <w:tcPr>
            <w:tcW w:w="100" w:type="dxa"/>
            <w:vAlign w:val="bottom"/>
            <w:tcBorders>
              <w:top w:val="single" w:sz="8" w:color="auto"/>
              <w:bottom w:val="single" w:sz="8" w:color="DEEAEB"/>
            </w:tcBorders>
            <w:shd w:val="clear" w:color="auto" w:fill="DEEAEB"/>
          </w:tcPr>
          <w:p>
            <w:pPr>
              <w:spacing w:after="0"/>
              <w:rPr>
                <w:sz w:val="22"/>
                <w:szCs w:val="22"/>
                <w:color w:val="auto"/>
              </w:rPr>
            </w:pPr>
          </w:p>
        </w:tc>
        <w:tc>
          <w:tcPr>
            <w:tcW w:w="0" w:type="dxa"/>
            <w:vAlign w:val="bottom"/>
          </w:tcPr>
          <w:p>
            <w:pPr>
              <w:spacing w:after="0"/>
              <w:rPr>
                <w:sz w:val="1"/>
                <w:szCs w:val="1"/>
                <w:color w:val="auto"/>
              </w:rPr>
            </w:pPr>
          </w:p>
        </w:tc>
      </w:tr>
      <w:tr>
        <w:trPr>
          <w:trHeight w:val="399"/>
        </w:trPr>
        <w:tc>
          <w:tcPr>
            <w:tcW w:w="5980" w:type="dxa"/>
            <w:vAlign w:val="bottom"/>
          </w:tcPr>
          <w:p>
            <w:pPr>
              <w:ind w:left="200"/>
              <w:spacing w:after="0"/>
              <w:rPr>
                <w:sz w:val="20"/>
                <w:szCs w:val="20"/>
                <w:color w:val="auto"/>
              </w:rPr>
            </w:pPr>
            <w:r>
              <w:rPr>
                <w:rFonts w:ascii="Calibri" w:cs="Calibri" w:eastAsia="Calibri" w:hAnsi="Calibri"/>
                <w:sz w:val="16"/>
                <w:szCs w:val="16"/>
                <w:color w:val="auto"/>
              </w:rPr>
              <w:t>Diluted earnings per share from contnuing operatons atributable</w:t>
            </w:r>
          </w:p>
        </w:tc>
        <w:tc>
          <w:tcPr>
            <w:tcW w:w="300" w:type="dxa"/>
            <w:vAlign w:val="bottom"/>
            <w:tcBorders>
              <w:top w:val="single" w:sz="8" w:color="auto"/>
            </w:tcBorders>
            <w:shd w:val="clear" w:color="auto" w:fill="B6D2E2"/>
          </w:tcPr>
          <w:p>
            <w:pPr>
              <w:spacing w:after="0"/>
              <w:rPr>
                <w:sz w:val="24"/>
                <w:szCs w:val="24"/>
                <w:color w:val="auto"/>
              </w:rPr>
            </w:pPr>
          </w:p>
        </w:tc>
        <w:tc>
          <w:tcPr>
            <w:tcW w:w="1280" w:type="dxa"/>
            <w:vAlign w:val="bottom"/>
            <w:tcBorders>
              <w:top w:val="single" w:sz="8" w:color="auto"/>
            </w:tcBorders>
            <w:shd w:val="clear" w:color="auto" w:fill="B6D2E2"/>
          </w:tcPr>
          <w:p>
            <w:pPr>
              <w:spacing w:after="0"/>
              <w:rPr>
                <w:sz w:val="24"/>
                <w:szCs w:val="24"/>
                <w:color w:val="auto"/>
              </w:rPr>
            </w:pPr>
          </w:p>
        </w:tc>
        <w:tc>
          <w:tcPr>
            <w:tcW w:w="120" w:type="dxa"/>
            <w:vAlign w:val="bottom"/>
            <w:tcBorders>
              <w:top w:val="single" w:sz="8" w:color="auto"/>
            </w:tcBorders>
            <w:shd w:val="clear" w:color="auto" w:fill="B6D2E2"/>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shd w:val="clear" w:color="auto" w:fill="DEEAEB"/>
          </w:tcPr>
          <w:p>
            <w:pPr>
              <w:spacing w:after="0"/>
              <w:rPr>
                <w:sz w:val="24"/>
                <w:szCs w:val="24"/>
                <w:color w:val="auto"/>
              </w:rPr>
            </w:pPr>
          </w:p>
        </w:tc>
        <w:tc>
          <w:tcPr>
            <w:tcW w:w="1260" w:type="dxa"/>
            <w:vAlign w:val="bottom"/>
            <w:tcBorders>
              <w:top w:val="single" w:sz="8" w:color="auto"/>
            </w:tcBorders>
            <w:shd w:val="clear" w:color="auto" w:fill="DEEAEB"/>
          </w:tcPr>
          <w:p>
            <w:pPr>
              <w:spacing w:after="0"/>
              <w:rPr>
                <w:sz w:val="24"/>
                <w:szCs w:val="24"/>
                <w:color w:val="auto"/>
              </w:rPr>
            </w:pPr>
          </w:p>
        </w:tc>
        <w:tc>
          <w:tcPr>
            <w:tcW w:w="120" w:type="dxa"/>
            <w:vAlign w:val="bottom"/>
            <w:tcBorders>
              <w:top w:val="single" w:sz="8" w:color="auto"/>
            </w:tcBorders>
            <w:shd w:val="clear" w:color="auto" w:fill="DEEAEB"/>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shd w:val="clear" w:color="auto" w:fill="DEEAEB"/>
          </w:tcPr>
          <w:p>
            <w:pPr>
              <w:spacing w:after="0"/>
              <w:rPr>
                <w:sz w:val="24"/>
                <w:szCs w:val="24"/>
                <w:color w:val="auto"/>
              </w:rPr>
            </w:pPr>
          </w:p>
        </w:tc>
        <w:tc>
          <w:tcPr>
            <w:tcW w:w="1280" w:type="dxa"/>
            <w:vAlign w:val="bottom"/>
            <w:tcBorders>
              <w:top w:val="single" w:sz="8" w:color="auto"/>
            </w:tcBorders>
            <w:shd w:val="clear" w:color="auto" w:fill="DEEAEB"/>
          </w:tcPr>
          <w:p>
            <w:pPr>
              <w:spacing w:after="0"/>
              <w:rPr>
                <w:sz w:val="24"/>
                <w:szCs w:val="24"/>
                <w:color w:val="auto"/>
              </w:rPr>
            </w:pPr>
          </w:p>
        </w:tc>
        <w:tc>
          <w:tcPr>
            <w:tcW w:w="100" w:type="dxa"/>
            <w:vAlign w:val="bottom"/>
            <w:tcBorders>
              <w:top w:val="single" w:sz="8" w:color="auto"/>
            </w:tcBorders>
            <w:shd w:val="clear" w:color="auto" w:fill="DEEAEB"/>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20"/>
              <w:spacing w:after="0"/>
              <w:rPr>
                <w:sz w:val="20"/>
                <w:szCs w:val="20"/>
                <w:color w:val="auto"/>
              </w:rPr>
            </w:pPr>
            <w:r>
              <w:rPr>
                <w:rFonts w:ascii="Calibri" w:cs="Calibri" w:eastAsia="Calibri" w:hAnsi="Calibri"/>
                <w:sz w:val="16"/>
                <w:szCs w:val="16"/>
                <w:color w:val="auto"/>
              </w:rPr>
              <w:t>to common shareholders</w:t>
            </w:r>
          </w:p>
        </w:tc>
        <w:tc>
          <w:tcPr>
            <w:tcW w:w="30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19.32</w:t>
            </w:r>
          </w:p>
        </w:tc>
        <w:tc>
          <w:tcPr>
            <w:tcW w:w="120" w:type="dxa"/>
            <w:vAlign w:val="bottom"/>
            <w:shd w:val="clear" w:color="auto" w:fill="B6D2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13.70</w:t>
            </w:r>
          </w:p>
        </w:tc>
        <w:tc>
          <w:tcPr>
            <w:tcW w:w="12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11.21</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0"/>
              <w:spacing w:after="0"/>
              <w:rPr>
                <w:sz w:val="20"/>
                <w:szCs w:val="20"/>
                <w:color w:val="auto"/>
              </w:rPr>
            </w:pPr>
            <w:r>
              <w:rPr>
                <w:rFonts w:ascii="Calibri" w:cs="Calibri" w:eastAsia="Calibri" w:hAnsi="Calibri"/>
                <w:sz w:val="16"/>
                <w:szCs w:val="16"/>
                <w:color w:val="auto"/>
              </w:rPr>
              <w:t>Diluted earnings per share from discontnued operatons</w:t>
            </w:r>
          </w:p>
        </w:tc>
        <w:tc>
          <w:tcPr>
            <w:tcW w:w="300" w:type="dxa"/>
            <w:vAlign w:val="bottom"/>
            <w:shd w:val="clear" w:color="auto" w:fill="B6D2E2"/>
          </w:tcPr>
          <w:p>
            <w:pPr>
              <w:spacing w:after="0"/>
              <w:rPr>
                <w:sz w:val="19"/>
                <w:szCs w:val="19"/>
                <w:color w:val="auto"/>
              </w:rPr>
            </w:pPr>
          </w:p>
        </w:tc>
        <w:tc>
          <w:tcPr>
            <w:tcW w:w="1400" w:type="dxa"/>
            <w:vAlign w:val="bottom"/>
            <w:gridSpan w:val="2"/>
            <w:vMerge w:val="restart"/>
            <w:shd w:val="clear" w:color="auto" w:fill="B6D2E2"/>
          </w:tcPr>
          <w:p>
            <w:pPr>
              <w:jc w:val="right"/>
              <w:spacing w:after="0"/>
              <w:rPr>
                <w:sz w:val="20"/>
                <w:szCs w:val="20"/>
                <w:color w:val="auto"/>
              </w:rPr>
            </w:pPr>
            <w:r>
              <w:rPr>
                <w:rFonts w:ascii="Calibri" w:cs="Calibri" w:eastAsia="Calibri" w:hAnsi="Calibri"/>
                <w:sz w:val="16"/>
                <w:szCs w:val="16"/>
                <w:b w:val="1"/>
                <w:bCs w:val="1"/>
                <w:color w:val="auto"/>
              </w:rPr>
              <w:t>(0.50 )</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vMerge w:val="restart"/>
            <w:shd w:val="clear" w:color="auto" w:fill="DEEAEB"/>
          </w:tcPr>
          <w:p>
            <w:pPr>
              <w:jc w:val="right"/>
              <w:spacing w:after="0"/>
              <w:rPr>
                <w:sz w:val="20"/>
                <w:szCs w:val="20"/>
                <w:color w:val="auto"/>
              </w:rPr>
            </w:pPr>
            <w:r>
              <w:rPr>
                <w:rFonts w:ascii="Calibri" w:cs="Calibri" w:eastAsia="Calibri" w:hAnsi="Calibri"/>
                <w:sz w:val="16"/>
                <w:szCs w:val="16"/>
                <w:color w:val="auto"/>
              </w:rPr>
              <w:t>0.17</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vMerge w:val="restart"/>
            <w:shd w:val="clear" w:color="auto" w:fill="DEEAEB"/>
          </w:tcPr>
          <w:p>
            <w:pPr>
              <w:jc w:val="right"/>
              <w:spacing w:after="0"/>
              <w:rPr>
                <w:sz w:val="20"/>
                <w:szCs w:val="20"/>
                <w:color w:val="auto"/>
              </w:rPr>
            </w:pPr>
            <w:r>
              <w:rPr>
                <w:rFonts w:ascii="Calibri" w:cs="Calibri" w:eastAsia="Calibri" w:hAnsi="Calibri"/>
                <w:sz w:val="16"/>
                <w:szCs w:val="16"/>
                <w:color w:val="auto"/>
              </w:rPr>
              <w:t>0.01</w:t>
            </w: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20"/>
              <w:spacing w:after="0"/>
              <w:rPr>
                <w:sz w:val="20"/>
                <w:szCs w:val="20"/>
                <w:color w:val="auto"/>
              </w:rPr>
            </w:pPr>
            <w:r>
              <w:rPr>
                <w:rFonts w:ascii="Calibri" w:cs="Calibri" w:eastAsia="Calibri" w:hAnsi="Calibri"/>
                <w:sz w:val="16"/>
                <w:szCs w:val="16"/>
                <w:color w:val="auto"/>
              </w:rPr>
              <w:t>atributable to common shareholders</w:t>
            </w:r>
          </w:p>
        </w:tc>
        <w:tc>
          <w:tcPr>
            <w:tcW w:w="300" w:type="dxa"/>
            <w:vAlign w:val="bottom"/>
            <w:tcBorders>
              <w:bottom w:val="single" w:sz="8" w:color="B6D2E2"/>
            </w:tcBorders>
            <w:shd w:val="clear" w:color="auto" w:fill="B6D2E2"/>
          </w:tcPr>
          <w:p>
            <w:pPr>
              <w:spacing w:after="0"/>
              <w:rPr>
                <w:sz w:val="20"/>
                <w:szCs w:val="20"/>
                <w:color w:val="auto"/>
              </w:rPr>
            </w:pPr>
          </w:p>
        </w:tc>
        <w:tc>
          <w:tcPr>
            <w:tcW w:w="1400" w:type="dxa"/>
            <w:vAlign w:val="bottom"/>
            <w:tcBorders>
              <w:bottom w:val="single" w:sz="8" w:color="B6D2E2"/>
            </w:tcBorders>
            <w:gridSpan w:val="2"/>
            <w:vMerge w:val="continue"/>
            <w:shd w:val="clear" w:color="auto" w:fill="B6D2E2"/>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60" w:type="dxa"/>
            <w:vAlign w:val="bottom"/>
            <w:tcBorders>
              <w:bottom w:val="single" w:sz="8" w:color="DEEAEB"/>
            </w:tcBorders>
            <w:vMerge w:val="continue"/>
            <w:shd w:val="clear" w:color="auto" w:fill="DEEAEB"/>
          </w:tcPr>
          <w:p>
            <w:pPr>
              <w:spacing w:after="0"/>
              <w:rPr>
                <w:sz w:val="20"/>
                <w:szCs w:val="20"/>
                <w:color w:val="auto"/>
              </w:rPr>
            </w:pPr>
          </w:p>
        </w:tc>
        <w:tc>
          <w:tcPr>
            <w:tcW w:w="120" w:type="dxa"/>
            <w:vAlign w:val="bottom"/>
            <w:tcBorders>
              <w:bottom w:val="single" w:sz="8" w:color="DEEAEB"/>
            </w:tcBorders>
            <w:shd w:val="clear" w:color="auto" w:fill="DEEAEB"/>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80" w:type="dxa"/>
            <w:vAlign w:val="bottom"/>
            <w:tcBorders>
              <w:bottom w:val="single" w:sz="8" w:color="DEEAEB"/>
            </w:tcBorders>
            <w:vMerge w:val="continue"/>
            <w:shd w:val="clear" w:color="auto" w:fill="DEEAEB"/>
          </w:tcPr>
          <w:p>
            <w:pPr>
              <w:spacing w:after="0"/>
              <w:rPr>
                <w:sz w:val="20"/>
                <w:szCs w:val="20"/>
                <w:color w:val="auto"/>
              </w:rPr>
            </w:pPr>
          </w:p>
        </w:tc>
        <w:tc>
          <w:tcPr>
            <w:tcW w:w="100" w:type="dxa"/>
            <w:vAlign w:val="bottom"/>
            <w:tcBorders>
              <w:bottom w:val="single" w:sz="8" w:color="DEEAEB"/>
            </w:tcBorders>
            <w:shd w:val="clear" w:color="auto" w:fill="DEEAEB"/>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980" w:type="dxa"/>
            <w:vAlign w:val="bottom"/>
          </w:tcPr>
          <w:p>
            <w:pPr>
              <w:spacing w:after="0"/>
              <w:rPr>
                <w:sz w:val="22"/>
                <w:szCs w:val="22"/>
                <w:color w:val="auto"/>
              </w:rPr>
            </w:pPr>
          </w:p>
        </w:tc>
        <w:tc>
          <w:tcPr>
            <w:tcW w:w="30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18.82</w:t>
            </w:r>
          </w:p>
        </w:tc>
        <w:tc>
          <w:tcPr>
            <w:tcW w:w="120" w:type="dxa"/>
            <w:vAlign w:val="bottom"/>
            <w:tcBorders>
              <w:top w:val="single" w:sz="8" w:color="auto"/>
              <w:bottom w:val="single" w:sz="8" w:color="B6D2E2"/>
            </w:tcBorders>
            <w:shd w:val="clear" w:color="auto" w:fill="B6D2E2"/>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13.87</w:t>
            </w:r>
          </w:p>
        </w:tc>
        <w:tc>
          <w:tcPr>
            <w:tcW w:w="120" w:type="dxa"/>
            <w:vAlign w:val="bottom"/>
            <w:tcBorders>
              <w:top w:val="single" w:sz="8" w:color="auto"/>
              <w:bottom w:val="single" w:sz="8" w:color="DEEAEB"/>
            </w:tcBorders>
            <w:shd w:val="clear" w:color="auto" w:fill="DEEAEB"/>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11.22</w:t>
            </w:r>
          </w:p>
        </w:tc>
        <w:tc>
          <w:tcPr>
            <w:tcW w:w="100" w:type="dxa"/>
            <w:vAlign w:val="bottom"/>
            <w:tcBorders>
              <w:top w:val="single" w:sz="8" w:color="auto"/>
              <w:bottom w:val="single" w:sz="8" w:color="DEEAEB"/>
            </w:tcBorders>
            <w:shd w:val="clear" w:color="auto" w:fill="DEEAEB"/>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5980" w:type="dxa"/>
            <w:vAlign w:val="bottom"/>
          </w:tcPr>
          <w:p>
            <w:pPr>
              <w:ind w:left="20"/>
              <w:spacing w:after="0" w:line="169" w:lineRule="exact"/>
              <w:rPr>
                <w:sz w:val="20"/>
                <w:szCs w:val="20"/>
                <w:color w:val="auto"/>
              </w:rPr>
            </w:pPr>
            <w:r>
              <w:rPr>
                <w:rFonts w:ascii="Calibri" w:cs="Calibri" w:eastAsia="Calibri" w:hAnsi="Calibri"/>
                <w:sz w:val="16"/>
                <w:szCs w:val="16"/>
                <w:b w:val="1"/>
                <w:bCs w:val="1"/>
                <w:color w:val="auto"/>
              </w:rPr>
              <w:t>Weighted-Average Common Shares Outstanding</w:t>
            </w:r>
          </w:p>
        </w:tc>
        <w:tc>
          <w:tcPr>
            <w:tcW w:w="300" w:type="dxa"/>
            <w:vAlign w:val="bottom"/>
            <w:tcBorders>
              <w:top w:val="single" w:sz="8" w:color="auto"/>
            </w:tcBorders>
            <w:shd w:val="clear" w:color="auto" w:fill="B6D2E2"/>
          </w:tcPr>
          <w:p>
            <w:pPr>
              <w:spacing w:after="0"/>
              <w:rPr>
                <w:sz w:val="14"/>
                <w:szCs w:val="14"/>
                <w:color w:val="auto"/>
              </w:rPr>
            </w:pPr>
          </w:p>
        </w:tc>
        <w:tc>
          <w:tcPr>
            <w:tcW w:w="1280" w:type="dxa"/>
            <w:vAlign w:val="bottom"/>
            <w:tcBorders>
              <w:top w:val="single" w:sz="8" w:color="auto"/>
            </w:tcBorders>
            <w:shd w:val="clear" w:color="auto" w:fill="B6D2E2"/>
          </w:tcPr>
          <w:p>
            <w:pPr>
              <w:spacing w:after="0"/>
              <w:rPr>
                <w:sz w:val="14"/>
                <w:szCs w:val="14"/>
                <w:color w:val="auto"/>
              </w:rPr>
            </w:pPr>
          </w:p>
        </w:tc>
        <w:tc>
          <w:tcPr>
            <w:tcW w:w="120" w:type="dxa"/>
            <w:vAlign w:val="bottom"/>
            <w:tcBorders>
              <w:top w:val="single" w:sz="8" w:color="auto"/>
            </w:tcBorders>
            <w:shd w:val="clear" w:color="auto" w:fill="B6D2E2"/>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shd w:val="clear" w:color="auto" w:fill="DEEAEB"/>
          </w:tcPr>
          <w:p>
            <w:pPr>
              <w:spacing w:after="0"/>
              <w:rPr>
                <w:sz w:val="14"/>
                <w:szCs w:val="14"/>
                <w:color w:val="auto"/>
              </w:rPr>
            </w:pPr>
          </w:p>
        </w:tc>
        <w:tc>
          <w:tcPr>
            <w:tcW w:w="1260" w:type="dxa"/>
            <w:vAlign w:val="bottom"/>
            <w:tcBorders>
              <w:top w:val="single" w:sz="8" w:color="auto"/>
            </w:tcBorders>
            <w:shd w:val="clear" w:color="auto" w:fill="DEEAEB"/>
          </w:tcPr>
          <w:p>
            <w:pPr>
              <w:spacing w:after="0"/>
              <w:rPr>
                <w:sz w:val="14"/>
                <w:szCs w:val="14"/>
                <w:color w:val="auto"/>
              </w:rPr>
            </w:pPr>
          </w:p>
        </w:tc>
        <w:tc>
          <w:tcPr>
            <w:tcW w:w="120" w:type="dxa"/>
            <w:vAlign w:val="bottom"/>
            <w:tcBorders>
              <w:top w:val="single" w:sz="8" w:color="auto"/>
            </w:tcBorders>
            <w:shd w:val="clear" w:color="auto" w:fill="DEEAEB"/>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shd w:val="clear" w:color="auto" w:fill="DEEAEB"/>
          </w:tcPr>
          <w:p>
            <w:pPr>
              <w:spacing w:after="0"/>
              <w:rPr>
                <w:sz w:val="14"/>
                <w:szCs w:val="14"/>
                <w:color w:val="auto"/>
              </w:rPr>
            </w:pPr>
          </w:p>
        </w:tc>
        <w:tc>
          <w:tcPr>
            <w:tcW w:w="1280" w:type="dxa"/>
            <w:vAlign w:val="bottom"/>
            <w:tcBorders>
              <w:top w:val="single" w:sz="8" w:color="auto"/>
            </w:tcBorders>
            <w:shd w:val="clear" w:color="auto" w:fill="DEEAEB"/>
          </w:tcPr>
          <w:p>
            <w:pPr>
              <w:spacing w:after="0"/>
              <w:rPr>
                <w:sz w:val="14"/>
                <w:szCs w:val="14"/>
                <w:color w:val="auto"/>
              </w:rPr>
            </w:pPr>
          </w:p>
        </w:tc>
        <w:tc>
          <w:tcPr>
            <w:tcW w:w="100" w:type="dxa"/>
            <w:vAlign w:val="bottom"/>
            <w:tcBorders>
              <w:top w:val="single" w:sz="8" w:color="auto"/>
            </w:tcBorders>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00"/>
              <w:spacing w:after="0"/>
              <w:rPr>
                <w:sz w:val="20"/>
                <w:szCs w:val="20"/>
                <w:color w:val="auto"/>
              </w:rPr>
            </w:pPr>
            <w:r>
              <w:rPr>
                <w:rFonts w:ascii="Calibri" w:cs="Calibri" w:eastAsia="Calibri" w:hAnsi="Calibri"/>
                <w:sz w:val="16"/>
                <w:szCs w:val="16"/>
                <w:color w:val="auto"/>
              </w:rPr>
              <w:t>Basic</w:t>
            </w:r>
          </w:p>
        </w:tc>
        <w:tc>
          <w:tcPr>
            <w:tcW w:w="30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61.9</w:t>
            </w:r>
          </w:p>
        </w:tc>
        <w:tc>
          <w:tcPr>
            <w:tcW w:w="120" w:type="dxa"/>
            <w:vAlign w:val="bottom"/>
            <w:tcBorders>
              <w:bottom w:val="single" w:sz="8" w:color="B6D2E2"/>
            </w:tcBorders>
            <w:shd w:val="clear" w:color="auto" w:fill="B6D2E2"/>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62.3</w:t>
            </w:r>
          </w:p>
        </w:tc>
        <w:tc>
          <w:tcPr>
            <w:tcW w:w="120" w:type="dxa"/>
            <w:vAlign w:val="bottom"/>
            <w:tcBorders>
              <w:bottom w:val="single" w:sz="8" w:color="DEEAEB"/>
            </w:tcBorders>
            <w:shd w:val="clear" w:color="auto" w:fill="DEEAEB"/>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62.4</w:t>
            </w:r>
          </w:p>
        </w:tc>
        <w:tc>
          <w:tcPr>
            <w:tcW w:w="100" w:type="dxa"/>
            <w:vAlign w:val="bottom"/>
            <w:tcBorders>
              <w:bottom w:val="single" w:sz="8" w:color="DEEAEB"/>
            </w:tcBorders>
            <w:shd w:val="clear" w:color="auto" w:fill="DEEAEB"/>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200"/>
              <w:spacing w:after="0" w:line="182" w:lineRule="exact"/>
              <w:rPr>
                <w:sz w:val="20"/>
                <w:szCs w:val="20"/>
                <w:color w:val="auto"/>
              </w:rPr>
            </w:pPr>
            <w:r>
              <w:rPr>
                <w:rFonts w:ascii="Calibri" w:cs="Calibri" w:eastAsia="Calibri" w:hAnsi="Calibri"/>
                <w:sz w:val="16"/>
                <w:szCs w:val="16"/>
                <w:color w:val="auto"/>
              </w:rPr>
              <w:t>Diluted</w:t>
            </w:r>
          </w:p>
        </w:tc>
        <w:tc>
          <w:tcPr>
            <w:tcW w:w="300" w:type="dxa"/>
            <w:vAlign w:val="bottom"/>
            <w:tcBorders>
              <w:top w:val="single" w:sz="8" w:color="auto"/>
              <w:bottom w:val="single" w:sz="8" w:color="B6D2E2"/>
            </w:tcBorders>
            <w:shd w:val="clear" w:color="auto" w:fill="B6D2E2"/>
          </w:tcPr>
          <w:p>
            <w:pPr>
              <w:spacing w:after="0"/>
              <w:rPr>
                <w:sz w:val="17"/>
                <w:szCs w:val="17"/>
                <w:color w:val="auto"/>
              </w:rPr>
            </w:pP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62.1</w:t>
            </w:r>
          </w:p>
        </w:tc>
        <w:tc>
          <w:tcPr>
            <w:tcW w:w="120" w:type="dxa"/>
            <w:vAlign w:val="bottom"/>
            <w:tcBorders>
              <w:top w:val="single" w:sz="8" w:color="auto"/>
              <w:bottom w:val="single" w:sz="8" w:color="B6D2E2"/>
            </w:tcBorders>
            <w:shd w:val="clear" w:color="auto" w:fill="B6D2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bottom w:val="single" w:sz="8" w:color="DEEAEB"/>
            </w:tcBorders>
            <w:shd w:val="clear" w:color="auto" w:fill="DEEAEB"/>
          </w:tcPr>
          <w:p>
            <w:pPr>
              <w:spacing w:after="0"/>
              <w:rPr>
                <w:sz w:val="17"/>
                <w:szCs w:val="17"/>
                <w:color w:val="auto"/>
              </w:rPr>
            </w:pPr>
          </w:p>
        </w:tc>
        <w:tc>
          <w:tcPr>
            <w:tcW w:w="1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62.5</w:t>
            </w:r>
          </w:p>
        </w:tc>
        <w:tc>
          <w:tcPr>
            <w:tcW w:w="120" w:type="dxa"/>
            <w:vAlign w:val="bottom"/>
            <w:tcBorders>
              <w:top w:val="single" w:sz="8" w:color="auto"/>
              <w:bottom w:val="single" w:sz="8" w:color="DEEAEB"/>
            </w:tcBorders>
            <w:shd w:val="clear" w:color="auto" w:fill="DEEAEB"/>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DEEAEB"/>
            </w:tcBorders>
            <w:shd w:val="clear" w:color="auto" w:fill="DEEAEB"/>
          </w:tcPr>
          <w:p>
            <w:pPr>
              <w:spacing w:after="0"/>
              <w:rPr>
                <w:sz w:val="17"/>
                <w:szCs w:val="17"/>
                <w:color w:val="auto"/>
              </w:rPr>
            </w:pP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62.6</w:t>
            </w:r>
          </w:p>
        </w:tc>
        <w:tc>
          <w:tcPr>
            <w:tcW w:w="100" w:type="dxa"/>
            <w:vAlign w:val="bottom"/>
            <w:tcBorders>
              <w:top w:val="single" w:sz="8" w:color="auto"/>
              <w:bottom w:val="single" w:sz="8" w:color="DEEAEB"/>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4" w:name="page75"/>
    <w:bookmarkEnd w:id="74"/>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00" w:lineRule="exact"/>
        <w:rPr>
          <w:sz w:val="20"/>
          <w:szCs w:val="20"/>
          <w:color w:val="auto"/>
        </w:rPr>
      </w:pPr>
    </w:p>
    <w:p>
      <w:pPr>
        <w:spacing w:after="0" w:line="213"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color w:val="auto"/>
        </w:rPr>
        <w:t>Martn Marieta Materials, Inc. and Consolidated Subsidiaries</w:t>
      </w:r>
    </w:p>
    <w:p>
      <w:pPr>
        <w:spacing w:after="0" w:line="1"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b w:val="1"/>
          <w:bCs w:val="1"/>
          <w:color w:val="007DC6"/>
        </w:rPr>
        <w:t>Consolidated Statements of Comprehensive Earnings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80" w:type="dxa"/>
            <w:vAlign w:val="bottom"/>
          </w:tcPr>
          <w:p>
            <w:pPr>
              <w:ind w:left="20"/>
              <w:spacing w:after="0"/>
              <w:rPr>
                <w:sz w:val="20"/>
                <w:szCs w:val="20"/>
                <w:color w:val="auto"/>
              </w:rPr>
            </w:pPr>
            <w:r>
              <w:rPr>
                <w:rFonts w:ascii="Calibri" w:cs="Calibri" w:eastAsia="Calibri" w:hAnsi="Calibri"/>
                <w:sz w:val="16"/>
                <w:szCs w:val="16"/>
                <w:i w:val="1"/>
                <w:iCs w:val="1"/>
                <w:color w:val="auto"/>
              </w:rPr>
              <w:t>years ended December 31</w:t>
            </w:r>
          </w:p>
        </w:tc>
        <w:tc>
          <w:tcPr>
            <w:tcW w:w="300" w:type="dxa"/>
            <w:vAlign w:val="bottom"/>
            <w:shd w:val="clear" w:color="auto" w:fill="007DC6"/>
          </w:tcPr>
          <w:p>
            <w:pPr>
              <w:spacing w:after="0"/>
              <w:rPr>
                <w:sz w:val="17"/>
                <w:szCs w:val="17"/>
                <w:color w:val="auto"/>
              </w:rPr>
            </w:pPr>
          </w:p>
        </w:tc>
        <w:tc>
          <w:tcPr>
            <w:tcW w:w="1280" w:type="dxa"/>
            <w:vAlign w:val="bottom"/>
            <w:shd w:val="clear" w:color="auto" w:fill="007DC6"/>
          </w:tcPr>
          <w:p>
            <w:pPr>
              <w:spacing w:after="0"/>
              <w:rPr>
                <w:sz w:val="17"/>
                <w:szCs w:val="17"/>
                <w:color w:val="auto"/>
              </w:rPr>
            </w:pPr>
          </w:p>
        </w:tc>
        <w:tc>
          <w:tcPr>
            <w:tcW w:w="120" w:type="dxa"/>
            <w:vAlign w:val="bottom"/>
            <w:shd w:val="clear" w:color="auto" w:fill="007DC6"/>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0"/>
              <w:spacing w:after="0" w:line="193" w:lineRule="exact"/>
              <w:rPr>
                <w:sz w:val="20"/>
                <w:szCs w:val="20"/>
                <w:color w:val="auto"/>
              </w:rPr>
            </w:pPr>
            <w:r>
              <w:rPr>
                <w:rFonts w:ascii="Calibri" w:cs="Calibri" w:eastAsia="Calibri" w:hAnsi="Calibri"/>
                <w:sz w:val="16"/>
                <w:szCs w:val="16"/>
                <w:color w:val="auto"/>
              </w:rPr>
              <w:t>(in millions)</w:t>
            </w:r>
          </w:p>
        </w:tc>
        <w:tc>
          <w:tcPr>
            <w:tcW w:w="300" w:type="dxa"/>
            <w:vAlign w:val="bottom"/>
            <w:tcBorders>
              <w:bottom w:val="single" w:sz="8" w:color="007DC6"/>
            </w:tcBorders>
            <w:shd w:val="clear" w:color="auto" w:fill="007DC6"/>
          </w:tcPr>
          <w:p>
            <w:pPr>
              <w:spacing w:after="0"/>
              <w:rPr>
                <w:sz w:val="20"/>
                <w:szCs w:val="20"/>
                <w:color w:val="auto"/>
              </w:rPr>
            </w:pPr>
          </w:p>
        </w:tc>
        <w:tc>
          <w:tcPr>
            <w:tcW w:w="1280" w:type="dxa"/>
            <w:vAlign w:val="bottom"/>
            <w:tcBorders>
              <w:bottom w:val="single" w:sz="8" w:color="007DC6"/>
            </w:tcBorders>
            <w:shd w:val="clear" w:color="auto" w:fill="007DC6"/>
          </w:tcPr>
          <w:p>
            <w:pPr>
              <w:jc w:val="right"/>
              <w:ind w:right="459"/>
              <w:spacing w:after="0" w:line="193" w:lineRule="exact"/>
              <w:rPr>
                <w:sz w:val="20"/>
                <w:szCs w:val="20"/>
                <w:color w:val="auto"/>
              </w:rPr>
            </w:pPr>
            <w:r>
              <w:rPr>
                <w:rFonts w:ascii="Calibri" w:cs="Calibri" w:eastAsia="Calibri" w:hAnsi="Calibri"/>
                <w:sz w:val="16"/>
                <w:szCs w:val="16"/>
                <w:b w:val="1"/>
                <w:bCs w:val="1"/>
                <w:color w:val="FFFFFF"/>
              </w:rPr>
              <w:t>2023</w:t>
            </w:r>
          </w:p>
        </w:tc>
        <w:tc>
          <w:tcPr>
            <w:tcW w:w="120" w:type="dxa"/>
            <w:vAlign w:val="bottom"/>
            <w:tcBorders>
              <w:bottom w:val="single" w:sz="8" w:color="007DC6"/>
            </w:tcBorders>
            <w:shd w:val="clear" w:color="auto" w:fill="007DC6"/>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60" w:type="dxa"/>
            <w:vAlign w:val="bottom"/>
            <w:tcBorders>
              <w:bottom w:val="single" w:sz="8" w:color="DEEAEB"/>
            </w:tcBorders>
            <w:shd w:val="clear" w:color="auto" w:fill="DEEAEB"/>
          </w:tcPr>
          <w:p>
            <w:pPr>
              <w:jc w:val="right"/>
              <w:ind w:right="439"/>
              <w:spacing w:after="0" w:line="193" w:lineRule="exact"/>
              <w:rPr>
                <w:sz w:val="20"/>
                <w:szCs w:val="20"/>
                <w:color w:val="auto"/>
              </w:rPr>
            </w:pPr>
            <w:r>
              <w:rPr>
                <w:rFonts w:ascii="Calibri" w:cs="Calibri" w:eastAsia="Calibri" w:hAnsi="Calibri"/>
                <w:sz w:val="16"/>
                <w:szCs w:val="16"/>
                <w:color w:val="auto"/>
              </w:rPr>
              <w:t>2022</w:t>
            </w:r>
          </w:p>
        </w:tc>
        <w:tc>
          <w:tcPr>
            <w:tcW w:w="120" w:type="dxa"/>
            <w:vAlign w:val="bottom"/>
            <w:tcBorders>
              <w:bottom w:val="single" w:sz="8" w:color="DEEAEB"/>
            </w:tcBorders>
            <w:shd w:val="clear" w:color="auto" w:fill="DEEAEB"/>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80" w:type="dxa"/>
            <w:vAlign w:val="bottom"/>
            <w:tcBorders>
              <w:bottom w:val="single" w:sz="8" w:color="DEEAEB"/>
            </w:tcBorders>
            <w:shd w:val="clear" w:color="auto" w:fill="DEEAEB"/>
          </w:tcPr>
          <w:p>
            <w:pPr>
              <w:jc w:val="right"/>
              <w:ind w:right="459"/>
              <w:spacing w:after="0" w:line="193" w:lineRule="exact"/>
              <w:rPr>
                <w:sz w:val="20"/>
                <w:szCs w:val="20"/>
                <w:color w:val="auto"/>
              </w:rPr>
            </w:pPr>
            <w:r>
              <w:rPr>
                <w:rFonts w:ascii="Calibri" w:cs="Calibri" w:eastAsia="Calibri" w:hAnsi="Calibri"/>
                <w:sz w:val="16"/>
                <w:szCs w:val="16"/>
                <w:color w:val="auto"/>
              </w:rPr>
              <w:t>2021</w:t>
            </w:r>
          </w:p>
        </w:tc>
        <w:tc>
          <w:tcPr>
            <w:tcW w:w="100" w:type="dxa"/>
            <w:vAlign w:val="bottom"/>
            <w:tcBorders>
              <w:bottom w:val="single" w:sz="8" w:color="DEEAEB"/>
            </w:tcBorders>
            <w:shd w:val="clear" w:color="auto" w:fill="DEEAEB"/>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Consolidated Net Earnings</w:t>
            </w:r>
          </w:p>
        </w:tc>
        <w:tc>
          <w:tcPr>
            <w:tcW w:w="30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1,169.4</w:t>
            </w:r>
          </w:p>
        </w:tc>
        <w:tc>
          <w:tcPr>
            <w:tcW w:w="120" w:type="dxa"/>
            <w:vAlign w:val="bottom"/>
            <w:tcBorders>
              <w:top w:val="single" w:sz="8" w:color="auto"/>
              <w:bottom w:val="single" w:sz="8" w:color="B6D2E2"/>
            </w:tcBorders>
            <w:shd w:val="clear" w:color="auto" w:fill="B6D2E2"/>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866.8</w:t>
            </w:r>
          </w:p>
        </w:tc>
        <w:tc>
          <w:tcPr>
            <w:tcW w:w="120" w:type="dxa"/>
            <w:vAlign w:val="bottom"/>
            <w:tcBorders>
              <w:top w:val="single" w:sz="8" w:color="auto"/>
              <w:bottom w:val="single" w:sz="8" w:color="DEEAEB"/>
            </w:tcBorders>
            <w:shd w:val="clear" w:color="auto" w:fill="DEEAEB"/>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702.8</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Other comprehensive (loss) earnings, net of tax:</w:t>
            </w:r>
          </w:p>
        </w:tc>
        <w:tc>
          <w:tcPr>
            <w:tcW w:w="30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spacing w:after="0"/>
              <w:rPr>
                <w:sz w:val="16"/>
                <w:szCs w:val="16"/>
                <w:color w:val="auto"/>
              </w:rPr>
            </w:pPr>
          </w:p>
        </w:tc>
        <w:tc>
          <w:tcPr>
            <w:tcW w:w="120" w:type="dxa"/>
            <w:vAlign w:val="bottom"/>
            <w:tcBorders>
              <w:top w:val="single" w:sz="8" w:color="auto"/>
            </w:tcBorders>
            <w:shd w:val="clear" w:color="auto" w:fill="B6D2E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spacing w:after="0"/>
              <w:rPr>
                <w:sz w:val="16"/>
                <w:szCs w:val="16"/>
                <w:color w:val="auto"/>
              </w:rPr>
            </w:pPr>
          </w:p>
        </w:tc>
        <w:tc>
          <w:tcPr>
            <w:tcW w:w="120" w:type="dxa"/>
            <w:vAlign w:val="bottom"/>
            <w:tcBorders>
              <w:top w:val="single" w:sz="8" w:color="auto"/>
            </w:tcBorders>
            <w:shd w:val="clear" w:color="auto" w:fill="DEEAEB"/>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980" w:type="dxa"/>
            <w:vAlign w:val="bottom"/>
          </w:tcPr>
          <w:p>
            <w:pPr>
              <w:ind w:left="20"/>
              <w:spacing w:after="0"/>
              <w:rPr>
                <w:sz w:val="20"/>
                <w:szCs w:val="20"/>
                <w:color w:val="auto"/>
              </w:rPr>
            </w:pPr>
            <w:r>
              <w:rPr>
                <w:rFonts w:ascii="Calibri" w:cs="Calibri" w:eastAsia="Calibri" w:hAnsi="Calibri"/>
                <w:sz w:val="16"/>
                <w:szCs w:val="16"/>
                <w:color w:val="auto"/>
              </w:rPr>
              <w:t>Defned beneft pension and postretrement plans:</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spacing w:after="0"/>
              <w:rPr>
                <w:sz w:val="19"/>
                <w:szCs w:val="19"/>
                <w:color w:val="auto"/>
              </w:rPr>
            </w:pP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0"/>
              <w:spacing w:after="0"/>
              <w:rPr>
                <w:sz w:val="20"/>
                <w:szCs w:val="20"/>
                <w:color w:val="auto"/>
              </w:rPr>
            </w:pPr>
            <w:r>
              <w:rPr>
                <w:rFonts w:ascii="Calibri" w:cs="Calibri" w:eastAsia="Calibri" w:hAnsi="Calibri"/>
                <w:sz w:val="16"/>
                <w:szCs w:val="16"/>
                <w:color w:val="auto"/>
              </w:rPr>
              <w:t>Net (loss) gain arising during period, net of tax of $(5.1), $28.6 and</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spacing w:after="0"/>
              <w:rPr>
                <w:sz w:val="19"/>
                <w:szCs w:val="19"/>
                <w:color w:val="auto"/>
              </w:rPr>
            </w:pP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20"/>
              <w:spacing w:after="0"/>
              <w:rPr>
                <w:sz w:val="20"/>
                <w:szCs w:val="20"/>
                <w:color w:val="auto"/>
              </w:rPr>
            </w:pPr>
            <w:r>
              <w:rPr>
                <w:rFonts w:ascii="Calibri" w:cs="Calibri" w:eastAsia="Calibri" w:hAnsi="Calibri"/>
                <w:sz w:val="16"/>
                <w:szCs w:val="16"/>
                <w:color w:val="auto"/>
              </w:rPr>
              <w:t>$16.8, respectvely</w:t>
            </w:r>
          </w:p>
        </w:tc>
        <w:tc>
          <w:tcPr>
            <w:tcW w:w="300" w:type="dxa"/>
            <w:vAlign w:val="bottom"/>
            <w:shd w:val="clear" w:color="auto" w:fill="B6D2E2"/>
          </w:tcPr>
          <w:p>
            <w:pPr>
              <w:spacing w:after="0"/>
              <w:rPr>
                <w:sz w:val="17"/>
                <w:szCs w:val="17"/>
                <w:color w:val="auto"/>
              </w:rPr>
            </w:pPr>
          </w:p>
        </w:tc>
        <w:tc>
          <w:tcPr>
            <w:tcW w:w="1400" w:type="dxa"/>
            <w:vAlign w:val="bottom"/>
            <w:gridSpan w:val="2"/>
            <w:shd w:val="clear" w:color="auto" w:fill="B6D2E2"/>
          </w:tcPr>
          <w:p>
            <w:pPr>
              <w:jc w:val="right"/>
              <w:spacing w:after="0"/>
              <w:rPr>
                <w:sz w:val="20"/>
                <w:szCs w:val="20"/>
                <w:color w:val="auto"/>
              </w:rPr>
            </w:pPr>
            <w:r>
              <w:rPr>
                <w:rFonts w:ascii="Calibri" w:cs="Calibri" w:eastAsia="Calibri" w:hAnsi="Calibri"/>
                <w:sz w:val="16"/>
                <w:szCs w:val="16"/>
                <w:b w:val="1"/>
                <w:bCs w:val="1"/>
                <w:color w:val="auto"/>
              </w:rPr>
              <w:t>(15.7 )</w:t>
            </w: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87.9</w:t>
            </w:r>
          </w:p>
        </w:tc>
        <w:tc>
          <w:tcPr>
            <w:tcW w:w="12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51.3</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0"/>
              <w:spacing w:after="0"/>
              <w:rPr>
                <w:sz w:val="20"/>
                <w:szCs w:val="20"/>
                <w:color w:val="auto"/>
              </w:rPr>
            </w:pPr>
            <w:r>
              <w:rPr>
                <w:rFonts w:ascii="Calibri" w:cs="Calibri" w:eastAsia="Calibri" w:hAnsi="Calibri"/>
                <w:sz w:val="16"/>
                <w:szCs w:val="16"/>
                <w:color w:val="auto"/>
              </w:rPr>
              <w:t>Prior service cost arising during period, net of tax of $0.0, $(11.8)</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spacing w:after="0"/>
              <w:rPr>
                <w:sz w:val="19"/>
                <w:szCs w:val="19"/>
                <w:color w:val="auto"/>
              </w:rPr>
            </w:pP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20"/>
              <w:spacing w:after="0"/>
              <w:rPr>
                <w:sz w:val="20"/>
                <w:szCs w:val="20"/>
                <w:color w:val="auto"/>
              </w:rPr>
            </w:pPr>
            <w:r>
              <w:rPr>
                <w:rFonts w:ascii="Calibri" w:cs="Calibri" w:eastAsia="Calibri" w:hAnsi="Calibri"/>
                <w:sz w:val="16"/>
                <w:szCs w:val="16"/>
                <w:color w:val="auto"/>
              </w:rPr>
              <w:t>and $0.0, respectvely</w:t>
            </w:r>
          </w:p>
        </w:tc>
        <w:tc>
          <w:tcPr>
            <w:tcW w:w="300" w:type="dxa"/>
            <w:vAlign w:val="bottom"/>
            <w:shd w:val="clear" w:color="auto" w:fill="B6D2E2"/>
          </w:tcPr>
          <w:p>
            <w:pPr>
              <w:spacing w:after="0"/>
              <w:rPr>
                <w:sz w:val="17"/>
                <w:szCs w:val="17"/>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0" w:type="dxa"/>
            <w:vAlign w:val="bottom"/>
            <w:shd w:val="clear" w:color="auto" w:fill="B6D2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(36.3</w:t>
            </w:r>
          </w:p>
        </w:tc>
        <w:tc>
          <w:tcPr>
            <w:tcW w:w="12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0"/>
              <w:spacing w:after="0"/>
              <w:rPr>
                <w:sz w:val="20"/>
                <w:szCs w:val="20"/>
                <w:color w:val="auto"/>
              </w:rPr>
            </w:pPr>
            <w:r>
              <w:rPr>
                <w:rFonts w:ascii="Calibri" w:cs="Calibri" w:eastAsia="Calibri" w:hAnsi="Calibri"/>
                <w:sz w:val="16"/>
                <w:szCs w:val="16"/>
                <w:color w:val="auto"/>
              </w:rPr>
              <w:t>Amortzaton of prior service cost, net of tax of $1.4, $0.9</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spacing w:after="0"/>
              <w:rPr>
                <w:sz w:val="19"/>
                <w:szCs w:val="19"/>
                <w:color w:val="auto"/>
              </w:rPr>
            </w:pP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20"/>
              <w:spacing w:after="0"/>
              <w:rPr>
                <w:sz w:val="20"/>
                <w:szCs w:val="20"/>
                <w:color w:val="auto"/>
              </w:rPr>
            </w:pPr>
            <w:r>
              <w:rPr>
                <w:rFonts w:ascii="Calibri" w:cs="Calibri" w:eastAsia="Calibri" w:hAnsi="Calibri"/>
                <w:sz w:val="16"/>
                <w:szCs w:val="16"/>
                <w:color w:val="auto"/>
              </w:rPr>
              <w:t>and $0.0, respectvely</w:t>
            </w:r>
          </w:p>
        </w:tc>
        <w:tc>
          <w:tcPr>
            <w:tcW w:w="300" w:type="dxa"/>
            <w:vAlign w:val="bottom"/>
            <w:shd w:val="clear" w:color="auto" w:fill="B6D2E2"/>
          </w:tcPr>
          <w:p>
            <w:pPr>
              <w:spacing w:after="0"/>
              <w:rPr>
                <w:sz w:val="17"/>
                <w:szCs w:val="17"/>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4.2</w:t>
            </w:r>
          </w:p>
        </w:tc>
        <w:tc>
          <w:tcPr>
            <w:tcW w:w="120" w:type="dxa"/>
            <w:vAlign w:val="bottom"/>
            <w:shd w:val="clear" w:color="auto" w:fill="B6D2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3.1</w:t>
            </w:r>
          </w:p>
        </w:tc>
        <w:tc>
          <w:tcPr>
            <w:tcW w:w="12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0"/>
              <w:spacing w:after="0"/>
              <w:rPr>
                <w:sz w:val="20"/>
                <w:szCs w:val="20"/>
                <w:color w:val="auto"/>
              </w:rPr>
            </w:pPr>
            <w:r>
              <w:rPr>
                <w:rFonts w:ascii="Calibri" w:cs="Calibri" w:eastAsia="Calibri" w:hAnsi="Calibri"/>
                <w:sz w:val="16"/>
                <w:szCs w:val="16"/>
                <w:color w:val="auto"/>
              </w:rPr>
              <w:t>Amortzaton of actuarial loss, net of tax of $0.0, $0.8 and</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spacing w:after="0"/>
              <w:rPr>
                <w:sz w:val="19"/>
                <w:szCs w:val="19"/>
                <w:color w:val="auto"/>
              </w:rPr>
            </w:pP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20"/>
              <w:spacing w:after="0"/>
              <w:rPr>
                <w:sz w:val="20"/>
                <w:szCs w:val="20"/>
                <w:color w:val="auto"/>
              </w:rPr>
            </w:pPr>
            <w:r>
              <w:rPr>
                <w:rFonts w:ascii="Calibri" w:cs="Calibri" w:eastAsia="Calibri" w:hAnsi="Calibri"/>
                <w:sz w:val="16"/>
                <w:szCs w:val="16"/>
                <w:color w:val="auto"/>
              </w:rPr>
              <w:t>$2.9, respectvely</w:t>
            </w:r>
          </w:p>
        </w:tc>
        <w:tc>
          <w:tcPr>
            <w:tcW w:w="300" w:type="dxa"/>
            <w:vAlign w:val="bottom"/>
            <w:shd w:val="clear" w:color="auto" w:fill="B6D2E2"/>
          </w:tcPr>
          <w:p>
            <w:pPr>
              <w:spacing w:after="0"/>
              <w:rPr>
                <w:sz w:val="17"/>
                <w:szCs w:val="17"/>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0" w:type="dxa"/>
            <w:vAlign w:val="bottom"/>
            <w:shd w:val="clear" w:color="auto" w:fill="B6D2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2.9</w:t>
            </w:r>
          </w:p>
        </w:tc>
        <w:tc>
          <w:tcPr>
            <w:tcW w:w="12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9.2</w:t>
            </w:r>
          </w:p>
        </w:tc>
        <w:tc>
          <w:tcPr>
            <w:tcW w:w="100" w:type="dxa"/>
            <w:vAlign w:val="bottom"/>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0"/>
              <w:spacing w:after="0"/>
              <w:rPr>
                <w:sz w:val="20"/>
                <w:szCs w:val="20"/>
                <w:color w:val="auto"/>
              </w:rPr>
            </w:pPr>
            <w:r>
              <w:rPr>
                <w:rFonts w:ascii="Calibri" w:cs="Calibri" w:eastAsia="Calibri" w:hAnsi="Calibri"/>
                <w:sz w:val="16"/>
                <w:szCs w:val="16"/>
                <w:color w:val="auto"/>
              </w:rPr>
              <w:t>Amount recognized in net periodic pension cost due to setlement,</w:t>
            </w:r>
          </w:p>
        </w:tc>
        <w:tc>
          <w:tcPr>
            <w:tcW w:w="300" w:type="dxa"/>
            <w:vAlign w:val="bottom"/>
            <w:shd w:val="clear" w:color="auto" w:fill="B6D2E2"/>
          </w:tcPr>
          <w:p>
            <w:pPr>
              <w:spacing w:after="0"/>
              <w:rPr>
                <w:sz w:val="19"/>
                <w:szCs w:val="19"/>
                <w:color w:val="auto"/>
              </w:rPr>
            </w:pPr>
          </w:p>
        </w:tc>
        <w:tc>
          <w:tcPr>
            <w:tcW w:w="1280" w:type="dxa"/>
            <w:vAlign w:val="bottom"/>
            <w:vMerge w:val="restart"/>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vMerge w:val="restart"/>
            <w:shd w:val="clear" w:color="auto" w:fill="DEEAEB"/>
          </w:tcPr>
          <w:p>
            <w:pPr>
              <w:jc w:val="right"/>
              <w:spacing w:after="0"/>
              <w:rPr>
                <w:sz w:val="20"/>
                <w:szCs w:val="20"/>
                <w:color w:val="auto"/>
              </w:rPr>
            </w:pPr>
            <w:r>
              <w:rPr>
                <w:rFonts w:ascii="Calibri" w:cs="Calibri" w:eastAsia="Calibri" w:hAnsi="Calibri"/>
                <w:sz w:val="16"/>
                <w:szCs w:val="16"/>
                <w:color w:val="auto"/>
              </w:rPr>
              <w:t>3.5</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vMerge w:val="restart"/>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20"/>
              <w:spacing w:after="0"/>
              <w:rPr>
                <w:sz w:val="20"/>
                <w:szCs w:val="20"/>
                <w:color w:val="auto"/>
              </w:rPr>
            </w:pPr>
            <w:r>
              <w:rPr>
                <w:rFonts w:ascii="Calibri" w:cs="Calibri" w:eastAsia="Calibri" w:hAnsi="Calibri"/>
                <w:sz w:val="16"/>
                <w:szCs w:val="16"/>
                <w:color w:val="auto"/>
              </w:rPr>
              <w:t>net of tax of $0.0, $1.1 and $0.0, respectvely</w:t>
            </w:r>
          </w:p>
        </w:tc>
        <w:tc>
          <w:tcPr>
            <w:tcW w:w="300" w:type="dxa"/>
            <w:vAlign w:val="bottom"/>
            <w:tcBorders>
              <w:bottom w:val="single" w:sz="8" w:color="B6D2E2"/>
            </w:tcBorders>
            <w:shd w:val="clear" w:color="auto" w:fill="B6D2E2"/>
          </w:tcPr>
          <w:p>
            <w:pPr>
              <w:spacing w:after="0"/>
              <w:rPr>
                <w:sz w:val="20"/>
                <w:szCs w:val="20"/>
                <w:color w:val="auto"/>
              </w:rPr>
            </w:pPr>
          </w:p>
        </w:tc>
        <w:tc>
          <w:tcPr>
            <w:tcW w:w="1280" w:type="dxa"/>
            <w:vAlign w:val="bottom"/>
            <w:tcBorders>
              <w:bottom w:val="single" w:sz="8" w:color="B6D2E2"/>
            </w:tcBorders>
            <w:vMerge w:val="continue"/>
            <w:shd w:val="clear" w:color="auto" w:fill="B6D2E2"/>
          </w:tcPr>
          <w:p>
            <w:pPr>
              <w:spacing w:after="0"/>
              <w:rPr>
                <w:sz w:val="20"/>
                <w:szCs w:val="20"/>
                <w:color w:val="auto"/>
              </w:rPr>
            </w:pPr>
          </w:p>
        </w:tc>
        <w:tc>
          <w:tcPr>
            <w:tcW w:w="120" w:type="dxa"/>
            <w:vAlign w:val="bottom"/>
            <w:tcBorders>
              <w:bottom w:val="single" w:sz="8" w:color="B6D2E2"/>
            </w:tcBorders>
            <w:shd w:val="clear" w:color="auto" w:fill="B6D2E2"/>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60" w:type="dxa"/>
            <w:vAlign w:val="bottom"/>
            <w:tcBorders>
              <w:bottom w:val="single" w:sz="8" w:color="DEEAEB"/>
            </w:tcBorders>
            <w:vMerge w:val="continue"/>
            <w:shd w:val="clear" w:color="auto" w:fill="DEEAEB"/>
          </w:tcPr>
          <w:p>
            <w:pPr>
              <w:spacing w:after="0"/>
              <w:rPr>
                <w:sz w:val="20"/>
                <w:szCs w:val="20"/>
                <w:color w:val="auto"/>
              </w:rPr>
            </w:pPr>
          </w:p>
        </w:tc>
        <w:tc>
          <w:tcPr>
            <w:tcW w:w="120" w:type="dxa"/>
            <w:vAlign w:val="bottom"/>
            <w:tcBorders>
              <w:bottom w:val="single" w:sz="8" w:color="DEEAEB"/>
            </w:tcBorders>
            <w:shd w:val="clear" w:color="auto" w:fill="DEEAEB"/>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80" w:type="dxa"/>
            <w:vAlign w:val="bottom"/>
            <w:tcBorders>
              <w:bottom w:val="single" w:sz="8" w:color="DEEAEB"/>
            </w:tcBorders>
            <w:vMerge w:val="continue"/>
            <w:shd w:val="clear" w:color="auto" w:fill="DEEAEB"/>
          </w:tcPr>
          <w:p>
            <w:pPr>
              <w:spacing w:after="0"/>
              <w:rPr>
                <w:sz w:val="20"/>
                <w:szCs w:val="20"/>
                <w:color w:val="auto"/>
              </w:rPr>
            </w:pPr>
          </w:p>
        </w:tc>
        <w:tc>
          <w:tcPr>
            <w:tcW w:w="100" w:type="dxa"/>
            <w:vAlign w:val="bottom"/>
            <w:tcBorders>
              <w:bottom w:val="single" w:sz="8" w:color="DEEAEB"/>
            </w:tcBorders>
            <w:shd w:val="clear" w:color="auto" w:fill="DEEAEB"/>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30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(11.5</w:t>
            </w:r>
          </w:p>
        </w:tc>
        <w:tc>
          <w:tcPr>
            <w:tcW w:w="12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w w:val="79"/>
              </w:rPr>
              <w:t>)</w:t>
            </w: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61.1</w:t>
            </w:r>
          </w:p>
        </w:tc>
        <w:tc>
          <w:tcPr>
            <w:tcW w:w="120" w:type="dxa"/>
            <w:vAlign w:val="bottom"/>
            <w:tcBorders>
              <w:top w:val="single" w:sz="8" w:color="auto"/>
            </w:tcBorders>
            <w:shd w:val="clear" w:color="auto" w:fill="DEEAEB"/>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60.5</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980" w:type="dxa"/>
            <w:vAlign w:val="bottom"/>
          </w:tcPr>
          <w:p>
            <w:pPr>
              <w:ind w:left="20"/>
              <w:spacing w:after="0"/>
              <w:rPr>
                <w:sz w:val="20"/>
                <w:szCs w:val="20"/>
                <w:color w:val="auto"/>
              </w:rPr>
            </w:pPr>
            <w:r>
              <w:rPr>
                <w:rFonts w:ascii="Calibri" w:cs="Calibri" w:eastAsia="Calibri" w:hAnsi="Calibri"/>
                <w:sz w:val="16"/>
                <w:szCs w:val="16"/>
                <w:color w:val="auto"/>
              </w:rPr>
              <w:t>Foreign currency translaton gain (loss)</w:t>
            </w:r>
          </w:p>
        </w:tc>
        <w:tc>
          <w:tcPr>
            <w:tcW w:w="30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0.8</w:t>
            </w:r>
          </w:p>
        </w:tc>
        <w:tc>
          <w:tcPr>
            <w:tcW w:w="120" w:type="dxa"/>
            <w:vAlign w:val="bottom"/>
            <w:tcBorders>
              <w:bottom w:val="single" w:sz="8" w:color="B6D2E2"/>
            </w:tcBorders>
            <w:shd w:val="clear" w:color="auto" w:fill="B6D2E2"/>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380" w:type="dxa"/>
            <w:vAlign w:val="bottom"/>
            <w:tcBorders>
              <w:bottom w:val="single" w:sz="8" w:color="DEEAEB"/>
            </w:tcBorders>
            <w:gridSpan w:val="2"/>
            <w:shd w:val="clear" w:color="auto" w:fill="DEEAEB"/>
          </w:tcPr>
          <w:p>
            <w:pPr>
              <w:jc w:val="right"/>
              <w:spacing w:after="0"/>
              <w:rPr>
                <w:sz w:val="20"/>
                <w:szCs w:val="20"/>
                <w:color w:val="auto"/>
              </w:rPr>
            </w:pPr>
            <w:r>
              <w:rPr>
                <w:rFonts w:ascii="Calibri" w:cs="Calibri" w:eastAsia="Calibri" w:hAnsi="Calibri"/>
                <w:sz w:val="16"/>
                <w:szCs w:val="16"/>
                <w:color w:val="auto"/>
              </w:rPr>
              <w:t>(2.0 )</w:t>
            </w: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0.3</w:t>
            </w:r>
          </w:p>
        </w:tc>
        <w:tc>
          <w:tcPr>
            <w:tcW w:w="100" w:type="dxa"/>
            <w:vAlign w:val="bottom"/>
            <w:tcBorders>
              <w:bottom w:val="single" w:sz="8" w:color="DEEAEB"/>
            </w:tcBorders>
            <w:shd w:val="clear" w:color="auto" w:fill="DEEAEB"/>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300" w:type="dxa"/>
            <w:vAlign w:val="bottom"/>
            <w:tcBorders>
              <w:top w:val="single" w:sz="8" w:color="auto"/>
              <w:bottom w:val="single" w:sz="8" w:color="B6D2E2"/>
            </w:tcBorders>
            <w:shd w:val="clear" w:color="auto" w:fill="B6D2E2"/>
          </w:tcPr>
          <w:p>
            <w:pPr>
              <w:spacing w:after="0"/>
              <w:rPr>
                <w:sz w:val="19"/>
                <w:szCs w:val="19"/>
                <w:color w:val="auto"/>
              </w:rPr>
            </w:pPr>
          </w:p>
        </w:tc>
        <w:tc>
          <w:tcPr>
            <w:tcW w:w="1400" w:type="dxa"/>
            <w:vAlign w:val="bottom"/>
            <w:tcBorders>
              <w:top w:val="single" w:sz="8" w:color="auto"/>
              <w:bottom w:val="single" w:sz="8" w:color="B6D2E2"/>
            </w:tcBorders>
            <w:gridSpan w:val="2"/>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(10.7 )</w:t>
            </w: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DEEAEB"/>
            </w:tcBorders>
            <w:shd w:val="clear" w:color="auto" w:fill="DEEAEB"/>
          </w:tcPr>
          <w:p>
            <w:pPr>
              <w:spacing w:after="0"/>
              <w:rPr>
                <w:sz w:val="19"/>
                <w:szCs w:val="19"/>
                <w:color w:val="auto"/>
              </w:rPr>
            </w:pPr>
          </w:p>
        </w:tc>
        <w:tc>
          <w:tcPr>
            <w:tcW w:w="1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59.1</w:t>
            </w:r>
          </w:p>
        </w:tc>
        <w:tc>
          <w:tcPr>
            <w:tcW w:w="120" w:type="dxa"/>
            <w:vAlign w:val="bottom"/>
            <w:tcBorders>
              <w:top w:val="single" w:sz="8" w:color="auto"/>
              <w:bottom w:val="single" w:sz="8" w:color="DEEAEB"/>
            </w:tcBorders>
            <w:shd w:val="clear" w:color="auto" w:fill="DEEAEB"/>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DEEAEB"/>
            </w:tcBorders>
            <w:shd w:val="clear" w:color="auto" w:fill="DEEAEB"/>
          </w:tcPr>
          <w:p>
            <w:pPr>
              <w:spacing w:after="0"/>
              <w:rPr>
                <w:sz w:val="19"/>
                <w:szCs w:val="19"/>
                <w:color w:val="auto"/>
              </w:rPr>
            </w:pP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60.8</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Consolidated comprehensive earnings</w:t>
            </w:r>
          </w:p>
        </w:tc>
        <w:tc>
          <w:tcPr>
            <w:tcW w:w="30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1,158.7</w:t>
            </w:r>
          </w:p>
        </w:tc>
        <w:tc>
          <w:tcPr>
            <w:tcW w:w="120" w:type="dxa"/>
            <w:vAlign w:val="bottom"/>
            <w:tcBorders>
              <w:top w:val="single" w:sz="8" w:color="auto"/>
            </w:tcBorders>
            <w:shd w:val="clear" w:color="auto" w:fill="B6D2E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925.9</w:t>
            </w:r>
          </w:p>
        </w:tc>
        <w:tc>
          <w:tcPr>
            <w:tcW w:w="120" w:type="dxa"/>
            <w:vAlign w:val="bottom"/>
            <w:tcBorders>
              <w:top w:val="single" w:sz="8" w:color="auto"/>
            </w:tcBorders>
            <w:shd w:val="clear" w:color="auto" w:fill="DEEAEB"/>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763.6</w:t>
            </w:r>
          </w:p>
        </w:tc>
        <w:tc>
          <w:tcPr>
            <w:tcW w:w="100" w:type="dxa"/>
            <w:vAlign w:val="bottom"/>
            <w:tcBorders>
              <w:top w:val="single" w:sz="8" w:color="auto"/>
            </w:tcBorders>
            <w:shd w:val="clear" w:color="auto" w:fill="DEEAEB"/>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980" w:type="dxa"/>
            <w:vAlign w:val="bottom"/>
          </w:tcPr>
          <w:p>
            <w:pPr>
              <w:ind w:left="20"/>
              <w:spacing w:after="0"/>
              <w:rPr>
                <w:sz w:val="20"/>
                <w:szCs w:val="20"/>
                <w:color w:val="auto"/>
              </w:rPr>
            </w:pPr>
            <w:r>
              <w:rPr>
                <w:rFonts w:ascii="Calibri" w:cs="Calibri" w:eastAsia="Calibri" w:hAnsi="Calibri"/>
                <w:sz w:val="16"/>
                <w:szCs w:val="16"/>
                <w:color w:val="auto"/>
              </w:rPr>
              <w:t>Less: Comprehensive earnings atributable to noncontrolling</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spacing w:after="0"/>
              <w:rPr>
                <w:sz w:val="19"/>
                <w:szCs w:val="19"/>
                <w:color w:val="auto"/>
              </w:rPr>
            </w:pP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980" w:type="dxa"/>
            <w:vAlign w:val="bottom"/>
          </w:tcPr>
          <w:p>
            <w:pPr>
              <w:ind w:left="140"/>
              <w:spacing w:after="0"/>
              <w:rPr>
                <w:sz w:val="20"/>
                <w:szCs w:val="20"/>
                <w:color w:val="auto"/>
              </w:rPr>
            </w:pPr>
            <w:r>
              <w:rPr>
                <w:rFonts w:ascii="Calibri" w:cs="Calibri" w:eastAsia="Calibri" w:hAnsi="Calibri"/>
                <w:sz w:val="16"/>
                <w:szCs w:val="16"/>
                <w:color w:val="auto"/>
              </w:rPr>
              <w:t>interests</w:t>
            </w:r>
          </w:p>
        </w:tc>
        <w:tc>
          <w:tcPr>
            <w:tcW w:w="300" w:type="dxa"/>
            <w:vAlign w:val="bottom"/>
            <w:tcBorders>
              <w:bottom w:val="single" w:sz="8" w:color="B6D2E2"/>
            </w:tcBorders>
            <w:shd w:val="clear" w:color="auto" w:fill="B6D2E2"/>
          </w:tcPr>
          <w:p>
            <w:pPr>
              <w:spacing w:after="0"/>
              <w:rPr>
                <w:sz w:val="21"/>
                <w:szCs w:val="21"/>
                <w:color w:val="auto"/>
              </w:rPr>
            </w:pPr>
          </w:p>
        </w:tc>
        <w:tc>
          <w:tcPr>
            <w:tcW w:w="1400" w:type="dxa"/>
            <w:vAlign w:val="bottom"/>
            <w:tcBorders>
              <w:bottom w:val="single" w:sz="8" w:color="B6D2E2"/>
            </w:tcBorders>
            <w:gridSpan w:val="2"/>
            <w:shd w:val="clear" w:color="auto" w:fill="B6D2E2"/>
          </w:tcPr>
          <w:p>
            <w:pPr>
              <w:jc w:val="right"/>
              <w:ind w:right="59"/>
              <w:spacing w:after="0"/>
              <w:rPr>
                <w:sz w:val="20"/>
                <w:szCs w:val="20"/>
                <w:color w:val="auto"/>
              </w:rPr>
            </w:pPr>
            <w:r>
              <w:rPr>
                <w:rFonts w:ascii="Calibri" w:cs="Calibri" w:eastAsia="Calibri" w:hAnsi="Calibri"/>
                <w:sz w:val="16"/>
                <w:szCs w:val="16"/>
                <w:b w:val="1"/>
                <w:bCs w:val="1"/>
                <w:color w:val="auto"/>
              </w:rPr>
              <w:t>—</w:t>
            </w:r>
          </w:p>
        </w:tc>
        <w:tc>
          <w:tcPr>
            <w:tcW w:w="140" w:type="dxa"/>
            <w:vAlign w:val="bottom"/>
          </w:tcPr>
          <w:p>
            <w:pPr>
              <w:spacing w:after="0"/>
              <w:rPr>
                <w:sz w:val="21"/>
                <w:szCs w:val="21"/>
                <w:color w:val="auto"/>
              </w:rPr>
            </w:pPr>
          </w:p>
        </w:tc>
        <w:tc>
          <w:tcPr>
            <w:tcW w:w="260" w:type="dxa"/>
            <w:vAlign w:val="bottom"/>
            <w:tcBorders>
              <w:bottom w:val="single" w:sz="8" w:color="DEEAEB"/>
            </w:tcBorders>
            <w:shd w:val="clear" w:color="auto" w:fill="DEEAEB"/>
          </w:tcPr>
          <w:p>
            <w:pPr>
              <w:spacing w:after="0"/>
              <w:rPr>
                <w:sz w:val="21"/>
                <w:szCs w:val="21"/>
                <w:color w:val="auto"/>
              </w:rPr>
            </w:pPr>
          </w:p>
        </w:tc>
        <w:tc>
          <w:tcPr>
            <w:tcW w:w="1380" w:type="dxa"/>
            <w:vAlign w:val="bottom"/>
            <w:tcBorders>
              <w:bottom w:val="single" w:sz="8" w:color="DEEAEB"/>
            </w:tcBorders>
            <w:gridSpan w:val="2"/>
            <w:shd w:val="clear" w:color="auto" w:fill="DEEAEB"/>
          </w:tcPr>
          <w:p>
            <w:pPr>
              <w:jc w:val="right"/>
              <w:ind w:right="39"/>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21"/>
                <w:szCs w:val="21"/>
                <w:color w:val="auto"/>
              </w:rPr>
            </w:pPr>
          </w:p>
        </w:tc>
        <w:tc>
          <w:tcPr>
            <w:tcW w:w="260" w:type="dxa"/>
            <w:vAlign w:val="bottom"/>
            <w:tcBorders>
              <w:bottom w:val="single" w:sz="8" w:color="DEEAEB"/>
            </w:tcBorders>
            <w:shd w:val="clear" w:color="auto" w:fill="DEEAEB"/>
          </w:tcPr>
          <w:p>
            <w:pPr>
              <w:spacing w:after="0"/>
              <w:rPr>
                <w:sz w:val="21"/>
                <w:szCs w:val="21"/>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0.3</w:t>
            </w:r>
          </w:p>
        </w:tc>
        <w:tc>
          <w:tcPr>
            <w:tcW w:w="100" w:type="dxa"/>
            <w:vAlign w:val="bottom"/>
            <w:tcBorders>
              <w:bottom w:val="single" w:sz="8" w:color="DEEAEB"/>
            </w:tcBorders>
            <w:shd w:val="clear" w:color="auto" w:fill="DEEAE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Comprehensive Earnings Atributable to Martn Marieta</w:t>
            </w:r>
          </w:p>
        </w:tc>
        <w:tc>
          <w:tcPr>
            <w:tcW w:w="30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1,158.7</w:t>
            </w:r>
          </w:p>
        </w:tc>
        <w:tc>
          <w:tcPr>
            <w:tcW w:w="120" w:type="dxa"/>
            <w:vAlign w:val="bottom"/>
            <w:tcBorders>
              <w:top w:val="single" w:sz="8" w:color="auto"/>
              <w:bottom w:val="single" w:sz="8" w:color="B6D2E2"/>
            </w:tcBorders>
            <w:shd w:val="clear" w:color="auto" w:fill="B6D2E2"/>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925.9</w:t>
            </w:r>
          </w:p>
        </w:tc>
        <w:tc>
          <w:tcPr>
            <w:tcW w:w="120" w:type="dxa"/>
            <w:vAlign w:val="bottom"/>
            <w:tcBorders>
              <w:top w:val="single" w:sz="8" w:color="auto"/>
              <w:bottom w:val="single" w:sz="8" w:color="DEEAEB"/>
            </w:tcBorders>
            <w:shd w:val="clear" w:color="auto" w:fill="DEEAEB"/>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763.3</w:t>
            </w:r>
          </w:p>
        </w:tc>
        <w:tc>
          <w:tcPr>
            <w:tcW w:w="100" w:type="dxa"/>
            <w:vAlign w:val="bottom"/>
            <w:tcBorders>
              <w:top w:val="single" w:sz="8" w:color="auto"/>
              <w:bottom w:val="single" w:sz="8" w:color="DEEAEB"/>
            </w:tcBorders>
            <w:shd w:val="clear" w:color="auto" w:fill="DEEAEB"/>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229235</wp:posOffset>
            </wp:positionV>
            <wp:extent cx="325755" cy="1968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6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5" w:name="page76"/>
    <w:bookmarkEnd w:id="75"/>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94"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color w:val="auto"/>
        </w:rPr>
        <w:t>Martn Marieta Materials, Inc. and Consolidated Subsidiaries</w:t>
      </w:r>
    </w:p>
    <w:p>
      <w:pPr>
        <w:spacing w:after="0" w:line="1"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b w:val="1"/>
          <w:bCs w:val="1"/>
          <w:color w:val="007DC6"/>
        </w:rPr>
        <w:t>Consolidated Balance Sheets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120" w:type="dxa"/>
            <w:vAlign w:val="bottom"/>
          </w:tcPr>
          <w:p>
            <w:pPr>
              <w:ind w:left="20"/>
              <w:spacing w:after="0"/>
              <w:rPr>
                <w:sz w:val="20"/>
                <w:szCs w:val="20"/>
                <w:color w:val="auto"/>
              </w:rPr>
            </w:pPr>
            <w:r>
              <w:rPr>
                <w:rFonts w:ascii="Calibri" w:cs="Calibri" w:eastAsia="Calibri" w:hAnsi="Calibri"/>
                <w:sz w:val="16"/>
                <w:szCs w:val="16"/>
                <w:i w:val="1"/>
                <w:iCs w:val="1"/>
                <w:color w:val="auto"/>
              </w:rPr>
              <w:t>December 31</w:t>
            </w:r>
          </w:p>
        </w:tc>
        <w:tc>
          <w:tcPr>
            <w:tcW w:w="320" w:type="dxa"/>
            <w:vAlign w:val="bottom"/>
            <w:shd w:val="clear" w:color="auto" w:fill="007DC6"/>
          </w:tcPr>
          <w:p>
            <w:pPr>
              <w:spacing w:after="0"/>
              <w:rPr>
                <w:sz w:val="17"/>
                <w:szCs w:val="17"/>
                <w:color w:val="auto"/>
              </w:rPr>
            </w:pPr>
          </w:p>
        </w:tc>
        <w:tc>
          <w:tcPr>
            <w:tcW w:w="1560" w:type="dxa"/>
            <w:vAlign w:val="bottom"/>
            <w:shd w:val="clear" w:color="auto" w:fill="007DC6"/>
          </w:tcPr>
          <w:p>
            <w:pPr>
              <w:spacing w:after="0"/>
              <w:rPr>
                <w:sz w:val="17"/>
                <w:szCs w:val="17"/>
                <w:color w:val="auto"/>
              </w:rPr>
            </w:pPr>
          </w:p>
        </w:tc>
        <w:tc>
          <w:tcPr>
            <w:tcW w:w="120" w:type="dxa"/>
            <w:vAlign w:val="bottom"/>
            <w:shd w:val="clear" w:color="auto" w:fill="007DC6"/>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shd w:val="clear" w:color="auto" w:fill="DEEAEB"/>
          </w:tcPr>
          <w:p>
            <w:pPr>
              <w:spacing w:after="0"/>
              <w:rPr>
                <w:sz w:val="17"/>
                <w:szCs w:val="17"/>
                <w:color w:val="auto"/>
              </w:rPr>
            </w:pPr>
          </w:p>
        </w:tc>
        <w:tc>
          <w:tcPr>
            <w:tcW w:w="156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r>
      <w:tr>
        <w:trPr>
          <w:trHeight w:val="234"/>
        </w:trPr>
        <w:tc>
          <w:tcPr>
            <w:tcW w:w="7120" w:type="dxa"/>
            <w:vAlign w:val="bottom"/>
          </w:tcPr>
          <w:p>
            <w:pPr>
              <w:ind w:left="20"/>
              <w:spacing w:after="0" w:line="193" w:lineRule="exact"/>
              <w:rPr>
                <w:sz w:val="20"/>
                <w:szCs w:val="20"/>
                <w:color w:val="auto"/>
              </w:rPr>
            </w:pPr>
            <w:r>
              <w:rPr>
                <w:rFonts w:ascii="Calibri" w:cs="Calibri" w:eastAsia="Calibri" w:hAnsi="Calibri"/>
                <w:sz w:val="16"/>
                <w:szCs w:val="16"/>
                <w:color w:val="auto"/>
              </w:rPr>
              <w:t>(in millions, except share and par value data)</w:t>
            </w:r>
          </w:p>
        </w:tc>
        <w:tc>
          <w:tcPr>
            <w:tcW w:w="320" w:type="dxa"/>
            <w:vAlign w:val="bottom"/>
            <w:tcBorders>
              <w:bottom w:val="single" w:sz="8" w:color="007DC6"/>
            </w:tcBorders>
            <w:shd w:val="clear" w:color="auto" w:fill="007DC6"/>
          </w:tcPr>
          <w:p>
            <w:pPr>
              <w:spacing w:after="0"/>
              <w:rPr>
                <w:sz w:val="20"/>
                <w:szCs w:val="20"/>
                <w:color w:val="auto"/>
              </w:rPr>
            </w:pPr>
          </w:p>
        </w:tc>
        <w:tc>
          <w:tcPr>
            <w:tcW w:w="1560" w:type="dxa"/>
            <w:vAlign w:val="bottom"/>
            <w:tcBorders>
              <w:bottom w:val="single" w:sz="8" w:color="007DC6"/>
            </w:tcBorders>
            <w:shd w:val="clear" w:color="auto" w:fill="007DC6"/>
          </w:tcPr>
          <w:p>
            <w:pPr>
              <w:jc w:val="right"/>
              <w:ind w:right="599"/>
              <w:spacing w:after="0" w:line="193" w:lineRule="exact"/>
              <w:rPr>
                <w:sz w:val="20"/>
                <w:szCs w:val="20"/>
                <w:color w:val="auto"/>
              </w:rPr>
            </w:pPr>
            <w:r>
              <w:rPr>
                <w:rFonts w:ascii="Calibri" w:cs="Calibri" w:eastAsia="Calibri" w:hAnsi="Calibri"/>
                <w:sz w:val="16"/>
                <w:szCs w:val="16"/>
                <w:b w:val="1"/>
                <w:bCs w:val="1"/>
                <w:color w:val="FFFFFF"/>
              </w:rPr>
              <w:t>2023</w:t>
            </w:r>
          </w:p>
        </w:tc>
        <w:tc>
          <w:tcPr>
            <w:tcW w:w="120" w:type="dxa"/>
            <w:vAlign w:val="bottom"/>
            <w:tcBorders>
              <w:bottom w:val="single" w:sz="8" w:color="007DC6"/>
            </w:tcBorders>
            <w:shd w:val="clear" w:color="auto" w:fill="007DC6"/>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DEEAEB"/>
            </w:tcBorders>
            <w:shd w:val="clear" w:color="auto" w:fill="DEEAEB"/>
          </w:tcPr>
          <w:p>
            <w:pPr>
              <w:spacing w:after="0"/>
              <w:rPr>
                <w:sz w:val="20"/>
                <w:szCs w:val="20"/>
                <w:color w:val="auto"/>
              </w:rPr>
            </w:pPr>
          </w:p>
        </w:tc>
        <w:tc>
          <w:tcPr>
            <w:tcW w:w="1560" w:type="dxa"/>
            <w:vAlign w:val="bottom"/>
            <w:tcBorders>
              <w:bottom w:val="single" w:sz="8" w:color="DEEAEB"/>
            </w:tcBorders>
            <w:shd w:val="clear" w:color="auto" w:fill="DEEAEB"/>
          </w:tcPr>
          <w:p>
            <w:pPr>
              <w:jc w:val="right"/>
              <w:ind w:right="599"/>
              <w:spacing w:after="0" w:line="193" w:lineRule="exact"/>
              <w:rPr>
                <w:sz w:val="20"/>
                <w:szCs w:val="20"/>
                <w:color w:val="auto"/>
              </w:rPr>
            </w:pPr>
            <w:r>
              <w:rPr>
                <w:rFonts w:ascii="Calibri" w:cs="Calibri" w:eastAsia="Calibri" w:hAnsi="Calibri"/>
                <w:sz w:val="16"/>
                <w:szCs w:val="16"/>
                <w:color w:val="auto"/>
              </w:rPr>
              <w:t>2022</w:t>
            </w:r>
          </w:p>
        </w:tc>
        <w:tc>
          <w:tcPr>
            <w:tcW w:w="100" w:type="dxa"/>
            <w:vAlign w:val="bottom"/>
            <w:tcBorders>
              <w:bottom w:val="single" w:sz="8" w:color="DEEAEB"/>
            </w:tcBorders>
            <w:shd w:val="clear" w:color="auto" w:fill="DEEAEB"/>
          </w:tcPr>
          <w:p>
            <w:pPr>
              <w:spacing w:after="0"/>
              <w:rPr>
                <w:sz w:val="20"/>
                <w:szCs w:val="20"/>
                <w:color w:val="auto"/>
              </w:rPr>
            </w:pPr>
          </w:p>
        </w:tc>
      </w:tr>
      <w:tr>
        <w:trPr>
          <w:trHeight w:val="223"/>
        </w:trPr>
        <w:tc>
          <w:tcPr>
            <w:tcW w:w="712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Assets</w:t>
            </w:r>
          </w:p>
        </w:tc>
        <w:tc>
          <w:tcPr>
            <w:tcW w:w="320" w:type="dxa"/>
            <w:vAlign w:val="bottom"/>
            <w:tcBorders>
              <w:top w:val="single" w:sz="8" w:color="auto"/>
              <w:bottom w:val="single" w:sz="8" w:color="B6D2E2"/>
            </w:tcBorders>
            <w:shd w:val="clear" w:color="auto" w:fill="B6D2E2"/>
          </w:tcPr>
          <w:p>
            <w:pPr>
              <w:spacing w:after="0"/>
              <w:rPr>
                <w:sz w:val="19"/>
                <w:szCs w:val="19"/>
                <w:color w:val="auto"/>
              </w:rPr>
            </w:pPr>
          </w:p>
        </w:tc>
        <w:tc>
          <w:tcPr>
            <w:tcW w:w="1560" w:type="dxa"/>
            <w:vAlign w:val="bottom"/>
            <w:tcBorders>
              <w:top w:val="single" w:sz="8" w:color="auto"/>
              <w:bottom w:val="single" w:sz="8" w:color="B6D2E2"/>
            </w:tcBorders>
            <w:shd w:val="clear" w:color="auto" w:fill="B6D2E2"/>
          </w:tcPr>
          <w:p>
            <w:pPr>
              <w:spacing w:after="0"/>
              <w:rPr>
                <w:sz w:val="19"/>
                <w:szCs w:val="19"/>
                <w:color w:val="auto"/>
              </w:rPr>
            </w:pPr>
          </w:p>
        </w:tc>
        <w:tc>
          <w:tcPr>
            <w:tcW w:w="120" w:type="dxa"/>
            <w:vAlign w:val="bottom"/>
            <w:tcBorders>
              <w:top w:val="single" w:sz="8" w:color="auto"/>
              <w:bottom w:val="single" w:sz="8" w:color="B6D2E2"/>
            </w:tcBorders>
            <w:shd w:val="clear" w:color="auto" w:fill="B6D2E2"/>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DEEAEB"/>
            </w:tcBorders>
            <w:shd w:val="clear" w:color="auto" w:fill="DEEAEB"/>
          </w:tcPr>
          <w:p>
            <w:pPr>
              <w:spacing w:after="0"/>
              <w:rPr>
                <w:sz w:val="19"/>
                <w:szCs w:val="19"/>
                <w:color w:val="auto"/>
              </w:rPr>
            </w:pPr>
          </w:p>
        </w:tc>
        <w:tc>
          <w:tcPr>
            <w:tcW w:w="1560" w:type="dxa"/>
            <w:vAlign w:val="bottom"/>
            <w:tcBorders>
              <w:top w:val="single" w:sz="8" w:color="auto"/>
              <w:bottom w:val="single" w:sz="8" w:color="DEEAEB"/>
            </w:tcBorders>
            <w:shd w:val="clear" w:color="auto" w:fill="DEEAEB"/>
          </w:tcPr>
          <w:p>
            <w:pPr>
              <w:spacing w:after="0"/>
              <w:rPr>
                <w:sz w:val="19"/>
                <w:szCs w:val="19"/>
                <w:color w:val="auto"/>
              </w:rPr>
            </w:pP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r>
      <w:tr>
        <w:trPr>
          <w:trHeight w:val="187"/>
        </w:trPr>
        <w:tc>
          <w:tcPr>
            <w:tcW w:w="712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Current Assets:</w:t>
            </w:r>
          </w:p>
        </w:tc>
        <w:tc>
          <w:tcPr>
            <w:tcW w:w="320" w:type="dxa"/>
            <w:vAlign w:val="bottom"/>
            <w:tcBorders>
              <w:top w:val="single" w:sz="8" w:color="auto"/>
            </w:tcBorders>
            <w:shd w:val="clear" w:color="auto" w:fill="B6D2E2"/>
          </w:tcPr>
          <w:p>
            <w:pPr>
              <w:spacing w:after="0"/>
              <w:rPr>
                <w:sz w:val="16"/>
                <w:szCs w:val="16"/>
                <w:color w:val="auto"/>
              </w:rPr>
            </w:pPr>
          </w:p>
        </w:tc>
        <w:tc>
          <w:tcPr>
            <w:tcW w:w="1560" w:type="dxa"/>
            <w:vAlign w:val="bottom"/>
            <w:tcBorders>
              <w:top w:val="single" w:sz="8" w:color="auto"/>
            </w:tcBorders>
            <w:shd w:val="clear" w:color="auto" w:fill="B6D2E2"/>
          </w:tcPr>
          <w:p>
            <w:pPr>
              <w:spacing w:after="0"/>
              <w:rPr>
                <w:sz w:val="16"/>
                <w:szCs w:val="16"/>
                <w:color w:val="auto"/>
              </w:rPr>
            </w:pP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shd w:val="clear" w:color="auto" w:fill="DEEAEB"/>
          </w:tcPr>
          <w:p>
            <w:pPr>
              <w:spacing w:after="0"/>
              <w:rPr>
                <w:sz w:val="16"/>
                <w:szCs w:val="16"/>
                <w:color w:val="auto"/>
              </w:rPr>
            </w:pPr>
          </w:p>
        </w:tc>
        <w:tc>
          <w:tcPr>
            <w:tcW w:w="156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r>
      <w:tr>
        <w:trPr>
          <w:trHeight w:val="224"/>
        </w:trPr>
        <w:tc>
          <w:tcPr>
            <w:tcW w:w="7120" w:type="dxa"/>
            <w:vAlign w:val="bottom"/>
          </w:tcPr>
          <w:p>
            <w:pPr>
              <w:ind w:left="20"/>
              <w:spacing w:after="0"/>
              <w:rPr>
                <w:sz w:val="20"/>
                <w:szCs w:val="20"/>
                <w:color w:val="auto"/>
              </w:rPr>
            </w:pPr>
            <w:r>
              <w:rPr>
                <w:rFonts w:ascii="Calibri" w:cs="Calibri" w:eastAsia="Calibri" w:hAnsi="Calibri"/>
                <w:sz w:val="16"/>
                <w:szCs w:val="16"/>
                <w:color w:val="auto"/>
              </w:rPr>
              <w:t>Cash and cash equivalents</w:t>
            </w:r>
          </w:p>
        </w:tc>
        <w:tc>
          <w:tcPr>
            <w:tcW w:w="3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1,271.8</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358.0</w:t>
            </w:r>
          </w:p>
        </w:tc>
        <w:tc>
          <w:tcPr>
            <w:tcW w:w="100" w:type="dxa"/>
            <w:vAlign w:val="bottom"/>
            <w:shd w:val="clear" w:color="auto" w:fill="DEEAEB"/>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Calibri" w:cs="Calibri" w:eastAsia="Calibri" w:hAnsi="Calibri"/>
                <w:sz w:val="16"/>
                <w:szCs w:val="16"/>
                <w:color w:val="auto"/>
              </w:rPr>
              <w:t>Restricted cash</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10.5</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0.8</w:t>
            </w:r>
          </w:p>
        </w:tc>
        <w:tc>
          <w:tcPr>
            <w:tcW w:w="100" w:type="dxa"/>
            <w:vAlign w:val="bottom"/>
            <w:shd w:val="clear" w:color="auto" w:fill="DEEAEB"/>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Calibri" w:cs="Calibri" w:eastAsia="Calibri" w:hAnsi="Calibri"/>
                <w:sz w:val="16"/>
                <w:szCs w:val="16"/>
                <w:color w:val="auto"/>
              </w:rPr>
              <w:t>Restricted investments (to satsfy discharged debt and related interest)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704.6</w:t>
            </w:r>
          </w:p>
        </w:tc>
        <w:tc>
          <w:tcPr>
            <w:tcW w:w="100" w:type="dxa"/>
            <w:vAlign w:val="bottom"/>
            <w:shd w:val="clear" w:color="auto" w:fill="DEEAEB"/>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Calibri" w:cs="Calibri" w:eastAsia="Calibri" w:hAnsi="Calibri"/>
                <w:sz w:val="16"/>
                <w:szCs w:val="16"/>
                <w:color w:val="auto"/>
              </w:rPr>
              <w:t>Accounts receivable, net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753.3</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785.9</w:t>
            </w:r>
          </w:p>
        </w:tc>
        <w:tc>
          <w:tcPr>
            <w:tcW w:w="100" w:type="dxa"/>
            <w:vAlign w:val="bottom"/>
            <w:shd w:val="clear" w:color="auto" w:fill="DEEAEB"/>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Calibri" w:cs="Calibri" w:eastAsia="Calibri" w:hAnsi="Calibri"/>
                <w:sz w:val="16"/>
                <w:szCs w:val="16"/>
                <w:color w:val="auto"/>
              </w:rPr>
              <w:t>Inventories, net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988.6</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873.7</w:t>
            </w:r>
          </w:p>
        </w:tc>
        <w:tc>
          <w:tcPr>
            <w:tcW w:w="100" w:type="dxa"/>
            <w:vAlign w:val="bottom"/>
            <w:shd w:val="clear" w:color="auto" w:fill="DEEAEB"/>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Calibri" w:cs="Calibri" w:eastAsia="Calibri" w:hAnsi="Calibri"/>
                <w:sz w:val="16"/>
                <w:szCs w:val="16"/>
                <w:color w:val="auto"/>
              </w:rPr>
              <w:t>Current assets held for sale</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807.1</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73.2</w:t>
            </w:r>
          </w:p>
        </w:tc>
        <w:tc>
          <w:tcPr>
            <w:tcW w:w="100" w:type="dxa"/>
            <w:vAlign w:val="bottom"/>
            <w:shd w:val="clear" w:color="auto" w:fill="DEEAEB"/>
          </w:tcPr>
          <w:p>
            <w:pPr>
              <w:spacing w:after="0"/>
              <w:rPr>
                <w:sz w:val="19"/>
                <w:szCs w:val="19"/>
                <w:color w:val="auto"/>
              </w:rPr>
            </w:pPr>
          </w:p>
        </w:tc>
      </w:tr>
      <w:tr>
        <w:trPr>
          <w:trHeight w:val="271"/>
        </w:trPr>
        <w:tc>
          <w:tcPr>
            <w:tcW w:w="7120" w:type="dxa"/>
            <w:vAlign w:val="bottom"/>
          </w:tcPr>
          <w:p>
            <w:pPr>
              <w:ind w:left="20"/>
              <w:spacing w:after="0"/>
              <w:rPr>
                <w:sz w:val="20"/>
                <w:szCs w:val="20"/>
                <w:color w:val="auto"/>
              </w:rPr>
            </w:pPr>
            <w:r>
              <w:rPr>
                <w:rFonts w:ascii="Calibri" w:cs="Calibri" w:eastAsia="Calibri" w:hAnsi="Calibri"/>
                <w:sz w:val="16"/>
                <w:szCs w:val="16"/>
                <w:color w:val="auto"/>
              </w:rPr>
              <w:t>Other current assets</w:t>
            </w:r>
          </w:p>
        </w:tc>
        <w:tc>
          <w:tcPr>
            <w:tcW w:w="320" w:type="dxa"/>
            <w:vAlign w:val="bottom"/>
            <w:tcBorders>
              <w:bottom w:val="single" w:sz="8" w:color="B6D2E2"/>
            </w:tcBorders>
            <w:shd w:val="clear" w:color="auto" w:fill="B6D2E2"/>
          </w:tcPr>
          <w:p>
            <w:pPr>
              <w:spacing w:after="0"/>
              <w:rPr>
                <w:sz w:val="23"/>
                <w:szCs w:val="23"/>
                <w:color w:val="auto"/>
              </w:rPr>
            </w:pPr>
          </w:p>
        </w:tc>
        <w:tc>
          <w:tcPr>
            <w:tcW w:w="15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87.6</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Borders>
              <w:bottom w:val="single" w:sz="8" w:color="DEEAEB"/>
            </w:tcBorders>
            <w:shd w:val="clear" w:color="auto" w:fill="DEEAEB"/>
          </w:tcPr>
          <w:p>
            <w:pPr>
              <w:spacing w:after="0"/>
              <w:rPr>
                <w:sz w:val="23"/>
                <w:szCs w:val="23"/>
                <w:color w:val="auto"/>
              </w:rPr>
            </w:pPr>
          </w:p>
        </w:tc>
        <w:tc>
          <w:tcPr>
            <w:tcW w:w="15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80.7</w:t>
            </w:r>
          </w:p>
        </w:tc>
        <w:tc>
          <w:tcPr>
            <w:tcW w:w="100" w:type="dxa"/>
            <w:vAlign w:val="bottom"/>
            <w:tcBorders>
              <w:bottom w:val="single" w:sz="8" w:color="DEEAEB"/>
            </w:tcBorders>
            <w:shd w:val="clear" w:color="auto" w:fill="DEEAEB"/>
          </w:tcPr>
          <w:p>
            <w:pPr>
              <w:spacing w:after="0"/>
              <w:rPr>
                <w:sz w:val="23"/>
                <w:szCs w:val="23"/>
                <w:color w:val="auto"/>
              </w:rPr>
            </w:pPr>
          </w:p>
        </w:tc>
      </w:tr>
      <w:tr>
        <w:trPr>
          <w:trHeight w:val="187"/>
        </w:trPr>
        <w:tc>
          <w:tcPr>
            <w:tcW w:w="712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Current Assets</w:t>
            </w:r>
          </w:p>
        </w:tc>
        <w:tc>
          <w:tcPr>
            <w:tcW w:w="320" w:type="dxa"/>
            <w:vAlign w:val="bottom"/>
            <w:tcBorders>
              <w:top w:val="single" w:sz="8" w:color="auto"/>
            </w:tcBorders>
            <w:shd w:val="clear" w:color="auto" w:fill="B6D2E2"/>
          </w:tcPr>
          <w:p>
            <w:pPr>
              <w:spacing w:after="0"/>
              <w:rPr>
                <w:sz w:val="16"/>
                <w:szCs w:val="16"/>
                <w:color w:val="auto"/>
              </w:rPr>
            </w:pPr>
          </w:p>
        </w:tc>
        <w:tc>
          <w:tcPr>
            <w:tcW w:w="156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3,918.9</w:t>
            </w: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shd w:val="clear" w:color="auto" w:fill="DEEAEB"/>
          </w:tcPr>
          <w:p>
            <w:pPr>
              <w:spacing w:after="0"/>
              <w:rPr>
                <w:sz w:val="16"/>
                <w:szCs w:val="16"/>
                <w:color w:val="auto"/>
              </w:rPr>
            </w:pPr>
          </w:p>
        </w:tc>
        <w:tc>
          <w:tcPr>
            <w:tcW w:w="15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2,876.9</w:t>
            </w:r>
          </w:p>
        </w:tc>
        <w:tc>
          <w:tcPr>
            <w:tcW w:w="100" w:type="dxa"/>
            <w:vAlign w:val="bottom"/>
            <w:tcBorders>
              <w:top w:val="single" w:sz="8" w:color="auto"/>
            </w:tcBorders>
            <w:shd w:val="clear" w:color="auto" w:fill="DEEAEB"/>
          </w:tcPr>
          <w:p>
            <w:pPr>
              <w:spacing w:after="0"/>
              <w:rPr>
                <w:sz w:val="16"/>
                <w:szCs w:val="16"/>
                <w:color w:val="auto"/>
              </w:rPr>
            </w:pPr>
          </w:p>
        </w:tc>
      </w:tr>
      <w:tr>
        <w:trPr>
          <w:trHeight w:val="225"/>
        </w:trPr>
        <w:tc>
          <w:tcPr>
            <w:tcW w:w="7120" w:type="dxa"/>
            <w:vAlign w:val="bottom"/>
          </w:tcPr>
          <w:p>
            <w:pPr>
              <w:ind w:left="20"/>
              <w:spacing w:after="0"/>
              <w:rPr>
                <w:sz w:val="20"/>
                <w:szCs w:val="20"/>
                <w:color w:val="auto"/>
              </w:rPr>
            </w:pPr>
            <w:r>
              <w:rPr>
                <w:rFonts w:ascii="Calibri" w:cs="Calibri" w:eastAsia="Calibri" w:hAnsi="Calibri"/>
                <w:sz w:val="16"/>
                <w:szCs w:val="16"/>
                <w:color w:val="auto"/>
              </w:rPr>
              <w:t>Property, plant and equipment, net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6,185.9</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6,316.7</w:t>
            </w:r>
          </w:p>
        </w:tc>
        <w:tc>
          <w:tcPr>
            <w:tcW w:w="100" w:type="dxa"/>
            <w:vAlign w:val="bottom"/>
            <w:shd w:val="clear" w:color="auto" w:fill="DEEAEB"/>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Calibri" w:cs="Calibri" w:eastAsia="Calibri" w:hAnsi="Calibri"/>
                <w:sz w:val="16"/>
                <w:szCs w:val="16"/>
                <w:color w:val="auto"/>
              </w:rPr>
              <w:t>Goodwill</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3,389.5</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3,649.5</w:t>
            </w:r>
          </w:p>
        </w:tc>
        <w:tc>
          <w:tcPr>
            <w:tcW w:w="100" w:type="dxa"/>
            <w:vAlign w:val="bottom"/>
            <w:shd w:val="clear" w:color="auto" w:fill="DEEAEB"/>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Calibri" w:cs="Calibri" w:eastAsia="Calibri" w:hAnsi="Calibri"/>
                <w:sz w:val="16"/>
                <w:szCs w:val="16"/>
                <w:color w:val="auto"/>
              </w:rPr>
              <w:t>Other intangibles, net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697.7</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847.8</w:t>
            </w:r>
          </w:p>
        </w:tc>
        <w:tc>
          <w:tcPr>
            <w:tcW w:w="100" w:type="dxa"/>
            <w:vAlign w:val="bottom"/>
            <w:shd w:val="clear" w:color="auto" w:fill="DEEAEB"/>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Calibri" w:cs="Calibri" w:eastAsia="Calibri" w:hAnsi="Calibri"/>
                <w:sz w:val="16"/>
                <w:szCs w:val="16"/>
                <w:color w:val="auto"/>
              </w:rPr>
              <w:t>Operatng lease right-of-use assets, net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371.6</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383.5</w:t>
            </w:r>
          </w:p>
        </w:tc>
        <w:tc>
          <w:tcPr>
            <w:tcW w:w="100" w:type="dxa"/>
            <w:vAlign w:val="bottom"/>
            <w:shd w:val="clear" w:color="auto" w:fill="DEEAEB"/>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Calibri" w:cs="Calibri" w:eastAsia="Calibri" w:hAnsi="Calibri"/>
                <w:sz w:val="16"/>
                <w:szCs w:val="16"/>
                <w:color w:val="auto"/>
              </w:rPr>
              <w:t>Noncurrent assets held for sale</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372.5</w:t>
            </w:r>
          </w:p>
        </w:tc>
        <w:tc>
          <w:tcPr>
            <w:tcW w:w="100" w:type="dxa"/>
            <w:vAlign w:val="bottom"/>
            <w:shd w:val="clear" w:color="auto" w:fill="DEEAEB"/>
          </w:tcPr>
          <w:p>
            <w:pPr>
              <w:spacing w:after="0"/>
              <w:rPr>
                <w:sz w:val="19"/>
                <w:szCs w:val="19"/>
                <w:color w:val="auto"/>
              </w:rPr>
            </w:pPr>
          </w:p>
        </w:tc>
      </w:tr>
      <w:tr>
        <w:trPr>
          <w:trHeight w:val="271"/>
        </w:trPr>
        <w:tc>
          <w:tcPr>
            <w:tcW w:w="7120" w:type="dxa"/>
            <w:vAlign w:val="bottom"/>
          </w:tcPr>
          <w:p>
            <w:pPr>
              <w:ind w:left="20"/>
              <w:spacing w:after="0"/>
              <w:rPr>
                <w:sz w:val="20"/>
                <w:szCs w:val="20"/>
                <w:color w:val="auto"/>
              </w:rPr>
            </w:pPr>
            <w:r>
              <w:rPr>
                <w:rFonts w:ascii="Calibri" w:cs="Calibri" w:eastAsia="Calibri" w:hAnsi="Calibri"/>
                <w:sz w:val="16"/>
                <w:szCs w:val="16"/>
                <w:color w:val="auto"/>
              </w:rPr>
              <w:t>Other noncurrent assets</w:t>
            </w:r>
          </w:p>
        </w:tc>
        <w:tc>
          <w:tcPr>
            <w:tcW w:w="320" w:type="dxa"/>
            <w:vAlign w:val="bottom"/>
            <w:tcBorders>
              <w:bottom w:val="single" w:sz="8" w:color="B6D2E2"/>
            </w:tcBorders>
            <w:shd w:val="clear" w:color="auto" w:fill="B6D2E2"/>
          </w:tcPr>
          <w:p>
            <w:pPr>
              <w:spacing w:after="0"/>
              <w:rPr>
                <w:sz w:val="23"/>
                <w:szCs w:val="23"/>
                <w:color w:val="auto"/>
              </w:rPr>
            </w:pPr>
          </w:p>
        </w:tc>
        <w:tc>
          <w:tcPr>
            <w:tcW w:w="15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561.3</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Borders>
              <w:bottom w:val="single" w:sz="8" w:color="DEEAEB"/>
            </w:tcBorders>
            <w:shd w:val="clear" w:color="auto" w:fill="DEEAEB"/>
          </w:tcPr>
          <w:p>
            <w:pPr>
              <w:spacing w:after="0"/>
              <w:rPr>
                <w:sz w:val="23"/>
                <w:szCs w:val="23"/>
                <w:color w:val="auto"/>
              </w:rPr>
            </w:pPr>
          </w:p>
        </w:tc>
        <w:tc>
          <w:tcPr>
            <w:tcW w:w="15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546.7</w:t>
            </w:r>
          </w:p>
        </w:tc>
        <w:tc>
          <w:tcPr>
            <w:tcW w:w="100" w:type="dxa"/>
            <w:vAlign w:val="bottom"/>
            <w:tcBorders>
              <w:bottom w:val="single" w:sz="8" w:color="DEEAEB"/>
            </w:tcBorders>
            <w:shd w:val="clear" w:color="auto" w:fill="DEEAEB"/>
          </w:tcPr>
          <w:p>
            <w:pPr>
              <w:spacing w:after="0"/>
              <w:rPr>
                <w:sz w:val="23"/>
                <w:szCs w:val="23"/>
                <w:color w:val="auto"/>
              </w:rPr>
            </w:pPr>
          </w:p>
        </w:tc>
      </w:tr>
      <w:tr>
        <w:trPr>
          <w:trHeight w:val="263"/>
        </w:trPr>
        <w:tc>
          <w:tcPr>
            <w:tcW w:w="712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Assets</w:t>
            </w:r>
          </w:p>
        </w:tc>
        <w:tc>
          <w:tcPr>
            <w:tcW w:w="32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56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15,124.9</w:t>
            </w:r>
          </w:p>
        </w:tc>
        <w:tc>
          <w:tcPr>
            <w:tcW w:w="120" w:type="dxa"/>
            <w:vAlign w:val="bottom"/>
            <w:tcBorders>
              <w:top w:val="single" w:sz="8" w:color="auto"/>
              <w:bottom w:val="single" w:sz="8" w:color="B6D2E2"/>
            </w:tcBorders>
            <w:shd w:val="clear" w:color="auto" w:fill="B6D2E2"/>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5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14,993.6</w:t>
            </w:r>
          </w:p>
        </w:tc>
        <w:tc>
          <w:tcPr>
            <w:tcW w:w="100" w:type="dxa"/>
            <w:vAlign w:val="bottom"/>
            <w:tcBorders>
              <w:top w:val="single" w:sz="8" w:color="auto"/>
              <w:bottom w:val="single" w:sz="8" w:color="DEEAEB"/>
            </w:tcBorders>
            <w:shd w:val="clear" w:color="auto" w:fill="DEEAEB"/>
          </w:tcPr>
          <w:p>
            <w:pPr>
              <w:spacing w:after="0"/>
              <w:rPr>
                <w:sz w:val="22"/>
                <w:szCs w:val="22"/>
                <w:color w:val="auto"/>
              </w:rPr>
            </w:pPr>
          </w:p>
        </w:tc>
      </w:tr>
      <w:tr>
        <w:trPr>
          <w:trHeight w:val="440"/>
        </w:trPr>
        <w:tc>
          <w:tcPr>
            <w:tcW w:w="7120" w:type="dxa"/>
            <w:vAlign w:val="bottom"/>
            <w:tcBorders>
              <w:top w:val="single" w:sz="8" w:color="auto"/>
            </w:tcBorders>
          </w:tcPr>
          <w:p>
            <w:pPr>
              <w:ind w:left="20"/>
              <w:spacing w:after="0"/>
              <w:rPr>
                <w:sz w:val="20"/>
                <w:szCs w:val="20"/>
                <w:color w:val="auto"/>
              </w:rPr>
            </w:pPr>
            <w:r>
              <w:rPr>
                <w:rFonts w:ascii="Calibri" w:cs="Calibri" w:eastAsia="Calibri" w:hAnsi="Calibri"/>
                <w:sz w:val="16"/>
                <w:szCs w:val="16"/>
                <w:b w:val="1"/>
                <w:bCs w:val="1"/>
                <w:color w:val="auto"/>
              </w:rPr>
              <w:t>Liabilites and Equity</w:t>
            </w:r>
          </w:p>
        </w:tc>
        <w:tc>
          <w:tcPr>
            <w:tcW w:w="320" w:type="dxa"/>
            <w:vAlign w:val="bottom"/>
            <w:tcBorders>
              <w:top w:val="single" w:sz="8" w:color="auto"/>
              <w:bottom w:val="single" w:sz="8" w:color="B6D2E2"/>
            </w:tcBorders>
            <w:shd w:val="clear" w:color="auto" w:fill="B6D2E2"/>
          </w:tcPr>
          <w:p>
            <w:pPr>
              <w:spacing w:after="0"/>
              <w:rPr>
                <w:sz w:val="24"/>
                <w:szCs w:val="24"/>
                <w:color w:val="auto"/>
              </w:rPr>
            </w:pPr>
          </w:p>
        </w:tc>
        <w:tc>
          <w:tcPr>
            <w:tcW w:w="1560" w:type="dxa"/>
            <w:vAlign w:val="bottom"/>
            <w:tcBorders>
              <w:top w:val="single" w:sz="8" w:color="auto"/>
              <w:bottom w:val="single" w:sz="8" w:color="B6D2E2"/>
            </w:tcBorders>
            <w:shd w:val="clear" w:color="auto" w:fill="B6D2E2"/>
          </w:tcPr>
          <w:p>
            <w:pPr>
              <w:spacing w:after="0"/>
              <w:rPr>
                <w:sz w:val="24"/>
                <w:szCs w:val="24"/>
                <w:color w:val="auto"/>
              </w:rPr>
            </w:pPr>
          </w:p>
        </w:tc>
        <w:tc>
          <w:tcPr>
            <w:tcW w:w="120" w:type="dxa"/>
            <w:vAlign w:val="bottom"/>
            <w:tcBorders>
              <w:top w:val="single" w:sz="8" w:color="auto"/>
              <w:bottom w:val="single" w:sz="8" w:color="B6D2E2"/>
            </w:tcBorders>
            <w:shd w:val="clear" w:color="auto" w:fill="B6D2E2"/>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bottom w:val="single" w:sz="8" w:color="DEEAEB"/>
            </w:tcBorders>
            <w:shd w:val="clear" w:color="auto" w:fill="DEEAEB"/>
          </w:tcPr>
          <w:p>
            <w:pPr>
              <w:spacing w:after="0"/>
              <w:rPr>
                <w:sz w:val="24"/>
                <w:szCs w:val="24"/>
                <w:color w:val="auto"/>
              </w:rPr>
            </w:pPr>
          </w:p>
        </w:tc>
        <w:tc>
          <w:tcPr>
            <w:tcW w:w="1560" w:type="dxa"/>
            <w:vAlign w:val="bottom"/>
            <w:tcBorders>
              <w:top w:val="single" w:sz="8" w:color="auto"/>
              <w:bottom w:val="single" w:sz="8" w:color="DEEAEB"/>
            </w:tcBorders>
            <w:shd w:val="clear" w:color="auto" w:fill="DEEAEB"/>
          </w:tcPr>
          <w:p>
            <w:pPr>
              <w:spacing w:after="0"/>
              <w:rPr>
                <w:sz w:val="24"/>
                <w:szCs w:val="24"/>
                <w:color w:val="auto"/>
              </w:rPr>
            </w:pPr>
          </w:p>
        </w:tc>
        <w:tc>
          <w:tcPr>
            <w:tcW w:w="100" w:type="dxa"/>
            <w:vAlign w:val="bottom"/>
            <w:tcBorders>
              <w:top w:val="single" w:sz="8" w:color="auto"/>
              <w:bottom w:val="single" w:sz="8" w:color="DEEAEB"/>
            </w:tcBorders>
            <w:shd w:val="clear" w:color="auto" w:fill="DEEAEB"/>
          </w:tcPr>
          <w:p>
            <w:pPr>
              <w:spacing w:after="0"/>
              <w:rPr>
                <w:sz w:val="24"/>
                <w:szCs w:val="24"/>
                <w:color w:val="auto"/>
              </w:rPr>
            </w:pPr>
          </w:p>
        </w:tc>
      </w:tr>
      <w:tr>
        <w:trPr>
          <w:trHeight w:val="187"/>
        </w:trPr>
        <w:tc>
          <w:tcPr>
            <w:tcW w:w="712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Current Liabilites:</w:t>
            </w:r>
          </w:p>
        </w:tc>
        <w:tc>
          <w:tcPr>
            <w:tcW w:w="320" w:type="dxa"/>
            <w:vAlign w:val="bottom"/>
            <w:tcBorders>
              <w:top w:val="single" w:sz="8" w:color="auto"/>
            </w:tcBorders>
            <w:shd w:val="clear" w:color="auto" w:fill="B6D2E2"/>
          </w:tcPr>
          <w:p>
            <w:pPr>
              <w:spacing w:after="0"/>
              <w:rPr>
                <w:sz w:val="16"/>
                <w:szCs w:val="16"/>
                <w:color w:val="auto"/>
              </w:rPr>
            </w:pPr>
          </w:p>
        </w:tc>
        <w:tc>
          <w:tcPr>
            <w:tcW w:w="1560" w:type="dxa"/>
            <w:vAlign w:val="bottom"/>
            <w:tcBorders>
              <w:top w:val="single" w:sz="8" w:color="auto"/>
            </w:tcBorders>
            <w:shd w:val="clear" w:color="auto" w:fill="B6D2E2"/>
          </w:tcPr>
          <w:p>
            <w:pPr>
              <w:spacing w:after="0"/>
              <w:rPr>
                <w:sz w:val="16"/>
                <w:szCs w:val="16"/>
                <w:color w:val="auto"/>
              </w:rPr>
            </w:pP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shd w:val="clear" w:color="auto" w:fill="DEEAEB"/>
          </w:tcPr>
          <w:p>
            <w:pPr>
              <w:spacing w:after="0"/>
              <w:rPr>
                <w:sz w:val="16"/>
                <w:szCs w:val="16"/>
                <w:color w:val="auto"/>
              </w:rPr>
            </w:pPr>
          </w:p>
        </w:tc>
        <w:tc>
          <w:tcPr>
            <w:tcW w:w="156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r>
      <w:tr>
        <w:trPr>
          <w:trHeight w:val="225"/>
        </w:trPr>
        <w:tc>
          <w:tcPr>
            <w:tcW w:w="7120" w:type="dxa"/>
            <w:vAlign w:val="bottom"/>
          </w:tcPr>
          <w:p>
            <w:pPr>
              <w:ind w:left="20"/>
              <w:spacing w:after="0"/>
              <w:rPr>
                <w:sz w:val="20"/>
                <w:szCs w:val="20"/>
                <w:color w:val="auto"/>
              </w:rPr>
            </w:pPr>
            <w:r>
              <w:rPr>
                <w:rFonts w:ascii="Calibri" w:cs="Calibri" w:eastAsia="Calibri" w:hAnsi="Calibri"/>
                <w:sz w:val="16"/>
                <w:szCs w:val="16"/>
                <w:color w:val="auto"/>
              </w:rPr>
              <w:t>Accounts payable</w:t>
            </w:r>
          </w:p>
        </w:tc>
        <w:tc>
          <w:tcPr>
            <w:tcW w:w="3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343.3</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385.0</w:t>
            </w:r>
          </w:p>
        </w:tc>
        <w:tc>
          <w:tcPr>
            <w:tcW w:w="100" w:type="dxa"/>
            <w:vAlign w:val="bottom"/>
            <w:shd w:val="clear" w:color="auto" w:fill="DEEAEB"/>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Calibri" w:cs="Calibri" w:eastAsia="Calibri" w:hAnsi="Calibri"/>
                <w:sz w:val="16"/>
                <w:szCs w:val="16"/>
                <w:color w:val="auto"/>
              </w:rPr>
              <w:t>Accrued salaries, benefts and payroll taxes</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102.3</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71.6</w:t>
            </w:r>
          </w:p>
        </w:tc>
        <w:tc>
          <w:tcPr>
            <w:tcW w:w="100" w:type="dxa"/>
            <w:vAlign w:val="bottom"/>
            <w:shd w:val="clear" w:color="auto" w:fill="DEEAEB"/>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Calibri" w:cs="Calibri" w:eastAsia="Calibri" w:hAnsi="Calibri"/>
                <w:sz w:val="16"/>
                <w:szCs w:val="16"/>
                <w:color w:val="auto"/>
              </w:rPr>
              <w:t>Accrued other taxes</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53.3</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55.4</w:t>
            </w:r>
          </w:p>
        </w:tc>
        <w:tc>
          <w:tcPr>
            <w:tcW w:w="100" w:type="dxa"/>
            <w:vAlign w:val="bottom"/>
            <w:shd w:val="clear" w:color="auto" w:fill="DEEAEB"/>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Calibri" w:cs="Calibri" w:eastAsia="Calibri" w:hAnsi="Calibri"/>
                <w:sz w:val="16"/>
                <w:szCs w:val="16"/>
                <w:color w:val="auto"/>
              </w:rPr>
              <w:t>Accrued interest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40.5</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42.8</w:t>
            </w:r>
          </w:p>
        </w:tc>
        <w:tc>
          <w:tcPr>
            <w:tcW w:w="100" w:type="dxa"/>
            <w:vAlign w:val="bottom"/>
            <w:shd w:val="clear" w:color="auto" w:fill="DEEAEB"/>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Calibri" w:cs="Calibri" w:eastAsia="Calibri" w:hAnsi="Calibri"/>
                <w:sz w:val="16"/>
                <w:szCs w:val="16"/>
                <w:color w:val="auto"/>
              </w:rPr>
              <w:t>Current maturites of long-term debt, including discharged debt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399.6</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699.1</w:t>
            </w:r>
          </w:p>
        </w:tc>
        <w:tc>
          <w:tcPr>
            <w:tcW w:w="100" w:type="dxa"/>
            <w:vAlign w:val="bottom"/>
            <w:shd w:val="clear" w:color="auto" w:fill="DEEAEB"/>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Calibri" w:cs="Calibri" w:eastAsia="Calibri" w:hAnsi="Calibri"/>
                <w:sz w:val="16"/>
                <w:szCs w:val="16"/>
                <w:color w:val="auto"/>
              </w:rPr>
              <w:t>Current operatng lease liabilites</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53.3</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52.1</w:t>
            </w:r>
          </w:p>
        </w:tc>
        <w:tc>
          <w:tcPr>
            <w:tcW w:w="100" w:type="dxa"/>
            <w:vAlign w:val="bottom"/>
            <w:shd w:val="clear" w:color="auto" w:fill="DEEAEB"/>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Calibri" w:cs="Calibri" w:eastAsia="Calibri" w:hAnsi="Calibri"/>
                <w:sz w:val="16"/>
                <w:szCs w:val="16"/>
                <w:color w:val="auto"/>
              </w:rPr>
              <w:t>Current liabilites held for sale</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18.2</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4.5</w:t>
            </w:r>
          </w:p>
        </w:tc>
        <w:tc>
          <w:tcPr>
            <w:tcW w:w="100" w:type="dxa"/>
            <w:vAlign w:val="bottom"/>
            <w:shd w:val="clear" w:color="auto" w:fill="DEEAEB"/>
          </w:tcPr>
          <w:p>
            <w:pPr>
              <w:spacing w:after="0"/>
              <w:rPr>
                <w:sz w:val="19"/>
                <w:szCs w:val="19"/>
                <w:color w:val="auto"/>
              </w:rPr>
            </w:pPr>
          </w:p>
        </w:tc>
      </w:tr>
      <w:tr>
        <w:trPr>
          <w:trHeight w:val="270"/>
        </w:trPr>
        <w:tc>
          <w:tcPr>
            <w:tcW w:w="7120" w:type="dxa"/>
            <w:vAlign w:val="bottom"/>
          </w:tcPr>
          <w:p>
            <w:pPr>
              <w:ind w:left="20"/>
              <w:spacing w:after="0"/>
              <w:rPr>
                <w:sz w:val="20"/>
                <w:szCs w:val="20"/>
                <w:color w:val="auto"/>
              </w:rPr>
            </w:pPr>
            <w:r>
              <w:rPr>
                <w:rFonts w:ascii="Calibri" w:cs="Calibri" w:eastAsia="Calibri" w:hAnsi="Calibri"/>
                <w:sz w:val="16"/>
                <w:szCs w:val="16"/>
                <w:color w:val="auto"/>
              </w:rPr>
              <w:t>Other current liabilites</w:t>
            </w:r>
          </w:p>
        </w:tc>
        <w:tc>
          <w:tcPr>
            <w:tcW w:w="320" w:type="dxa"/>
            <w:vAlign w:val="bottom"/>
            <w:tcBorders>
              <w:bottom w:val="single" w:sz="8" w:color="B6D2E2"/>
            </w:tcBorders>
            <w:shd w:val="clear" w:color="auto" w:fill="B6D2E2"/>
          </w:tcPr>
          <w:p>
            <w:pPr>
              <w:spacing w:after="0"/>
              <w:rPr>
                <w:sz w:val="23"/>
                <w:szCs w:val="23"/>
                <w:color w:val="auto"/>
              </w:rPr>
            </w:pPr>
          </w:p>
        </w:tc>
        <w:tc>
          <w:tcPr>
            <w:tcW w:w="15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159.7</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Borders>
              <w:bottom w:val="single" w:sz="8" w:color="DEEAEB"/>
            </w:tcBorders>
            <w:shd w:val="clear" w:color="auto" w:fill="DEEAEB"/>
          </w:tcPr>
          <w:p>
            <w:pPr>
              <w:spacing w:after="0"/>
              <w:rPr>
                <w:sz w:val="23"/>
                <w:szCs w:val="23"/>
                <w:color w:val="auto"/>
              </w:rPr>
            </w:pPr>
          </w:p>
        </w:tc>
        <w:tc>
          <w:tcPr>
            <w:tcW w:w="15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135.1</w:t>
            </w:r>
          </w:p>
        </w:tc>
        <w:tc>
          <w:tcPr>
            <w:tcW w:w="100" w:type="dxa"/>
            <w:vAlign w:val="bottom"/>
            <w:tcBorders>
              <w:bottom w:val="single" w:sz="8" w:color="DEEAEB"/>
            </w:tcBorders>
            <w:shd w:val="clear" w:color="auto" w:fill="DEEAEB"/>
          </w:tcPr>
          <w:p>
            <w:pPr>
              <w:spacing w:after="0"/>
              <w:rPr>
                <w:sz w:val="23"/>
                <w:szCs w:val="23"/>
                <w:color w:val="auto"/>
              </w:rPr>
            </w:pPr>
          </w:p>
        </w:tc>
      </w:tr>
      <w:tr>
        <w:trPr>
          <w:trHeight w:val="187"/>
        </w:trPr>
        <w:tc>
          <w:tcPr>
            <w:tcW w:w="712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Current Liabilites</w:t>
            </w:r>
          </w:p>
        </w:tc>
        <w:tc>
          <w:tcPr>
            <w:tcW w:w="320" w:type="dxa"/>
            <w:vAlign w:val="bottom"/>
            <w:tcBorders>
              <w:top w:val="single" w:sz="8" w:color="auto"/>
            </w:tcBorders>
            <w:shd w:val="clear" w:color="auto" w:fill="B6D2E2"/>
          </w:tcPr>
          <w:p>
            <w:pPr>
              <w:spacing w:after="0"/>
              <w:rPr>
                <w:sz w:val="16"/>
                <w:szCs w:val="16"/>
                <w:color w:val="auto"/>
              </w:rPr>
            </w:pPr>
          </w:p>
        </w:tc>
        <w:tc>
          <w:tcPr>
            <w:tcW w:w="156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1,170.2</w:t>
            </w: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shd w:val="clear" w:color="auto" w:fill="DEEAEB"/>
          </w:tcPr>
          <w:p>
            <w:pPr>
              <w:spacing w:after="0"/>
              <w:rPr>
                <w:sz w:val="16"/>
                <w:szCs w:val="16"/>
                <w:color w:val="auto"/>
              </w:rPr>
            </w:pPr>
          </w:p>
        </w:tc>
        <w:tc>
          <w:tcPr>
            <w:tcW w:w="15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1,445.6</w:t>
            </w:r>
          </w:p>
        </w:tc>
        <w:tc>
          <w:tcPr>
            <w:tcW w:w="100" w:type="dxa"/>
            <w:vAlign w:val="bottom"/>
            <w:tcBorders>
              <w:top w:val="single" w:sz="8" w:color="auto"/>
            </w:tcBorders>
            <w:shd w:val="clear" w:color="auto" w:fill="DEEAEB"/>
          </w:tcPr>
          <w:p>
            <w:pPr>
              <w:spacing w:after="0"/>
              <w:rPr>
                <w:sz w:val="16"/>
                <w:szCs w:val="16"/>
                <w:color w:val="auto"/>
              </w:rPr>
            </w:pPr>
          </w:p>
        </w:tc>
      </w:tr>
      <w:tr>
        <w:trPr>
          <w:trHeight w:val="224"/>
        </w:trPr>
        <w:tc>
          <w:tcPr>
            <w:tcW w:w="7120" w:type="dxa"/>
            <w:vAlign w:val="bottom"/>
          </w:tcPr>
          <w:p>
            <w:pPr>
              <w:ind w:left="20"/>
              <w:spacing w:after="0"/>
              <w:rPr>
                <w:sz w:val="20"/>
                <w:szCs w:val="20"/>
                <w:color w:val="auto"/>
              </w:rPr>
            </w:pPr>
            <w:r>
              <w:rPr>
                <w:rFonts w:ascii="Calibri" w:cs="Calibri" w:eastAsia="Calibri" w:hAnsi="Calibri"/>
                <w:sz w:val="16"/>
                <w:szCs w:val="16"/>
                <w:color w:val="auto"/>
              </w:rPr>
              <w:t>Long-term debt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3,945.6</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4,340.9</w:t>
            </w:r>
          </w:p>
        </w:tc>
        <w:tc>
          <w:tcPr>
            <w:tcW w:w="100" w:type="dxa"/>
            <w:vAlign w:val="bottom"/>
            <w:shd w:val="clear" w:color="auto" w:fill="DEEAEB"/>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Calibri" w:cs="Calibri" w:eastAsia="Calibri" w:hAnsi="Calibri"/>
                <w:sz w:val="16"/>
                <w:szCs w:val="16"/>
                <w:color w:val="auto"/>
              </w:rPr>
              <w:t>Deferred income taxes, net</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874.6</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914.3</w:t>
            </w:r>
          </w:p>
        </w:tc>
        <w:tc>
          <w:tcPr>
            <w:tcW w:w="100" w:type="dxa"/>
            <w:vAlign w:val="bottom"/>
            <w:shd w:val="clear" w:color="auto" w:fill="DEEAEB"/>
          </w:tcPr>
          <w:p>
            <w:pPr>
              <w:spacing w:after="0"/>
              <w:rPr>
                <w:sz w:val="19"/>
                <w:szCs w:val="19"/>
                <w:color w:val="auto"/>
              </w:rPr>
            </w:pPr>
          </w:p>
        </w:tc>
      </w:tr>
      <w:tr>
        <w:trPr>
          <w:trHeight w:val="229"/>
        </w:trPr>
        <w:tc>
          <w:tcPr>
            <w:tcW w:w="7120" w:type="dxa"/>
            <w:vAlign w:val="bottom"/>
          </w:tcPr>
          <w:p>
            <w:pPr>
              <w:ind w:left="20"/>
              <w:spacing w:after="0"/>
              <w:rPr>
                <w:sz w:val="20"/>
                <w:szCs w:val="20"/>
                <w:color w:val="auto"/>
              </w:rPr>
            </w:pPr>
            <w:r>
              <w:rPr>
                <w:rFonts w:ascii="Calibri" w:cs="Calibri" w:eastAsia="Calibri" w:hAnsi="Calibri"/>
                <w:sz w:val="16"/>
                <w:szCs w:val="16"/>
                <w:color w:val="auto"/>
              </w:rPr>
              <w:t>Noncurrent operatng lease liabilites</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326.7</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335.9</w:t>
            </w:r>
          </w:p>
        </w:tc>
        <w:tc>
          <w:tcPr>
            <w:tcW w:w="100" w:type="dxa"/>
            <w:vAlign w:val="bottom"/>
            <w:shd w:val="clear" w:color="auto" w:fill="DEEAEB"/>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Calibri" w:cs="Calibri" w:eastAsia="Calibri" w:hAnsi="Calibri"/>
                <w:sz w:val="16"/>
                <w:szCs w:val="16"/>
                <w:color w:val="auto"/>
              </w:rPr>
              <w:t>Noncurrent liabilites held for sale</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21.8</w:t>
            </w:r>
          </w:p>
        </w:tc>
        <w:tc>
          <w:tcPr>
            <w:tcW w:w="100" w:type="dxa"/>
            <w:vAlign w:val="bottom"/>
            <w:shd w:val="clear" w:color="auto" w:fill="DEEAEB"/>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Calibri" w:cs="Calibri" w:eastAsia="Calibri" w:hAnsi="Calibri"/>
                <w:sz w:val="16"/>
                <w:szCs w:val="16"/>
                <w:color w:val="auto"/>
              </w:rPr>
              <w:t>Noncurrent asset retrement obligatons</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383.1</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377.7</w:t>
            </w:r>
          </w:p>
        </w:tc>
        <w:tc>
          <w:tcPr>
            <w:tcW w:w="100" w:type="dxa"/>
            <w:vAlign w:val="bottom"/>
            <w:shd w:val="clear" w:color="auto" w:fill="DEEAEB"/>
          </w:tcPr>
          <w:p>
            <w:pPr>
              <w:spacing w:after="0"/>
              <w:rPr>
                <w:sz w:val="19"/>
                <w:szCs w:val="19"/>
                <w:color w:val="auto"/>
              </w:rPr>
            </w:pPr>
          </w:p>
        </w:tc>
      </w:tr>
      <w:tr>
        <w:trPr>
          <w:trHeight w:val="270"/>
        </w:trPr>
        <w:tc>
          <w:tcPr>
            <w:tcW w:w="7120" w:type="dxa"/>
            <w:vAlign w:val="bottom"/>
          </w:tcPr>
          <w:p>
            <w:pPr>
              <w:ind w:left="20"/>
              <w:spacing w:after="0"/>
              <w:rPr>
                <w:sz w:val="20"/>
                <w:szCs w:val="20"/>
                <w:color w:val="auto"/>
              </w:rPr>
            </w:pPr>
            <w:r>
              <w:rPr>
                <w:rFonts w:ascii="Calibri" w:cs="Calibri" w:eastAsia="Calibri" w:hAnsi="Calibri"/>
                <w:sz w:val="16"/>
                <w:szCs w:val="16"/>
                <w:color w:val="auto"/>
              </w:rPr>
              <w:t>Other noncurrent liabilites</w:t>
            </w:r>
          </w:p>
        </w:tc>
        <w:tc>
          <w:tcPr>
            <w:tcW w:w="320" w:type="dxa"/>
            <w:vAlign w:val="bottom"/>
            <w:tcBorders>
              <w:bottom w:val="single" w:sz="8" w:color="B6D2E2"/>
            </w:tcBorders>
            <w:shd w:val="clear" w:color="auto" w:fill="B6D2E2"/>
          </w:tcPr>
          <w:p>
            <w:pPr>
              <w:spacing w:after="0"/>
              <w:rPr>
                <w:sz w:val="23"/>
                <w:szCs w:val="23"/>
                <w:color w:val="auto"/>
              </w:rPr>
            </w:pPr>
          </w:p>
        </w:tc>
        <w:tc>
          <w:tcPr>
            <w:tcW w:w="15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389.1</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Borders>
              <w:bottom w:val="single" w:sz="8" w:color="DEEAEB"/>
            </w:tcBorders>
            <w:shd w:val="clear" w:color="auto" w:fill="DEEAEB"/>
          </w:tcPr>
          <w:p>
            <w:pPr>
              <w:spacing w:after="0"/>
              <w:rPr>
                <w:sz w:val="23"/>
                <w:szCs w:val="23"/>
                <w:color w:val="auto"/>
              </w:rPr>
            </w:pPr>
          </w:p>
        </w:tc>
        <w:tc>
          <w:tcPr>
            <w:tcW w:w="15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384.6</w:t>
            </w:r>
          </w:p>
        </w:tc>
        <w:tc>
          <w:tcPr>
            <w:tcW w:w="100" w:type="dxa"/>
            <w:vAlign w:val="bottom"/>
            <w:tcBorders>
              <w:bottom w:val="single" w:sz="8" w:color="DEEAEB"/>
            </w:tcBorders>
            <w:shd w:val="clear" w:color="auto" w:fill="DEEAEB"/>
          </w:tcPr>
          <w:p>
            <w:pPr>
              <w:spacing w:after="0"/>
              <w:rPr>
                <w:sz w:val="23"/>
                <w:szCs w:val="23"/>
                <w:color w:val="auto"/>
              </w:rPr>
            </w:pPr>
          </w:p>
        </w:tc>
      </w:tr>
      <w:tr>
        <w:trPr>
          <w:trHeight w:val="223"/>
        </w:trPr>
        <w:tc>
          <w:tcPr>
            <w:tcW w:w="712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Liabilites</w:t>
            </w:r>
          </w:p>
        </w:tc>
        <w:tc>
          <w:tcPr>
            <w:tcW w:w="320" w:type="dxa"/>
            <w:vAlign w:val="bottom"/>
            <w:tcBorders>
              <w:top w:val="single" w:sz="8" w:color="auto"/>
              <w:bottom w:val="single" w:sz="8" w:color="B6D2E2"/>
            </w:tcBorders>
            <w:shd w:val="clear" w:color="auto" w:fill="B6D2E2"/>
          </w:tcPr>
          <w:p>
            <w:pPr>
              <w:spacing w:after="0"/>
              <w:rPr>
                <w:sz w:val="19"/>
                <w:szCs w:val="19"/>
                <w:color w:val="auto"/>
              </w:rPr>
            </w:pPr>
          </w:p>
        </w:tc>
        <w:tc>
          <w:tcPr>
            <w:tcW w:w="156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7,089.3</w:t>
            </w:r>
          </w:p>
        </w:tc>
        <w:tc>
          <w:tcPr>
            <w:tcW w:w="120" w:type="dxa"/>
            <w:vAlign w:val="bottom"/>
            <w:tcBorders>
              <w:top w:val="single" w:sz="8" w:color="auto"/>
              <w:bottom w:val="single" w:sz="8" w:color="B6D2E2"/>
            </w:tcBorders>
            <w:shd w:val="clear" w:color="auto" w:fill="B6D2E2"/>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DEEAEB"/>
            </w:tcBorders>
            <w:shd w:val="clear" w:color="auto" w:fill="DEEAEB"/>
          </w:tcPr>
          <w:p>
            <w:pPr>
              <w:spacing w:after="0"/>
              <w:rPr>
                <w:sz w:val="19"/>
                <w:szCs w:val="19"/>
                <w:color w:val="auto"/>
              </w:rPr>
            </w:pPr>
          </w:p>
        </w:tc>
        <w:tc>
          <w:tcPr>
            <w:tcW w:w="15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7,820.8</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r>
      <w:tr>
        <w:trPr>
          <w:trHeight w:val="187"/>
        </w:trPr>
        <w:tc>
          <w:tcPr>
            <w:tcW w:w="712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Equity:</w:t>
            </w:r>
          </w:p>
        </w:tc>
        <w:tc>
          <w:tcPr>
            <w:tcW w:w="320" w:type="dxa"/>
            <w:vAlign w:val="bottom"/>
            <w:tcBorders>
              <w:top w:val="single" w:sz="8" w:color="auto"/>
            </w:tcBorders>
            <w:shd w:val="clear" w:color="auto" w:fill="B6D2E2"/>
          </w:tcPr>
          <w:p>
            <w:pPr>
              <w:spacing w:after="0"/>
              <w:rPr>
                <w:sz w:val="16"/>
                <w:szCs w:val="16"/>
                <w:color w:val="auto"/>
              </w:rPr>
            </w:pPr>
          </w:p>
        </w:tc>
        <w:tc>
          <w:tcPr>
            <w:tcW w:w="1560" w:type="dxa"/>
            <w:vAlign w:val="bottom"/>
            <w:tcBorders>
              <w:top w:val="single" w:sz="8" w:color="auto"/>
            </w:tcBorders>
            <w:shd w:val="clear" w:color="auto" w:fill="B6D2E2"/>
          </w:tcPr>
          <w:p>
            <w:pPr>
              <w:spacing w:after="0"/>
              <w:rPr>
                <w:sz w:val="16"/>
                <w:szCs w:val="16"/>
                <w:color w:val="auto"/>
              </w:rPr>
            </w:pP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shd w:val="clear" w:color="auto" w:fill="DEEAEB"/>
          </w:tcPr>
          <w:p>
            <w:pPr>
              <w:spacing w:after="0"/>
              <w:rPr>
                <w:sz w:val="16"/>
                <w:szCs w:val="16"/>
                <w:color w:val="auto"/>
              </w:rPr>
            </w:pPr>
          </w:p>
        </w:tc>
        <w:tc>
          <w:tcPr>
            <w:tcW w:w="156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r>
      <w:tr>
        <w:trPr>
          <w:trHeight w:val="224"/>
        </w:trPr>
        <w:tc>
          <w:tcPr>
            <w:tcW w:w="7120" w:type="dxa"/>
            <w:vAlign w:val="bottom"/>
          </w:tcPr>
          <w:p>
            <w:pPr>
              <w:ind w:left="20"/>
              <w:spacing w:after="0"/>
              <w:rPr>
                <w:sz w:val="20"/>
                <w:szCs w:val="20"/>
                <w:color w:val="auto"/>
              </w:rPr>
            </w:pPr>
            <w:r>
              <w:rPr>
                <w:rFonts w:ascii="Calibri" w:cs="Calibri" w:eastAsia="Calibri" w:hAnsi="Calibri"/>
                <w:sz w:val="16"/>
                <w:szCs w:val="16"/>
                <w:color w:val="auto"/>
              </w:rPr>
              <w:t>Common stock ($0.01 par value; 100,000,000 shares authorized; 61,821,421 shares and</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r>
      <w:tr>
        <w:trPr>
          <w:trHeight w:val="203"/>
        </w:trPr>
        <w:tc>
          <w:tcPr>
            <w:tcW w:w="7120" w:type="dxa"/>
            <w:vAlign w:val="bottom"/>
          </w:tcPr>
          <w:p>
            <w:pPr>
              <w:ind w:left="140"/>
              <w:spacing w:after="0"/>
              <w:rPr>
                <w:sz w:val="20"/>
                <w:szCs w:val="20"/>
                <w:color w:val="auto"/>
              </w:rPr>
            </w:pPr>
            <w:r>
              <w:rPr>
                <w:rFonts w:ascii="Calibri" w:cs="Calibri" w:eastAsia="Calibri" w:hAnsi="Calibri"/>
                <w:sz w:val="16"/>
                <w:szCs w:val="16"/>
                <w:color w:val="auto"/>
              </w:rPr>
              <w:t>62,102,353 shares outstanding at December 31, 2023 and 2022, respectvely)</w:t>
            </w:r>
          </w:p>
        </w:tc>
        <w:tc>
          <w:tcPr>
            <w:tcW w:w="320" w:type="dxa"/>
            <w:vAlign w:val="bottom"/>
            <w:shd w:val="clear" w:color="auto" w:fill="B6D2E2"/>
          </w:tcPr>
          <w:p>
            <w:pPr>
              <w:spacing w:after="0"/>
              <w:rPr>
                <w:sz w:val="17"/>
                <w:szCs w:val="17"/>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0.6</w:t>
            </w:r>
          </w:p>
        </w:tc>
        <w:tc>
          <w:tcPr>
            <w:tcW w:w="120" w:type="dxa"/>
            <w:vAlign w:val="bottom"/>
            <w:shd w:val="clear" w:color="auto" w:fill="B6D2E2"/>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shd w:val="clear" w:color="auto" w:fill="DEEAEB"/>
          </w:tcPr>
          <w:p>
            <w:pPr>
              <w:spacing w:after="0"/>
              <w:rPr>
                <w:sz w:val="17"/>
                <w:szCs w:val="17"/>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0.6</w:t>
            </w:r>
          </w:p>
        </w:tc>
        <w:tc>
          <w:tcPr>
            <w:tcW w:w="100" w:type="dxa"/>
            <w:vAlign w:val="bottom"/>
            <w:shd w:val="clear" w:color="auto" w:fill="DEEAEB"/>
          </w:tcPr>
          <w:p>
            <w:pPr>
              <w:spacing w:after="0"/>
              <w:rPr>
                <w:sz w:val="17"/>
                <w:szCs w:val="17"/>
                <w:color w:val="auto"/>
              </w:rPr>
            </w:pPr>
          </w:p>
        </w:tc>
      </w:tr>
      <w:tr>
        <w:trPr>
          <w:trHeight w:val="229"/>
        </w:trPr>
        <w:tc>
          <w:tcPr>
            <w:tcW w:w="7120" w:type="dxa"/>
            <w:vAlign w:val="bottom"/>
          </w:tcPr>
          <w:p>
            <w:pPr>
              <w:ind w:left="20"/>
              <w:spacing w:after="0"/>
              <w:rPr>
                <w:sz w:val="20"/>
                <w:szCs w:val="20"/>
                <w:color w:val="auto"/>
              </w:rPr>
            </w:pPr>
            <w:r>
              <w:rPr>
                <w:rFonts w:ascii="Calibri" w:cs="Calibri" w:eastAsia="Calibri" w:hAnsi="Calibri"/>
                <w:sz w:val="16"/>
                <w:szCs w:val="16"/>
                <w:color w:val="auto"/>
              </w:rPr>
              <w:t>Preferred stock ($0.01 par value; 10,000,000 shares authorized; no shares outstanding)</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Calibri" w:cs="Calibri" w:eastAsia="Calibri" w:hAnsi="Calibri"/>
                <w:sz w:val="16"/>
                <w:szCs w:val="16"/>
                <w:color w:val="auto"/>
              </w:rPr>
              <w:t>Additonal paid-in capital</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3,519.2</w:t>
            </w:r>
          </w:p>
        </w:tc>
        <w:tc>
          <w:tcPr>
            <w:tcW w:w="120" w:type="dxa"/>
            <w:vAlign w:val="bottom"/>
            <w:shd w:val="clear" w:color="auto" w:fill="B6D2E2"/>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3,489.0</w:t>
            </w:r>
          </w:p>
        </w:tc>
        <w:tc>
          <w:tcPr>
            <w:tcW w:w="100" w:type="dxa"/>
            <w:vAlign w:val="bottom"/>
            <w:shd w:val="clear" w:color="auto" w:fill="DEEAEB"/>
          </w:tcPr>
          <w:p>
            <w:pPr>
              <w:spacing w:after="0"/>
              <w:rPr>
                <w:sz w:val="19"/>
                <w:szCs w:val="19"/>
                <w:color w:val="auto"/>
              </w:rPr>
            </w:pPr>
          </w:p>
        </w:tc>
      </w:tr>
      <w:tr>
        <w:trPr>
          <w:trHeight w:val="230"/>
        </w:trPr>
        <w:tc>
          <w:tcPr>
            <w:tcW w:w="7120" w:type="dxa"/>
            <w:vAlign w:val="bottom"/>
          </w:tcPr>
          <w:p>
            <w:pPr>
              <w:ind w:left="20"/>
              <w:spacing w:after="0"/>
              <w:rPr>
                <w:sz w:val="20"/>
                <w:szCs w:val="20"/>
                <w:color w:val="auto"/>
              </w:rPr>
            </w:pPr>
            <w:r>
              <w:rPr>
                <w:rFonts w:ascii="Calibri" w:cs="Calibri" w:eastAsia="Calibri" w:hAnsi="Calibri"/>
                <w:sz w:val="16"/>
                <w:szCs w:val="16"/>
                <w:color w:val="auto"/>
              </w:rPr>
              <w:t>Accumulated other comprehensive loss</w:t>
            </w:r>
          </w:p>
        </w:tc>
        <w:tc>
          <w:tcPr>
            <w:tcW w:w="320" w:type="dxa"/>
            <w:vAlign w:val="bottom"/>
            <w:shd w:val="clear" w:color="auto" w:fill="B6D2E2"/>
          </w:tcPr>
          <w:p>
            <w:pPr>
              <w:spacing w:after="0"/>
              <w:rPr>
                <w:sz w:val="19"/>
                <w:szCs w:val="19"/>
                <w:color w:val="auto"/>
              </w:rPr>
            </w:pPr>
          </w:p>
        </w:tc>
        <w:tc>
          <w:tcPr>
            <w:tcW w:w="156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(49.2</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80" w:type="dxa"/>
            <w:vAlign w:val="bottom"/>
          </w:tcPr>
          <w:p>
            <w:pPr>
              <w:spacing w:after="0"/>
              <w:rPr>
                <w:sz w:val="19"/>
                <w:szCs w:val="19"/>
                <w:color w:val="auto"/>
              </w:rPr>
            </w:pPr>
          </w:p>
        </w:tc>
        <w:tc>
          <w:tcPr>
            <w:tcW w:w="280" w:type="dxa"/>
            <w:vAlign w:val="bottom"/>
            <w:shd w:val="clear" w:color="auto" w:fill="DEEAEB"/>
          </w:tcPr>
          <w:p>
            <w:pPr>
              <w:spacing w:after="0"/>
              <w:rPr>
                <w:sz w:val="19"/>
                <w:szCs w:val="19"/>
                <w:color w:val="auto"/>
              </w:rPr>
            </w:pPr>
          </w:p>
        </w:tc>
        <w:tc>
          <w:tcPr>
            <w:tcW w:w="15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(38.5</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70"/>
        </w:trPr>
        <w:tc>
          <w:tcPr>
            <w:tcW w:w="7120" w:type="dxa"/>
            <w:vAlign w:val="bottom"/>
          </w:tcPr>
          <w:p>
            <w:pPr>
              <w:ind w:left="20"/>
              <w:spacing w:after="0"/>
              <w:rPr>
                <w:sz w:val="20"/>
                <w:szCs w:val="20"/>
                <w:color w:val="auto"/>
              </w:rPr>
            </w:pPr>
            <w:r>
              <w:rPr>
                <w:rFonts w:ascii="Calibri" w:cs="Calibri" w:eastAsia="Calibri" w:hAnsi="Calibri"/>
                <w:sz w:val="16"/>
                <w:szCs w:val="16"/>
                <w:color w:val="auto"/>
              </w:rPr>
              <w:t>Retained earnings</w:t>
            </w:r>
          </w:p>
        </w:tc>
        <w:tc>
          <w:tcPr>
            <w:tcW w:w="320" w:type="dxa"/>
            <w:vAlign w:val="bottom"/>
            <w:tcBorders>
              <w:bottom w:val="single" w:sz="8" w:color="B6D2E2"/>
            </w:tcBorders>
            <w:shd w:val="clear" w:color="auto" w:fill="B6D2E2"/>
          </w:tcPr>
          <w:p>
            <w:pPr>
              <w:spacing w:after="0"/>
              <w:rPr>
                <w:sz w:val="23"/>
                <w:szCs w:val="23"/>
                <w:color w:val="auto"/>
              </w:rPr>
            </w:pPr>
          </w:p>
        </w:tc>
        <w:tc>
          <w:tcPr>
            <w:tcW w:w="15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4,562.6</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Borders>
              <w:bottom w:val="single" w:sz="8" w:color="DEEAEB"/>
            </w:tcBorders>
            <w:shd w:val="clear" w:color="auto" w:fill="DEEAEB"/>
          </w:tcPr>
          <w:p>
            <w:pPr>
              <w:spacing w:after="0"/>
              <w:rPr>
                <w:sz w:val="23"/>
                <w:szCs w:val="23"/>
                <w:color w:val="auto"/>
              </w:rPr>
            </w:pPr>
          </w:p>
        </w:tc>
        <w:tc>
          <w:tcPr>
            <w:tcW w:w="15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3,719.4</w:t>
            </w:r>
          </w:p>
        </w:tc>
        <w:tc>
          <w:tcPr>
            <w:tcW w:w="100" w:type="dxa"/>
            <w:vAlign w:val="bottom"/>
            <w:tcBorders>
              <w:bottom w:val="single" w:sz="8" w:color="DEEAEB"/>
            </w:tcBorders>
            <w:shd w:val="clear" w:color="auto" w:fill="DEEAEB"/>
          </w:tcPr>
          <w:p>
            <w:pPr>
              <w:spacing w:after="0"/>
              <w:rPr>
                <w:sz w:val="23"/>
                <w:szCs w:val="23"/>
                <w:color w:val="auto"/>
              </w:rPr>
            </w:pPr>
          </w:p>
        </w:tc>
      </w:tr>
      <w:tr>
        <w:trPr>
          <w:trHeight w:val="187"/>
        </w:trPr>
        <w:tc>
          <w:tcPr>
            <w:tcW w:w="712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Shareholders’ Equity</w:t>
            </w:r>
          </w:p>
        </w:tc>
        <w:tc>
          <w:tcPr>
            <w:tcW w:w="320" w:type="dxa"/>
            <w:vAlign w:val="bottom"/>
            <w:tcBorders>
              <w:top w:val="single" w:sz="8" w:color="auto"/>
            </w:tcBorders>
            <w:shd w:val="clear" w:color="auto" w:fill="B6D2E2"/>
          </w:tcPr>
          <w:p>
            <w:pPr>
              <w:spacing w:after="0"/>
              <w:rPr>
                <w:sz w:val="16"/>
                <w:szCs w:val="16"/>
                <w:color w:val="auto"/>
              </w:rPr>
            </w:pPr>
          </w:p>
        </w:tc>
        <w:tc>
          <w:tcPr>
            <w:tcW w:w="156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8,033.2</w:t>
            </w:r>
          </w:p>
        </w:tc>
        <w:tc>
          <w:tcPr>
            <w:tcW w:w="120" w:type="dxa"/>
            <w:vAlign w:val="bottom"/>
            <w:tcBorders>
              <w:top w:val="single" w:sz="8" w:color="auto"/>
            </w:tcBorders>
            <w:shd w:val="clear" w:color="auto" w:fill="B6D2E2"/>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shd w:val="clear" w:color="auto" w:fill="DEEAEB"/>
          </w:tcPr>
          <w:p>
            <w:pPr>
              <w:spacing w:after="0"/>
              <w:rPr>
                <w:sz w:val="16"/>
                <w:szCs w:val="16"/>
                <w:color w:val="auto"/>
              </w:rPr>
            </w:pPr>
          </w:p>
        </w:tc>
        <w:tc>
          <w:tcPr>
            <w:tcW w:w="15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7,170.5</w:t>
            </w:r>
          </w:p>
        </w:tc>
        <w:tc>
          <w:tcPr>
            <w:tcW w:w="100" w:type="dxa"/>
            <w:vAlign w:val="bottom"/>
            <w:tcBorders>
              <w:top w:val="single" w:sz="8" w:color="auto"/>
            </w:tcBorders>
            <w:shd w:val="clear" w:color="auto" w:fill="DEEAEB"/>
          </w:tcPr>
          <w:p>
            <w:pPr>
              <w:spacing w:after="0"/>
              <w:rPr>
                <w:sz w:val="16"/>
                <w:szCs w:val="16"/>
                <w:color w:val="auto"/>
              </w:rPr>
            </w:pPr>
          </w:p>
        </w:tc>
      </w:tr>
      <w:tr>
        <w:trPr>
          <w:trHeight w:val="265"/>
        </w:trPr>
        <w:tc>
          <w:tcPr>
            <w:tcW w:w="7120" w:type="dxa"/>
            <w:vAlign w:val="bottom"/>
          </w:tcPr>
          <w:p>
            <w:pPr>
              <w:ind w:left="20"/>
              <w:spacing w:after="0"/>
              <w:rPr>
                <w:sz w:val="20"/>
                <w:szCs w:val="20"/>
                <w:color w:val="auto"/>
              </w:rPr>
            </w:pPr>
            <w:r>
              <w:rPr>
                <w:rFonts w:ascii="Calibri" w:cs="Calibri" w:eastAsia="Calibri" w:hAnsi="Calibri"/>
                <w:sz w:val="16"/>
                <w:szCs w:val="16"/>
                <w:color w:val="auto"/>
              </w:rPr>
              <w:t>Noncontrolling interests</w:t>
            </w:r>
          </w:p>
        </w:tc>
        <w:tc>
          <w:tcPr>
            <w:tcW w:w="320" w:type="dxa"/>
            <w:vAlign w:val="bottom"/>
            <w:tcBorders>
              <w:bottom w:val="single" w:sz="8" w:color="B6D2E2"/>
            </w:tcBorders>
            <w:shd w:val="clear" w:color="auto" w:fill="B6D2E2"/>
          </w:tcPr>
          <w:p>
            <w:pPr>
              <w:spacing w:after="0"/>
              <w:rPr>
                <w:sz w:val="23"/>
                <w:szCs w:val="23"/>
                <w:color w:val="auto"/>
              </w:rPr>
            </w:pPr>
          </w:p>
        </w:tc>
        <w:tc>
          <w:tcPr>
            <w:tcW w:w="156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2.4</w:t>
            </w:r>
          </w:p>
        </w:tc>
        <w:tc>
          <w:tcPr>
            <w:tcW w:w="120" w:type="dxa"/>
            <w:vAlign w:val="bottom"/>
            <w:tcBorders>
              <w:bottom w:val="single" w:sz="8" w:color="B6D2E2"/>
            </w:tcBorders>
            <w:shd w:val="clear" w:color="auto" w:fill="B6D2E2"/>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Borders>
              <w:bottom w:val="single" w:sz="8" w:color="DEEAEB"/>
            </w:tcBorders>
            <w:shd w:val="clear" w:color="auto" w:fill="DEEAEB"/>
          </w:tcPr>
          <w:p>
            <w:pPr>
              <w:spacing w:after="0"/>
              <w:rPr>
                <w:sz w:val="23"/>
                <w:szCs w:val="23"/>
                <w:color w:val="auto"/>
              </w:rPr>
            </w:pPr>
          </w:p>
        </w:tc>
        <w:tc>
          <w:tcPr>
            <w:tcW w:w="15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2.3</w:t>
            </w:r>
          </w:p>
        </w:tc>
        <w:tc>
          <w:tcPr>
            <w:tcW w:w="100" w:type="dxa"/>
            <w:vAlign w:val="bottom"/>
            <w:tcBorders>
              <w:bottom w:val="single" w:sz="8" w:color="DEEAEB"/>
            </w:tcBorders>
            <w:shd w:val="clear" w:color="auto" w:fill="DEEAEB"/>
          </w:tcPr>
          <w:p>
            <w:pPr>
              <w:spacing w:after="0"/>
              <w:rPr>
                <w:sz w:val="23"/>
                <w:szCs w:val="23"/>
                <w:color w:val="auto"/>
              </w:rPr>
            </w:pPr>
          </w:p>
        </w:tc>
      </w:tr>
      <w:tr>
        <w:trPr>
          <w:trHeight w:val="223"/>
        </w:trPr>
        <w:tc>
          <w:tcPr>
            <w:tcW w:w="712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Equity</w:t>
            </w:r>
          </w:p>
        </w:tc>
        <w:tc>
          <w:tcPr>
            <w:tcW w:w="320" w:type="dxa"/>
            <w:vAlign w:val="bottom"/>
            <w:tcBorders>
              <w:top w:val="single" w:sz="8" w:color="auto"/>
              <w:bottom w:val="single" w:sz="8" w:color="B6D2E2"/>
            </w:tcBorders>
            <w:shd w:val="clear" w:color="auto" w:fill="B6D2E2"/>
          </w:tcPr>
          <w:p>
            <w:pPr>
              <w:spacing w:after="0"/>
              <w:rPr>
                <w:sz w:val="19"/>
                <w:szCs w:val="19"/>
                <w:color w:val="auto"/>
              </w:rPr>
            </w:pPr>
          </w:p>
        </w:tc>
        <w:tc>
          <w:tcPr>
            <w:tcW w:w="156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8,035.6</w:t>
            </w:r>
          </w:p>
        </w:tc>
        <w:tc>
          <w:tcPr>
            <w:tcW w:w="120" w:type="dxa"/>
            <w:vAlign w:val="bottom"/>
            <w:tcBorders>
              <w:top w:val="single" w:sz="8" w:color="auto"/>
              <w:bottom w:val="single" w:sz="8" w:color="B6D2E2"/>
            </w:tcBorders>
            <w:shd w:val="clear" w:color="auto" w:fill="B6D2E2"/>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DEEAEB"/>
            </w:tcBorders>
            <w:shd w:val="clear" w:color="auto" w:fill="DEEAEB"/>
          </w:tcPr>
          <w:p>
            <w:pPr>
              <w:spacing w:after="0"/>
              <w:rPr>
                <w:sz w:val="19"/>
                <w:szCs w:val="19"/>
                <w:color w:val="auto"/>
              </w:rPr>
            </w:pPr>
          </w:p>
        </w:tc>
        <w:tc>
          <w:tcPr>
            <w:tcW w:w="15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7,172.8</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r>
      <w:tr>
        <w:trPr>
          <w:trHeight w:val="243"/>
        </w:trPr>
        <w:tc>
          <w:tcPr>
            <w:tcW w:w="712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Total Liabilites and Equity</w:t>
            </w:r>
          </w:p>
        </w:tc>
        <w:tc>
          <w:tcPr>
            <w:tcW w:w="32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56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15,124.9</w:t>
            </w:r>
          </w:p>
        </w:tc>
        <w:tc>
          <w:tcPr>
            <w:tcW w:w="120" w:type="dxa"/>
            <w:vAlign w:val="bottom"/>
            <w:tcBorders>
              <w:top w:val="single" w:sz="8" w:color="auto"/>
              <w:bottom w:val="single" w:sz="8" w:color="B6D2E2"/>
            </w:tcBorders>
            <w:shd w:val="clear" w:color="auto" w:fill="B6D2E2"/>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5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14,993.6</w:t>
            </w:r>
          </w:p>
        </w:tc>
        <w:tc>
          <w:tcPr>
            <w:tcW w:w="100" w:type="dxa"/>
            <w:vAlign w:val="bottom"/>
            <w:tcBorders>
              <w:top w:val="single" w:sz="8" w:color="auto"/>
              <w:bottom w:val="single" w:sz="8" w:color="DEEAEB"/>
            </w:tcBorders>
            <w:shd w:val="clear" w:color="auto" w:fill="DEEAEB"/>
          </w:tcPr>
          <w:p>
            <w:pPr>
              <w:spacing w:after="0"/>
              <w:rPr>
                <w:sz w:val="21"/>
                <w:szCs w:val="21"/>
                <w:color w:val="auto"/>
              </w:rPr>
            </w:pPr>
          </w:p>
        </w:tc>
      </w:tr>
      <w:tr>
        <w:trPr>
          <w:trHeight w:val="20"/>
        </w:trPr>
        <w:tc>
          <w:tcPr>
            <w:tcW w:w="71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229235</wp:posOffset>
            </wp:positionV>
            <wp:extent cx="325755" cy="1968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6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6" w:name="page77"/>
    <w:bookmarkEnd w:id="76"/>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94"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color w:val="auto"/>
        </w:rPr>
        <w:t>Martn Marieta Materials, Inc. and Consolidated Subsidiaries</w:t>
      </w:r>
    </w:p>
    <w:p>
      <w:pPr>
        <w:spacing w:after="0" w:line="1"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b w:val="1"/>
          <w:bCs w:val="1"/>
          <w:color w:val="007DC6"/>
        </w:rPr>
        <w:t>Consolidated Statements of Cash Flows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80" w:type="dxa"/>
            <w:vAlign w:val="bottom"/>
          </w:tcPr>
          <w:p>
            <w:pPr>
              <w:ind w:left="20"/>
              <w:spacing w:after="0"/>
              <w:rPr>
                <w:sz w:val="20"/>
                <w:szCs w:val="20"/>
                <w:color w:val="auto"/>
              </w:rPr>
            </w:pPr>
            <w:r>
              <w:rPr>
                <w:rFonts w:ascii="Calibri" w:cs="Calibri" w:eastAsia="Calibri" w:hAnsi="Calibri"/>
                <w:sz w:val="16"/>
                <w:szCs w:val="16"/>
                <w:i w:val="1"/>
                <w:iCs w:val="1"/>
                <w:color w:val="auto"/>
              </w:rPr>
              <w:t>years ended December 31</w:t>
            </w:r>
          </w:p>
        </w:tc>
        <w:tc>
          <w:tcPr>
            <w:tcW w:w="300" w:type="dxa"/>
            <w:vAlign w:val="bottom"/>
            <w:shd w:val="clear" w:color="auto" w:fill="007DC6"/>
          </w:tcPr>
          <w:p>
            <w:pPr>
              <w:spacing w:after="0"/>
              <w:rPr>
                <w:sz w:val="17"/>
                <w:szCs w:val="17"/>
                <w:color w:val="auto"/>
              </w:rPr>
            </w:pPr>
          </w:p>
        </w:tc>
        <w:tc>
          <w:tcPr>
            <w:tcW w:w="1280" w:type="dxa"/>
            <w:vAlign w:val="bottom"/>
            <w:shd w:val="clear" w:color="auto" w:fill="007DC6"/>
          </w:tcPr>
          <w:p>
            <w:pPr>
              <w:spacing w:after="0"/>
              <w:rPr>
                <w:sz w:val="17"/>
                <w:szCs w:val="17"/>
                <w:color w:val="auto"/>
              </w:rPr>
            </w:pPr>
          </w:p>
        </w:tc>
        <w:tc>
          <w:tcPr>
            <w:tcW w:w="120" w:type="dxa"/>
            <w:vAlign w:val="bottom"/>
            <w:shd w:val="clear" w:color="auto" w:fill="007DC6"/>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r>
      <w:tr>
        <w:trPr>
          <w:trHeight w:val="234"/>
        </w:trPr>
        <w:tc>
          <w:tcPr>
            <w:tcW w:w="5980" w:type="dxa"/>
            <w:vAlign w:val="bottom"/>
          </w:tcPr>
          <w:p>
            <w:pPr>
              <w:ind w:left="20"/>
              <w:spacing w:after="0" w:line="193" w:lineRule="exact"/>
              <w:rPr>
                <w:sz w:val="20"/>
                <w:szCs w:val="20"/>
                <w:color w:val="auto"/>
              </w:rPr>
            </w:pPr>
            <w:r>
              <w:rPr>
                <w:rFonts w:ascii="Calibri" w:cs="Calibri" w:eastAsia="Calibri" w:hAnsi="Calibri"/>
                <w:sz w:val="16"/>
                <w:szCs w:val="16"/>
                <w:color w:val="auto"/>
              </w:rPr>
              <w:t>(in millions)</w:t>
            </w:r>
          </w:p>
        </w:tc>
        <w:tc>
          <w:tcPr>
            <w:tcW w:w="300" w:type="dxa"/>
            <w:vAlign w:val="bottom"/>
            <w:tcBorders>
              <w:bottom w:val="single" w:sz="8" w:color="007DC6"/>
            </w:tcBorders>
            <w:shd w:val="clear" w:color="auto" w:fill="007DC6"/>
          </w:tcPr>
          <w:p>
            <w:pPr>
              <w:spacing w:after="0"/>
              <w:rPr>
                <w:sz w:val="20"/>
                <w:szCs w:val="20"/>
                <w:color w:val="auto"/>
              </w:rPr>
            </w:pPr>
          </w:p>
        </w:tc>
        <w:tc>
          <w:tcPr>
            <w:tcW w:w="1280" w:type="dxa"/>
            <w:vAlign w:val="bottom"/>
            <w:tcBorders>
              <w:bottom w:val="single" w:sz="8" w:color="007DC6"/>
            </w:tcBorders>
            <w:shd w:val="clear" w:color="auto" w:fill="007DC6"/>
          </w:tcPr>
          <w:p>
            <w:pPr>
              <w:jc w:val="right"/>
              <w:ind w:right="459"/>
              <w:spacing w:after="0" w:line="193" w:lineRule="exact"/>
              <w:rPr>
                <w:sz w:val="20"/>
                <w:szCs w:val="20"/>
                <w:color w:val="auto"/>
              </w:rPr>
            </w:pPr>
            <w:r>
              <w:rPr>
                <w:rFonts w:ascii="Calibri" w:cs="Calibri" w:eastAsia="Calibri" w:hAnsi="Calibri"/>
                <w:sz w:val="16"/>
                <w:szCs w:val="16"/>
                <w:b w:val="1"/>
                <w:bCs w:val="1"/>
                <w:color w:val="FFFFFF"/>
              </w:rPr>
              <w:t>2023</w:t>
            </w:r>
          </w:p>
        </w:tc>
        <w:tc>
          <w:tcPr>
            <w:tcW w:w="120" w:type="dxa"/>
            <w:vAlign w:val="bottom"/>
            <w:tcBorders>
              <w:bottom w:val="single" w:sz="8" w:color="007DC6"/>
            </w:tcBorders>
            <w:shd w:val="clear" w:color="auto" w:fill="007DC6"/>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60" w:type="dxa"/>
            <w:vAlign w:val="bottom"/>
            <w:tcBorders>
              <w:bottom w:val="single" w:sz="8" w:color="DEEAEB"/>
            </w:tcBorders>
            <w:shd w:val="clear" w:color="auto" w:fill="DEEAEB"/>
          </w:tcPr>
          <w:p>
            <w:pPr>
              <w:jc w:val="right"/>
              <w:ind w:right="439"/>
              <w:spacing w:after="0" w:line="193" w:lineRule="exact"/>
              <w:rPr>
                <w:sz w:val="20"/>
                <w:szCs w:val="20"/>
                <w:color w:val="auto"/>
              </w:rPr>
            </w:pPr>
            <w:r>
              <w:rPr>
                <w:rFonts w:ascii="Calibri" w:cs="Calibri" w:eastAsia="Calibri" w:hAnsi="Calibri"/>
                <w:sz w:val="16"/>
                <w:szCs w:val="16"/>
                <w:color w:val="auto"/>
              </w:rPr>
              <w:t>2022</w:t>
            </w:r>
          </w:p>
        </w:tc>
        <w:tc>
          <w:tcPr>
            <w:tcW w:w="120" w:type="dxa"/>
            <w:vAlign w:val="bottom"/>
            <w:tcBorders>
              <w:bottom w:val="single" w:sz="8" w:color="DEEAEB"/>
            </w:tcBorders>
            <w:shd w:val="clear" w:color="auto" w:fill="DEEAEB"/>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DEEAEB"/>
            </w:tcBorders>
            <w:shd w:val="clear" w:color="auto" w:fill="DEEAEB"/>
          </w:tcPr>
          <w:p>
            <w:pPr>
              <w:spacing w:after="0"/>
              <w:rPr>
                <w:sz w:val="20"/>
                <w:szCs w:val="20"/>
                <w:color w:val="auto"/>
              </w:rPr>
            </w:pPr>
          </w:p>
        </w:tc>
        <w:tc>
          <w:tcPr>
            <w:tcW w:w="1280" w:type="dxa"/>
            <w:vAlign w:val="bottom"/>
            <w:tcBorders>
              <w:bottom w:val="single" w:sz="8" w:color="DEEAEB"/>
            </w:tcBorders>
            <w:shd w:val="clear" w:color="auto" w:fill="DEEAEB"/>
          </w:tcPr>
          <w:p>
            <w:pPr>
              <w:jc w:val="right"/>
              <w:ind w:right="459"/>
              <w:spacing w:after="0" w:line="193" w:lineRule="exact"/>
              <w:rPr>
                <w:sz w:val="20"/>
                <w:szCs w:val="20"/>
                <w:color w:val="auto"/>
              </w:rPr>
            </w:pPr>
            <w:r>
              <w:rPr>
                <w:rFonts w:ascii="Calibri" w:cs="Calibri" w:eastAsia="Calibri" w:hAnsi="Calibri"/>
                <w:sz w:val="16"/>
                <w:szCs w:val="16"/>
                <w:color w:val="auto"/>
              </w:rPr>
              <w:t>2021</w:t>
            </w:r>
          </w:p>
        </w:tc>
        <w:tc>
          <w:tcPr>
            <w:tcW w:w="100" w:type="dxa"/>
            <w:vAlign w:val="bottom"/>
            <w:tcBorders>
              <w:bottom w:val="single" w:sz="8" w:color="DEEAEB"/>
            </w:tcBorders>
            <w:shd w:val="clear" w:color="auto" w:fill="DEEAEB"/>
          </w:tcPr>
          <w:p>
            <w:pPr>
              <w:spacing w:after="0"/>
              <w:rPr>
                <w:sz w:val="20"/>
                <w:szCs w:val="20"/>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Cash Flows from Operatng Actvites:</w:t>
            </w:r>
          </w:p>
        </w:tc>
        <w:tc>
          <w:tcPr>
            <w:tcW w:w="30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spacing w:after="0"/>
              <w:rPr>
                <w:sz w:val="16"/>
                <w:szCs w:val="16"/>
                <w:color w:val="auto"/>
              </w:rPr>
            </w:pPr>
          </w:p>
        </w:tc>
        <w:tc>
          <w:tcPr>
            <w:tcW w:w="120" w:type="dxa"/>
            <w:vAlign w:val="bottom"/>
            <w:tcBorders>
              <w:top w:val="single" w:sz="8" w:color="auto"/>
            </w:tcBorders>
            <w:shd w:val="clear" w:color="auto" w:fill="B6D2E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spacing w:after="0"/>
              <w:rPr>
                <w:sz w:val="16"/>
                <w:szCs w:val="16"/>
                <w:color w:val="auto"/>
              </w:rPr>
            </w:pPr>
          </w:p>
        </w:tc>
        <w:tc>
          <w:tcPr>
            <w:tcW w:w="120" w:type="dxa"/>
            <w:vAlign w:val="bottom"/>
            <w:tcBorders>
              <w:top w:val="single" w:sz="8" w:color="auto"/>
            </w:tcBorders>
            <w:shd w:val="clear" w:color="auto" w:fill="DEEAEB"/>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r>
      <w:tr>
        <w:trPr>
          <w:trHeight w:val="225"/>
        </w:trPr>
        <w:tc>
          <w:tcPr>
            <w:tcW w:w="5980" w:type="dxa"/>
            <w:vAlign w:val="bottom"/>
          </w:tcPr>
          <w:p>
            <w:pPr>
              <w:ind w:left="20"/>
              <w:spacing w:after="0"/>
              <w:rPr>
                <w:sz w:val="20"/>
                <w:szCs w:val="20"/>
                <w:color w:val="auto"/>
              </w:rPr>
            </w:pPr>
            <w:r>
              <w:rPr>
                <w:rFonts w:ascii="Calibri" w:cs="Calibri" w:eastAsia="Calibri" w:hAnsi="Calibri"/>
                <w:sz w:val="16"/>
                <w:szCs w:val="16"/>
                <w:color w:val="auto"/>
              </w:rPr>
              <w:t>Consolidated net earnings</w:t>
            </w:r>
          </w:p>
        </w:tc>
        <w:tc>
          <w:tcPr>
            <w:tcW w:w="30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1,169.4</w:t>
            </w: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866.8</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702.8</w:t>
            </w:r>
          </w:p>
        </w:tc>
        <w:tc>
          <w:tcPr>
            <w:tcW w:w="100" w:type="dxa"/>
            <w:vAlign w:val="bottom"/>
            <w:shd w:val="clear" w:color="auto" w:fill="DEEAEB"/>
          </w:tcPr>
          <w:p>
            <w:pPr>
              <w:spacing w:after="0"/>
              <w:rPr>
                <w:sz w:val="19"/>
                <w:szCs w:val="19"/>
                <w:color w:val="auto"/>
              </w:rPr>
            </w:pP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Adjustments to reconcile consolidated net earnings to net cash provided</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spacing w:after="0"/>
              <w:rPr>
                <w:sz w:val="19"/>
                <w:szCs w:val="19"/>
                <w:color w:val="auto"/>
              </w:rPr>
            </w:pP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r>
      <w:tr>
        <w:trPr>
          <w:trHeight w:val="203"/>
        </w:trPr>
        <w:tc>
          <w:tcPr>
            <w:tcW w:w="5980" w:type="dxa"/>
            <w:vAlign w:val="bottom"/>
          </w:tcPr>
          <w:p>
            <w:pPr>
              <w:ind w:left="140"/>
              <w:spacing w:after="0"/>
              <w:rPr>
                <w:sz w:val="20"/>
                <w:szCs w:val="20"/>
                <w:color w:val="auto"/>
              </w:rPr>
            </w:pPr>
            <w:r>
              <w:rPr>
                <w:rFonts w:ascii="Calibri" w:cs="Calibri" w:eastAsia="Calibri" w:hAnsi="Calibri"/>
                <w:sz w:val="16"/>
                <w:szCs w:val="16"/>
                <w:color w:val="auto"/>
              </w:rPr>
              <w:t>by operatng actvites:</w:t>
            </w:r>
          </w:p>
        </w:tc>
        <w:tc>
          <w:tcPr>
            <w:tcW w:w="300" w:type="dxa"/>
            <w:vAlign w:val="bottom"/>
            <w:shd w:val="clear" w:color="auto" w:fill="B6D2E2"/>
          </w:tcPr>
          <w:p>
            <w:pPr>
              <w:spacing w:after="0"/>
              <w:rPr>
                <w:sz w:val="17"/>
                <w:szCs w:val="17"/>
                <w:color w:val="auto"/>
              </w:rPr>
            </w:pPr>
          </w:p>
        </w:tc>
        <w:tc>
          <w:tcPr>
            <w:tcW w:w="12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Depreciaton, depleton and amortzaton</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513.2</w:t>
            </w: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506.0</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451.7</w:t>
            </w:r>
          </w:p>
        </w:tc>
        <w:tc>
          <w:tcPr>
            <w:tcW w:w="100" w:type="dxa"/>
            <w:vAlign w:val="bottom"/>
            <w:shd w:val="clear" w:color="auto" w:fill="DEEAEB"/>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Stock-based compensaton expense</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50.0</w:t>
            </w: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42.7</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43.0</w:t>
            </w:r>
          </w:p>
        </w:tc>
        <w:tc>
          <w:tcPr>
            <w:tcW w:w="100" w:type="dxa"/>
            <w:vAlign w:val="bottom"/>
            <w:shd w:val="clear" w:color="auto" w:fill="DEEAEB"/>
          </w:tcPr>
          <w:p>
            <w:pPr>
              <w:spacing w:after="0"/>
              <w:rPr>
                <w:sz w:val="19"/>
                <w:szCs w:val="19"/>
                <w:color w:val="auto"/>
              </w:rPr>
            </w:pP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Net gains on divesttures, sales of assets and extnguishment of debt</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(1.9</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(195.7</w:t>
            </w:r>
          </w:p>
        </w:tc>
        <w:tc>
          <w:tcPr>
            <w:tcW w:w="12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(21.7</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Deferred income taxes, net</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(36.1</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(0.6</w:t>
            </w:r>
          </w:p>
        </w:tc>
        <w:tc>
          <w:tcPr>
            <w:tcW w:w="12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92.2</w:t>
            </w:r>
          </w:p>
        </w:tc>
        <w:tc>
          <w:tcPr>
            <w:tcW w:w="100" w:type="dxa"/>
            <w:vAlign w:val="bottom"/>
            <w:shd w:val="clear" w:color="auto" w:fill="DEEAEB"/>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Other items, net</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(16.5</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(11.7</w:t>
            </w:r>
          </w:p>
        </w:tc>
        <w:tc>
          <w:tcPr>
            <w:tcW w:w="12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(14.9</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Changes in operatng assets and liabilites, net of efects of acquisitons</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spacing w:after="0"/>
              <w:rPr>
                <w:sz w:val="19"/>
                <w:szCs w:val="19"/>
                <w:color w:val="auto"/>
              </w:rPr>
            </w:pP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spacing w:after="0"/>
              <w:rPr>
                <w:sz w:val="19"/>
                <w:szCs w:val="19"/>
                <w:color w:val="auto"/>
              </w:rPr>
            </w:pP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spacing w:after="0"/>
              <w:rPr>
                <w:sz w:val="19"/>
                <w:szCs w:val="19"/>
                <w:color w:val="auto"/>
              </w:rPr>
            </w:pPr>
          </w:p>
        </w:tc>
        <w:tc>
          <w:tcPr>
            <w:tcW w:w="100" w:type="dxa"/>
            <w:vAlign w:val="bottom"/>
            <w:shd w:val="clear" w:color="auto" w:fill="DEEAEB"/>
          </w:tcPr>
          <w:p>
            <w:pPr>
              <w:spacing w:after="0"/>
              <w:rPr>
                <w:sz w:val="19"/>
                <w:szCs w:val="19"/>
                <w:color w:val="auto"/>
              </w:rPr>
            </w:pPr>
          </w:p>
        </w:tc>
      </w:tr>
      <w:tr>
        <w:trPr>
          <w:trHeight w:val="203"/>
        </w:trPr>
        <w:tc>
          <w:tcPr>
            <w:tcW w:w="5980" w:type="dxa"/>
            <w:vAlign w:val="bottom"/>
          </w:tcPr>
          <w:p>
            <w:pPr>
              <w:ind w:left="140"/>
              <w:spacing w:after="0"/>
              <w:rPr>
                <w:sz w:val="20"/>
                <w:szCs w:val="20"/>
                <w:color w:val="auto"/>
              </w:rPr>
            </w:pPr>
            <w:r>
              <w:rPr>
                <w:rFonts w:ascii="Calibri" w:cs="Calibri" w:eastAsia="Calibri" w:hAnsi="Calibri"/>
                <w:sz w:val="16"/>
                <w:szCs w:val="16"/>
                <w:color w:val="auto"/>
              </w:rPr>
              <w:t>and divesttures:</w:t>
            </w:r>
          </w:p>
        </w:tc>
        <w:tc>
          <w:tcPr>
            <w:tcW w:w="300" w:type="dxa"/>
            <w:vAlign w:val="bottom"/>
            <w:shd w:val="clear" w:color="auto" w:fill="B6D2E2"/>
          </w:tcPr>
          <w:p>
            <w:pPr>
              <w:spacing w:after="0"/>
              <w:rPr>
                <w:sz w:val="17"/>
                <w:szCs w:val="17"/>
                <w:color w:val="auto"/>
              </w:rPr>
            </w:pPr>
          </w:p>
        </w:tc>
        <w:tc>
          <w:tcPr>
            <w:tcW w:w="128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6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shd w:val="clear" w:color="auto" w:fill="DEEAEB"/>
          </w:tcPr>
          <w:p>
            <w:pPr>
              <w:spacing w:after="0"/>
              <w:rPr>
                <w:sz w:val="17"/>
                <w:szCs w:val="17"/>
                <w:color w:val="auto"/>
              </w:rPr>
            </w:pPr>
          </w:p>
        </w:tc>
        <w:tc>
          <w:tcPr>
            <w:tcW w:w="128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r>
      <w:tr>
        <w:trPr>
          <w:trHeight w:val="230"/>
        </w:trPr>
        <w:tc>
          <w:tcPr>
            <w:tcW w:w="5980" w:type="dxa"/>
            <w:vAlign w:val="bottom"/>
          </w:tcPr>
          <w:p>
            <w:pPr>
              <w:ind w:left="300"/>
              <w:spacing w:after="0"/>
              <w:rPr>
                <w:sz w:val="20"/>
                <w:szCs w:val="20"/>
                <w:color w:val="auto"/>
              </w:rPr>
            </w:pPr>
            <w:r>
              <w:rPr>
                <w:rFonts w:ascii="Calibri" w:cs="Calibri" w:eastAsia="Calibri" w:hAnsi="Calibri"/>
                <w:sz w:val="16"/>
                <w:szCs w:val="16"/>
                <w:color w:val="auto"/>
              </w:rPr>
              <w:t>Accounts receivable, net</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31.4</w:t>
            </w: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(12.1</w:t>
            </w:r>
          </w:p>
        </w:tc>
        <w:tc>
          <w:tcPr>
            <w:tcW w:w="12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(194.4</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29"/>
        </w:trPr>
        <w:tc>
          <w:tcPr>
            <w:tcW w:w="5980" w:type="dxa"/>
            <w:vAlign w:val="bottom"/>
          </w:tcPr>
          <w:p>
            <w:pPr>
              <w:ind w:left="300"/>
              <w:spacing w:after="0"/>
              <w:rPr>
                <w:sz w:val="20"/>
                <w:szCs w:val="20"/>
                <w:color w:val="auto"/>
              </w:rPr>
            </w:pPr>
            <w:r>
              <w:rPr>
                <w:rFonts w:ascii="Calibri" w:cs="Calibri" w:eastAsia="Calibri" w:hAnsi="Calibri"/>
                <w:sz w:val="16"/>
                <w:szCs w:val="16"/>
                <w:color w:val="auto"/>
              </w:rPr>
              <w:t>Inventories, net</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(188.7</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(131.7</w:t>
            </w:r>
          </w:p>
        </w:tc>
        <w:tc>
          <w:tcPr>
            <w:tcW w:w="12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73.2</w:t>
            </w:r>
          </w:p>
        </w:tc>
        <w:tc>
          <w:tcPr>
            <w:tcW w:w="100" w:type="dxa"/>
            <w:vAlign w:val="bottom"/>
            <w:shd w:val="clear" w:color="auto" w:fill="DEEAEB"/>
          </w:tcPr>
          <w:p>
            <w:pPr>
              <w:spacing w:after="0"/>
              <w:rPr>
                <w:sz w:val="19"/>
                <w:szCs w:val="19"/>
                <w:color w:val="auto"/>
              </w:rPr>
            </w:pPr>
          </w:p>
        </w:tc>
      </w:tr>
      <w:tr>
        <w:trPr>
          <w:trHeight w:val="229"/>
        </w:trPr>
        <w:tc>
          <w:tcPr>
            <w:tcW w:w="5980" w:type="dxa"/>
            <w:vAlign w:val="bottom"/>
          </w:tcPr>
          <w:p>
            <w:pPr>
              <w:ind w:left="300"/>
              <w:spacing w:after="0"/>
              <w:rPr>
                <w:sz w:val="20"/>
                <w:szCs w:val="20"/>
                <w:color w:val="auto"/>
              </w:rPr>
            </w:pPr>
            <w:r>
              <w:rPr>
                <w:rFonts w:ascii="Calibri" w:cs="Calibri" w:eastAsia="Calibri" w:hAnsi="Calibri"/>
                <w:sz w:val="16"/>
                <w:szCs w:val="16"/>
                <w:color w:val="auto"/>
              </w:rPr>
              <w:t>Accounts payable</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(17.0</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(31.2</w:t>
            </w:r>
          </w:p>
        </w:tc>
        <w:tc>
          <w:tcPr>
            <w:tcW w:w="12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109.8</w:t>
            </w:r>
          </w:p>
        </w:tc>
        <w:tc>
          <w:tcPr>
            <w:tcW w:w="100" w:type="dxa"/>
            <w:vAlign w:val="bottom"/>
            <w:shd w:val="clear" w:color="auto" w:fill="DEEAEB"/>
          </w:tcPr>
          <w:p>
            <w:pPr>
              <w:spacing w:after="0"/>
              <w:rPr>
                <w:sz w:val="19"/>
                <w:szCs w:val="19"/>
                <w:color w:val="auto"/>
              </w:rPr>
            </w:pPr>
          </w:p>
        </w:tc>
      </w:tr>
      <w:tr>
        <w:trPr>
          <w:trHeight w:val="271"/>
        </w:trPr>
        <w:tc>
          <w:tcPr>
            <w:tcW w:w="5980" w:type="dxa"/>
            <w:vAlign w:val="bottom"/>
          </w:tcPr>
          <w:p>
            <w:pPr>
              <w:ind w:left="300"/>
              <w:spacing w:after="0"/>
              <w:rPr>
                <w:sz w:val="20"/>
                <w:szCs w:val="20"/>
                <w:color w:val="auto"/>
              </w:rPr>
            </w:pPr>
            <w:r>
              <w:rPr>
                <w:rFonts w:ascii="Calibri" w:cs="Calibri" w:eastAsia="Calibri" w:hAnsi="Calibri"/>
                <w:sz w:val="16"/>
                <w:szCs w:val="16"/>
                <w:color w:val="auto"/>
              </w:rPr>
              <w:t>Other assets and liabilites, net</w:t>
            </w:r>
          </w:p>
        </w:tc>
        <w:tc>
          <w:tcPr>
            <w:tcW w:w="30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24.6</w:t>
            </w:r>
          </w:p>
        </w:tc>
        <w:tc>
          <w:tcPr>
            <w:tcW w:w="120" w:type="dxa"/>
            <w:vAlign w:val="bottom"/>
            <w:tcBorders>
              <w:bottom w:val="single" w:sz="8" w:color="B6D2E2"/>
            </w:tcBorders>
            <w:shd w:val="clear" w:color="auto" w:fill="B6D2E2"/>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(41.3</w:t>
            </w:r>
          </w:p>
        </w:tc>
        <w:tc>
          <w:tcPr>
            <w:tcW w:w="12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(104.0</w:t>
            </w:r>
          </w:p>
        </w:tc>
        <w:tc>
          <w:tcPr>
            <w:tcW w:w="1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23"/>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Net Cash Provided by Operatng Actvites</w:t>
            </w:r>
          </w:p>
        </w:tc>
        <w:tc>
          <w:tcPr>
            <w:tcW w:w="300" w:type="dxa"/>
            <w:vAlign w:val="bottom"/>
            <w:tcBorders>
              <w:top w:val="single" w:sz="8" w:color="auto"/>
              <w:bottom w:val="single" w:sz="8" w:color="B6D2E2"/>
            </w:tcBorders>
            <w:shd w:val="clear" w:color="auto" w:fill="B6D2E2"/>
          </w:tcPr>
          <w:p>
            <w:pPr>
              <w:spacing w:after="0"/>
              <w:rPr>
                <w:sz w:val="19"/>
                <w:szCs w:val="19"/>
                <w:color w:val="auto"/>
              </w:rPr>
            </w:pP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1,528.4</w:t>
            </w:r>
          </w:p>
        </w:tc>
        <w:tc>
          <w:tcPr>
            <w:tcW w:w="120" w:type="dxa"/>
            <w:vAlign w:val="bottom"/>
            <w:tcBorders>
              <w:top w:val="single" w:sz="8" w:color="auto"/>
              <w:bottom w:val="single" w:sz="8" w:color="B6D2E2"/>
            </w:tcBorders>
            <w:shd w:val="clear" w:color="auto" w:fill="B6D2E2"/>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DEEAEB"/>
            </w:tcBorders>
            <w:shd w:val="clear" w:color="auto" w:fill="DEEAEB"/>
          </w:tcPr>
          <w:p>
            <w:pPr>
              <w:spacing w:after="0"/>
              <w:rPr>
                <w:sz w:val="19"/>
                <w:szCs w:val="19"/>
                <w:color w:val="auto"/>
              </w:rPr>
            </w:pPr>
          </w:p>
        </w:tc>
        <w:tc>
          <w:tcPr>
            <w:tcW w:w="1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991.2</w:t>
            </w:r>
          </w:p>
        </w:tc>
        <w:tc>
          <w:tcPr>
            <w:tcW w:w="120" w:type="dxa"/>
            <w:vAlign w:val="bottom"/>
            <w:tcBorders>
              <w:top w:val="single" w:sz="8" w:color="auto"/>
              <w:bottom w:val="single" w:sz="8" w:color="DEEAEB"/>
            </w:tcBorders>
            <w:shd w:val="clear" w:color="auto" w:fill="DEEAEB"/>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DEEAEB"/>
            </w:tcBorders>
            <w:shd w:val="clear" w:color="auto" w:fill="DEEAEB"/>
          </w:tcPr>
          <w:p>
            <w:pPr>
              <w:spacing w:after="0"/>
              <w:rPr>
                <w:sz w:val="19"/>
                <w:szCs w:val="19"/>
                <w:color w:val="auto"/>
              </w:rPr>
            </w:pP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1,137.7</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Cash Flows from Investng Actvites:</w:t>
            </w:r>
          </w:p>
        </w:tc>
        <w:tc>
          <w:tcPr>
            <w:tcW w:w="30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spacing w:after="0"/>
              <w:rPr>
                <w:sz w:val="16"/>
                <w:szCs w:val="16"/>
                <w:color w:val="auto"/>
              </w:rPr>
            </w:pPr>
          </w:p>
        </w:tc>
        <w:tc>
          <w:tcPr>
            <w:tcW w:w="120" w:type="dxa"/>
            <w:vAlign w:val="bottom"/>
            <w:tcBorders>
              <w:top w:val="single" w:sz="8" w:color="auto"/>
            </w:tcBorders>
            <w:shd w:val="clear" w:color="auto" w:fill="B6D2E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spacing w:after="0"/>
              <w:rPr>
                <w:sz w:val="16"/>
                <w:szCs w:val="16"/>
                <w:color w:val="auto"/>
              </w:rPr>
            </w:pPr>
          </w:p>
        </w:tc>
        <w:tc>
          <w:tcPr>
            <w:tcW w:w="120" w:type="dxa"/>
            <w:vAlign w:val="bottom"/>
            <w:tcBorders>
              <w:top w:val="single" w:sz="8" w:color="auto"/>
            </w:tcBorders>
            <w:shd w:val="clear" w:color="auto" w:fill="DEEAEB"/>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r>
      <w:tr>
        <w:trPr>
          <w:trHeight w:val="224"/>
        </w:trPr>
        <w:tc>
          <w:tcPr>
            <w:tcW w:w="5980" w:type="dxa"/>
            <w:vAlign w:val="bottom"/>
          </w:tcPr>
          <w:p>
            <w:pPr>
              <w:ind w:left="20"/>
              <w:spacing w:after="0"/>
              <w:rPr>
                <w:sz w:val="20"/>
                <w:szCs w:val="20"/>
                <w:color w:val="auto"/>
              </w:rPr>
            </w:pPr>
            <w:r>
              <w:rPr>
                <w:rFonts w:ascii="Calibri" w:cs="Calibri" w:eastAsia="Calibri" w:hAnsi="Calibri"/>
                <w:sz w:val="16"/>
                <w:szCs w:val="16"/>
                <w:color w:val="auto"/>
              </w:rPr>
              <w:t>Additons to property, plant and equipment</w:t>
            </w:r>
          </w:p>
        </w:tc>
        <w:tc>
          <w:tcPr>
            <w:tcW w:w="300" w:type="dxa"/>
            <w:vAlign w:val="bottom"/>
            <w:shd w:val="clear" w:color="auto" w:fill="B6D2E2"/>
          </w:tcPr>
          <w:p>
            <w:pPr>
              <w:spacing w:after="0"/>
              <w:rPr>
                <w:sz w:val="19"/>
                <w:szCs w:val="19"/>
                <w:color w:val="auto"/>
              </w:rPr>
            </w:pPr>
          </w:p>
        </w:tc>
        <w:tc>
          <w:tcPr>
            <w:tcW w:w="1400" w:type="dxa"/>
            <w:vAlign w:val="bottom"/>
            <w:gridSpan w:val="2"/>
            <w:shd w:val="clear" w:color="auto" w:fill="B6D2E2"/>
          </w:tcPr>
          <w:p>
            <w:pPr>
              <w:jc w:val="right"/>
              <w:spacing w:after="0"/>
              <w:rPr>
                <w:sz w:val="20"/>
                <w:szCs w:val="20"/>
                <w:color w:val="auto"/>
              </w:rPr>
            </w:pPr>
            <w:r>
              <w:rPr>
                <w:rFonts w:ascii="Calibri" w:cs="Calibri" w:eastAsia="Calibri" w:hAnsi="Calibri"/>
                <w:sz w:val="16"/>
                <w:szCs w:val="16"/>
                <w:b w:val="1"/>
                <w:bCs w:val="1"/>
                <w:color w:val="auto"/>
              </w:rPr>
              <w:t>(650.3 )</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380" w:type="dxa"/>
            <w:vAlign w:val="bottom"/>
            <w:gridSpan w:val="2"/>
            <w:shd w:val="clear" w:color="auto" w:fill="DEEAEB"/>
          </w:tcPr>
          <w:p>
            <w:pPr>
              <w:jc w:val="right"/>
              <w:spacing w:after="0"/>
              <w:rPr>
                <w:sz w:val="20"/>
                <w:szCs w:val="20"/>
                <w:color w:val="auto"/>
              </w:rPr>
            </w:pPr>
            <w:r>
              <w:rPr>
                <w:rFonts w:ascii="Calibri" w:cs="Calibri" w:eastAsia="Calibri" w:hAnsi="Calibri"/>
                <w:sz w:val="16"/>
                <w:szCs w:val="16"/>
                <w:color w:val="auto"/>
              </w:rPr>
              <w:t>(481.8 )</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380" w:type="dxa"/>
            <w:vAlign w:val="bottom"/>
            <w:gridSpan w:val="2"/>
            <w:shd w:val="clear" w:color="auto" w:fill="DEEAEB"/>
          </w:tcPr>
          <w:p>
            <w:pPr>
              <w:jc w:val="right"/>
              <w:spacing w:after="0"/>
              <w:rPr>
                <w:sz w:val="20"/>
                <w:szCs w:val="20"/>
                <w:color w:val="auto"/>
              </w:rPr>
            </w:pPr>
            <w:r>
              <w:rPr>
                <w:rFonts w:ascii="Calibri" w:cs="Calibri" w:eastAsia="Calibri" w:hAnsi="Calibri"/>
                <w:sz w:val="16"/>
                <w:szCs w:val="16"/>
                <w:color w:val="auto"/>
              </w:rPr>
              <w:t>(423.1 )</w:t>
            </w: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Acquisitons, net of cash acquired</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11.0</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(3,109.2</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Proceeds from divesttures and sales of assets</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426.5</w:t>
            </w: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687.1</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42.8</w:t>
            </w:r>
          </w:p>
        </w:tc>
        <w:tc>
          <w:tcPr>
            <w:tcW w:w="100" w:type="dxa"/>
            <w:vAlign w:val="bottom"/>
            <w:shd w:val="clear" w:color="auto" w:fill="DEEAEB"/>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Proceeds from sale of restricted investments to discharge long-term debt</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700.0</w:t>
            </w: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9"/>
                <w:szCs w:val="19"/>
                <w:color w:val="auto"/>
              </w:rPr>
            </w:pP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Purchase of restricted investments to discharge long-term debt</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w:t>
            </w: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(704.6</w:t>
            </w:r>
          </w:p>
        </w:tc>
        <w:tc>
          <w:tcPr>
            <w:tcW w:w="12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Repayment of note receivable from afliate</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6.0</w:t>
            </w: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Investments in life insurance contracts, net</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7.4</w:t>
            </w: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7.5</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14.9</w:t>
            </w:r>
          </w:p>
        </w:tc>
        <w:tc>
          <w:tcPr>
            <w:tcW w:w="100" w:type="dxa"/>
            <w:vAlign w:val="bottom"/>
            <w:shd w:val="clear" w:color="auto" w:fill="DEEAEB"/>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Investments in limited liability company</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(27.0</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9"/>
                <w:szCs w:val="19"/>
                <w:color w:val="auto"/>
              </w:rPr>
            </w:pPr>
          </w:p>
        </w:tc>
      </w:tr>
      <w:tr>
        <w:trPr>
          <w:trHeight w:val="270"/>
        </w:trPr>
        <w:tc>
          <w:tcPr>
            <w:tcW w:w="5980" w:type="dxa"/>
            <w:vAlign w:val="bottom"/>
          </w:tcPr>
          <w:p>
            <w:pPr>
              <w:ind w:left="20"/>
              <w:spacing w:after="0"/>
              <w:rPr>
                <w:sz w:val="20"/>
                <w:szCs w:val="20"/>
                <w:color w:val="auto"/>
              </w:rPr>
            </w:pPr>
            <w:r>
              <w:rPr>
                <w:rFonts w:ascii="Calibri" w:cs="Calibri" w:eastAsia="Calibri" w:hAnsi="Calibri"/>
                <w:sz w:val="16"/>
                <w:szCs w:val="16"/>
                <w:color w:val="auto"/>
              </w:rPr>
              <w:t>Other investng actvites, net</w:t>
            </w:r>
          </w:p>
        </w:tc>
        <w:tc>
          <w:tcPr>
            <w:tcW w:w="30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(3.9</w:t>
            </w:r>
          </w:p>
        </w:tc>
        <w:tc>
          <w:tcPr>
            <w:tcW w:w="12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(3.0</w:t>
            </w:r>
          </w:p>
        </w:tc>
        <w:tc>
          <w:tcPr>
            <w:tcW w:w="12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tcBorders>
              <w:bottom w:val="single" w:sz="8" w:color="DEEAEB"/>
            </w:tcBorders>
            <w:shd w:val="clear" w:color="auto" w:fill="DEEAEB"/>
          </w:tcPr>
          <w:p>
            <w:pPr>
              <w:spacing w:after="0"/>
              <w:rPr>
                <w:sz w:val="23"/>
                <w:szCs w:val="23"/>
                <w:color w:val="auto"/>
              </w:rPr>
            </w:pPr>
          </w:p>
        </w:tc>
      </w:tr>
      <w:tr>
        <w:trPr>
          <w:trHeight w:val="223"/>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Net Cash Provided by (Used for) Investng Actvites</w:t>
            </w:r>
          </w:p>
        </w:tc>
        <w:tc>
          <w:tcPr>
            <w:tcW w:w="300" w:type="dxa"/>
            <w:vAlign w:val="bottom"/>
            <w:tcBorders>
              <w:top w:val="single" w:sz="8" w:color="auto"/>
              <w:bottom w:val="single" w:sz="8" w:color="B6D2E2"/>
            </w:tcBorders>
            <w:shd w:val="clear" w:color="auto" w:fill="B6D2E2"/>
          </w:tcPr>
          <w:p>
            <w:pPr>
              <w:spacing w:after="0"/>
              <w:rPr>
                <w:sz w:val="19"/>
                <w:szCs w:val="19"/>
                <w:color w:val="auto"/>
              </w:rPr>
            </w:pP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458.7</w:t>
            </w:r>
          </w:p>
        </w:tc>
        <w:tc>
          <w:tcPr>
            <w:tcW w:w="120" w:type="dxa"/>
            <w:vAlign w:val="bottom"/>
            <w:tcBorders>
              <w:top w:val="single" w:sz="8" w:color="auto"/>
              <w:bottom w:val="single" w:sz="8" w:color="B6D2E2"/>
            </w:tcBorders>
            <w:shd w:val="clear" w:color="auto" w:fill="B6D2E2"/>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DEEAEB"/>
            </w:tcBorders>
            <w:shd w:val="clear" w:color="auto" w:fill="DEEAEB"/>
          </w:tcPr>
          <w:p>
            <w:pPr>
              <w:spacing w:after="0"/>
              <w:rPr>
                <w:sz w:val="19"/>
                <w:szCs w:val="19"/>
                <w:color w:val="auto"/>
              </w:rPr>
            </w:pPr>
          </w:p>
        </w:tc>
        <w:tc>
          <w:tcPr>
            <w:tcW w:w="1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(483.8</w:t>
            </w:r>
          </w:p>
        </w:tc>
        <w:tc>
          <w:tcPr>
            <w:tcW w:w="12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DEEAEB"/>
            </w:tcBorders>
            <w:shd w:val="clear" w:color="auto" w:fill="DEEAEB"/>
          </w:tcPr>
          <w:p>
            <w:pPr>
              <w:spacing w:after="0"/>
              <w:rPr>
                <w:sz w:val="19"/>
                <w:szCs w:val="19"/>
                <w:color w:val="auto"/>
              </w:rPr>
            </w:pP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(3,474.6</w:t>
            </w:r>
          </w:p>
        </w:tc>
        <w:tc>
          <w:tcPr>
            <w:tcW w:w="10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w w:val="81"/>
              </w:rPr>
              <w:t>)</w:t>
            </w: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Cash Flows from Financing Actvites:</w:t>
            </w:r>
          </w:p>
        </w:tc>
        <w:tc>
          <w:tcPr>
            <w:tcW w:w="30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spacing w:after="0"/>
              <w:rPr>
                <w:sz w:val="16"/>
                <w:szCs w:val="16"/>
                <w:color w:val="auto"/>
              </w:rPr>
            </w:pPr>
          </w:p>
        </w:tc>
        <w:tc>
          <w:tcPr>
            <w:tcW w:w="120" w:type="dxa"/>
            <w:vAlign w:val="bottom"/>
            <w:tcBorders>
              <w:top w:val="single" w:sz="8" w:color="auto"/>
            </w:tcBorders>
            <w:shd w:val="clear" w:color="auto" w:fill="B6D2E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spacing w:after="0"/>
              <w:rPr>
                <w:sz w:val="16"/>
                <w:szCs w:val="16"/>
                <w:color w:val="auto"/>
              </w:rPr>
            </w:pPr>
          </w:p>
        </w:tc>
        <w:tc>
          <w:tcPr>
            <w:tcW w:w="120" w:type="dxa"/>
            <w:vAlign w:val="bottom"/>
            <w:tcBorders>
              <w:top w:val="single" w:sz="8" w:color="auto"/>
            </w:tcBorders>
            <w:shd w:val="clear" w:color="auto" w:fill="DEEAEB"/>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spacing w:after="0"/>
              <w:rPr>
                <w:sz w:val="16"/>
                <w:szCs w:val="16"/>
                <w:color w:val="auto"/>
              </w:rPr>
            </w:pPr>
          </w:p>
        </w:tc>
        <w:tc>
          <w:tcPr>
            <w:tcW w:w="100" w:type="dxa"/>
            <w:vAlign w:val="bottom"/>
            <w:tcBorders>
              <w:top w:val="single" w:sz="8" w:color="auto"/>
            </w:tcBorders>
            <w:shd w:val="clear" w:color="auto" w:fill="DEEAEB"/>
          </w:tcPr>
          <w:p>
            <w:pPr>
              <w:spacing w:after="0"/>
              <w:rPr>
                <w:sz w:val="16"/>
                <w:szCs w:val="16"/>
                <w:color w:val="auto"/>
              </w:rPr>
            </w:pPr>
          </w:p>
        </w:tc>
      </w:tr>
      <w:tr>
        <w:trPr>
          <w:trHeight w:val="225"/>
        </w:trPr>
        <w:tc>
          <w:tcPr>
            <w:tcW w:w="5980" w:type="dxa"/>
            <w:vAlign w:val="bottom"/>
          </w:tcPr>
          <w:p>
            <w:pPr>
              <w:ind w:left="20"/>
              <w:spacing w:after="0"/>
              <w:rPr>
                <w:sz w:val="20"/>
                <w:szCs w:val="20"/>
                <w:color w:val="auto"/>
              </w:rPr>
            </w:pPr>
            <w:r>
              <w:rPr>
                <w:rFonts w:ascii="Calibri" w:cs="Calibri" w:eastAsia="Calibri" w:hAnsi="Calibri"/>
                <w:sz w:val="16"/>
                <w:szCs w:val="16"/>
                <w:color w:val="auto"/>
              </w:rPr>
              <w:t>Borrowings of long-term debt</w:t>
            </w:r>
          </w:p>
        </w:tc>
        <w:tc>
          <w:tcPr>
            <w:tcW w:w="300" w:type="dxa"/>
            <w:vAlign w:val="bottom"/>
            <w:shd w:val="clear" w:color="auto" w:fill="B6D2E2"/>
          </w:tcPr>
          <w:p>
            <w:pPr>
              <w:spacing w:after="0"/>
              <w:rPr>
                <w:sz w:val="19"/>
                <w:szCs w:val="19"/>
                <w:color w:val="auto"/>
              </w:rPr>
            </w:pPr>
          </w:p>
        </w:tc>
        <w:tc>
          <w:tcPr>
            <w:tcW w:w="1400" w:type="dxa"/>
            <w:vAlign w:val="bottom"/>
            <w:gridSpan w:val="2"/>
            <w:shd w:val="clear" w:color="auto" w:fill="B6D2E2"/>
          </w:tcPr>
          <w:p>
            <w:pPr>
              <w:jc w:val="right"/>
              <w:ind w:right="59"/>
              <w:spacing w:after="0"/>
              <w:rPr>
                <w:sz w:val="20"/>
                <w:szCs w:val="20"/>
                <w:color w:val="auto"/>
              </w:rPr>
            </w:pPr>
            <w:r>
              <w:rPr>
                <w:rFonts w:ascii="Calibri" w:cs="Calibri" w:eastAsia="Calibri" w:hAnsi="Calibri"/>
                <w:sz w:val="16"/>
                <w:szCs w:val="16"/>
                <w:b w:val="1"/>
                <w:bCs w:val="1"/>
                <w:color w:val="auto"/>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380" w:type="dxa"/>
            <w:vAlign w:val="bottom"/>
            <w:gridSpan w:val="2"/>
            <w:shd w:val="clear" w:color="auto" w:fill="DEEAEB"/>
          </w:tcPr>
          <w:p>
            <w:pPr>
              <w:jc w:val="right"/>
              <w:ind w:right="39"/>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2,896.7</w:t>
            </w:r>
          </w:p>
        </w:tc>
        <w:tc>
          <w:tcPr>
            <w:tcW w:w="100" w:type="dxa"/>
            <w:vAlign w:val="bottom"/>
            <w:shd w:val="clear" w:color="auto" w:fill="DEEAEB"/>
          </w:tcPr>
          <w:p>
            <w:pPr>
              <w:spacing w:after="0"/>
              <w:rPr>
                <w:sz w:val="19"/>
                <w:szCs w:val="19"/>
                <w:color w:val="auto"/>
              </w:rPr>
            </w:pP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Repayments of long-term debt</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(700.0</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(54.5</w:t>
            </w:r>
          </w:p>
        </w:tc>
        <w:tc>
          <w:tcPr>
            <w:tcW w:w="12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(420.1</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Debt issuance and extnguishment costs</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(0.7</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(0.7</w:t>
            </w:r>
          </w:p>
        </w:tc>
        <w:tc>
          <w:tcPr>
            <w:tcW w:w="12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(7.5</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Payments on fnance lease obligatons</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(17.6</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(15.0</w:t>
            </w:r>
          </w:p>
        </w:tc>
        <w:tc>
          <w:tcPr>
            <w:tcW w:w="12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(11.1</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Dividends paid</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(174.0</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(159.1</w:t>
            </w:r>
          </w:p>
        </w:tc>
        <w:tc>
          <w:tcPr>
            <w:tcW w:w="12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(147.8</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29"/>
        </w:trPr>
        <w:tc>
          <w:tcPr>
            <w:tcW w:w="5980" w:type="dxa"/>
            <w:vAlign w:val="bottom"/>
          </w:tcPr>
          <w:p>
            <w:pPr>
              <w:ind w:left="20"/>
              <w:spacing w:after="0"/>
              <w:rPr>
                <w:sz w:val="20"/>
                <w:szCs w:val="20"/>
                <w:color w:val="auto"/>
              </w:rPr>
            </w:pPr>
            <w:r>
              <w:rPr>
                <w:rFonts w:ascii="Calibri" w:cs="Calibri" w:eastAsia="Calibri" w:hAnsi="Calibri"/>
                <w:sz w:val="16"/>
                <w:szCs w:val="16"/>
                <w:color w:val="auto"/>
              </w:rPr>
              <w:t>Repurchases of common stock</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(150.0</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(150.0</w:t>
            </w:r>
          </w:p>
        </w:tc>
        <w:tc>
          <w:tcPr>
            <w:tcW w:w="12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Contributons by noncontrolling interest to joint venture</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0.1</w:t>
            </w: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00" w:type="dxa"/>
            <w:vAlign w:val="bottom"/>
            <w:shd w:val="clear" w:color="auto" w:fill="DEEAEB"/>
          </w:tcPr>
          <w:p>
            <w:pPr>
              <w:spacing w:after="0"/>
              <w:rPr>
                <w:sz w:val="19"/>
                <w:szCs w:val="19"/>
                <w:color w:val="auto"/>
              </w:rPr>
            </w:pP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Distributons to owners of noncontrolling interest</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(0.5</w:t>
            </w:r>
          </w:p>
        </w:tc>
        <w:tc>
          <w:tcPr>
            <w:tcW w:w="12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(0.6</w:t>
            </w:r>
          </w:p>
        </w:tc>
        <w:tc>
          <w:tcPr>
            <w:tcW w:w="10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30"/>
        </w:trPr>
        <w:tc>
          <w:tcPr>
            <w:tcW w:w="5980" w:type="dxa"/>
            <w:vAlign w:val="bottom"/>
          </w:tcPr>
          <w:p>
            <w:pPr>
              <w:ind w:left="20"/>
              <w:spacing w:after="0"/>
              <w:rPr>
                <w:sz w:val="20"/>
                <w:szCs w:val="20"/>
                <w:color w:val="auto"/>
              </w:rPr>
            </w:pPr>
            <w:r>
              <w:rPr>
                <w:rFonts w:ascii="Calibri" w:cs="Calibri" w:eastAsia="Calibri" w:hAnsi="Calibri"/>
                <w:sz w:val="16"/>
                <w:szCs w:val="16"/>
                <w:color w:val="auto"/>
              </w:rPr>
              <w:t>Proceeds from exercise of stock optons</w:t>
            </w:r>
          </w:p>
        </w:tc>
        <w:tc>
          <w:tcPr>
            <w:tcW w:w="300" w:type="dxa"/>
            <w:vAlign w:val="bottom"/>
            <w:shd w:val="clear" w:color="auto" w:fill="B6D2E2"/>
          </w:tcPr>
          <w:p>
            <w:pPr>
              <w:spacing w:after="0"/>
              <w:rPr>
                <w:sz w:val="19"/>
                <w:szCs w:val="19"/>
                <w:color w:val="auto"/>
              </w:rPr>
            </w:pPr>
          </w:p>
        </w:tc>
        <w:tc>
          <w:tcPr>
            <w:tcW w:w="1280" w:type="dxa"/>
            <w:vAlign w:val="bottom"/>
            <w:shd w:val="clear" w:color="auto" w:fill="B6D2E2"/>
          </w:tcPr>
          <w:p>
            <w:pPr>
              <w:jc w:val="right"/>
              <w:spacing w:after="0"/>
              <w:rPr>
                <w:sz w:val="20"/>
                <w:szCs w:val="20"/>
                <w:color w:val="auto"/>
              </w:rPr>
            </w:pPr>
            <w:r>
              <w:rPr>
                <w:rFonts w:ascii="Calibri" w:cs="Calibri" w:eastAsia="Calibri" w:hAnsi="Calibri"/>
                <w:sz w:val="16"/>
                <w:szCs w:val="16"/>
                <w:b w:val="1"/>
                <w:bCs w:val="1"/>
                <w:color w:val="auto"/>
              </w:rPr>
              <w:t>1.2</w:t>
            </w:r>
          </w:p>
        </w:tc>
        <w:tc>
          <w:tcPr>
            <w:tcW w:w="120" w:type="dxa"/>
            <w:vAlign w:val="bottom"/>
            <w:shd w:val="clear" w:color="auto" w:fill="B6D2E2"/>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6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0.6</w:t>
            </w:r>
          </w:p>
        </w:tc>
        <w:tc>
          <w:tcPr>
            <w:tcW w:w="120" w:type="dxa"/>
            <w:vAlign w:val="bottom"/>
            <w:shd w:val="clear" w:color="auto" w:fill="DEEAEB"/>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shd w:val="clear" w:color="auto" w:fill="DEEAEB"/>
          </w:tcPr>
          <w:p>
            <w:pPr>
              <w:spacing w:after="0"/>
              <w:rPr>
                <w:sz w:val="19"/>
                <w:szCs w:val="19"/>
                <w:color w:val="auto"/>
              </w:rPr>
            </w:pPr>
          </w:p>
        </w:tc>
        <w:tc>
          <w:tcPr>
            <w:tcW w:w="1280" w:type="dxa"/>
            <w:vAlign w:val="bottom"/>
            <w:shd w:val="clear" w:color="auto" w:fill="DEEAEB"/>
          </w:tcPr>
          <w:p>
            <w:pPr>
              <w:jc w:val="right"/>
              <w:spacing w:after="0"/>
              <w:rPr>
                <w:sz w:val="20"/>
                <w:szCs w:val="20"/>
                <w:color w:val="auto"/>
              </w:rPr>
            </w:pPr>
            <w:r>
              <w:rPr>
                <w:rFonts w:ascii="Calibri" w:cs="Calibri" w:eastAsia="Calibri" w:hAnsi="Calibri"/>
                <w:sz w:val="16"/>
                <w:szCs w:val="16"/>
                <w:color w:val="auto"/>
              </w:rPr>
              <w:t>1.3</w:t>
            </w:r>
          </w:p>
        </w:tc>
        <w:tc>
          <w:tcPr>
            <w:tcW w:w="100" w:type="dxa"/>
            <w:vAlign w:val="bottom"/>
            <w:shd w:val="clear" w:color="auto" w:fill="DEEAEB"/>
          </w:tcPr>
          <w:p>
            <w:pPr>
              <w:spacing w:after="0"/>
              <w:rPr>
                <w:sz w:val="19"/>
                <w:szCs w:val="19"/>
                <w:color w:val="auto"/>
              </w:rPr>
            </w:pPr>
          </w:p>
        </w:tc>
      </w:tr>
      <w:tr>
        <w:trPr>
          <w:trHeight w:val="270"/>
        </w:trPr>
        <w:tc>
          <w:tcPr>
            <w:tcW w:w="5980" w:type="dxa"/>
            <w:vAlign w:val="bottom"/>
          </w:tcPr>
          <w:p>
            <w:pPr>
              <w:ind w:left="20"/>
              <w:spacing w:after="0"/>
              <w:rPr>
                <w:sz w:val="20"/>
                <w:szCs w:val="20"/>
                <w:color w:val="auto"/>
              </w:rPr>
            </w:pPr>
            <w:r>
              <w:rPr>
                <w:rFonts w:ascii="Calibri" w:cs="Calibri" w:eastAsia="Calibri" w:hAnsi="Calibri"/>
                <w:sz w:val="16"/>
                <w:szCs w:val="16"/>
                <w:color w:val="auto"/>
              </w:rPr>
              <w:t>Shares withheld for employees’ income tax obligatons</w:t>
            </w:r>
          </w:p>
        </w:tc>
        <w:tc>
          <w:tcPr>
            <w:tcW w:w="30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(22.1</w:t>
            </w:r>
          </w:p>
        </w:tc>
        <w:tc>
          <w:tcPr>
            <w:tcW w:w="12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w w:val="79"/>
              </w:rPr>
              <w:t>)</w:t>
            </w: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(28.8</w:t>
            </w:r>
          </w:p>
        </w:tc>
        <w:tc>
          <w:tcPr>
            <w:tcW w:w="12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w:t>
            </w: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(19.5</w:t>
            </w:r>
          </w:p>
        </w:tc>
        <w:tc>
          <w:tcPr>
            <w:tcW w:w="1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w w:val="81"/>
              </w:rPr>
              <w:t>)</w:t>
            </w:r>
          </w:p>
        </w:tc>
      </w:tr>
      <w:tr>
        <w:trPr>
          <w:trHeight w:val="223"/>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Net Cash (Used for) Provided by Financing Actvites</w:t>
            </w:r>
          </w:p>
        </w:tc>
        <w:tc>
          <w:tcPr>
            <w:tcW w:w="300" w:type="dxa"/>
            <w:vAlign w:val="bottom"/>
            <w:tcBorders>
              <w:top w:val="single" w:sz="8" w:color="auto"/>
              <w:bottom w:val="single" w:sz="8" w:color="B6D2E2"/>
            </w:tcBorders>
            <w:shd w:val="clear" w:color="auto" w:fill="B6D2E2"/>
          </w:tcPr>
          <w:p>
            <w:pPr>
              <w:spacing w:after="0"/>
              <w:rPr>
                <w:sz w:val="19"/>
                <w:szCs w:val="19"/>
                <w:color w:val="auto"/>
              </w:rPr>
            </w:pP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(1,063.6</w:t>
            </w:r>
          </w:p>
        </w:tc>
        <w:tc>
          <w:tcPr>
            <w:tcW w:w="12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w w:val="79"/>
              </w:rPr>
              <w:t>)</w:t>
            </w: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DEEAEB"/>
            </w:tcBorders>
            <w:shd w:val="clear" w:color="auto" w:fill="DEEAEB"/>
          </w:tcPr>
          <w:p>
            <w:pPr>
              <w:spacing w:after="0"/>
              <w:rPr>
                <w:sz w:val="19"/>
                <w:szCs w:val="19"/>
                <w:color w:val="auto"/>
              </w:rPr>
            </w:pPr>
          </w:p>
        </w:tc>
        <w:tc>
          <w:tcPr>
            <w:tcW w:w="1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(407.5</w:t>
            </w:r>
          </w:p>
        </w:tc>
        <w:tc>
          <w:tcPr>
            <w:tcW w:w="12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DEEAEB"/>
            </w:tcBorders>
            <w:shd w:val="clear" w:color="auto" w:fill="DEEAEB"/>
          </w:tcPr>
          <w:p>
            <w:pPr>
              <w:spacing w:after="0"/>
              <w:rPr>
                <w:sz w:val="19"/>
                <w:szCs w:val="19"/>
                <w:color w:val="auto"/>
              </w:rPr>
            </w:pP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2,291.4</w:t>
            </w:r>
          </w:p>
        </w:tc>
        <w:tc>
          <w:tcPr>
            <w:tcW w:w="100" w:type="dxa"/>
            <w:vAlign w:val="bottom"/>
            <w:tcBorders>
              <w:top w:val="single" w:sz="8" w:color="auto"/>
              <w:bottom w:val="single" w:sz="8" w:color="DEEAEB"/>
            </w:tcBorders>
            <w:shd w:val="clear" w:color="auto" w:fill="DEEAEB"/>
          </w:tcPr>
          <w:p>
            <w:pPr>
              <w:spacing w:after="0"/>
              <w:rPr>
                <w:sz w:val="19"/>
                <w:szCs w:val="19"/>
                <w:color w:val="auto"/>
              </w:rPr>
            </w:pPr>
          </w:p>
        </w:tc>
      </w:tr>
      <w:tr>
        <w:trPr>
          <w:trHeight w:val="187"/>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color w:val="auto"/>
              </w:rPr>
              <w:t>Net Increase (Decrease) in Cash, Cash Equivalents and Restricted Cash</w:t>
            </w:r>
          </w:p>
        </w:tc>
        <w:tc>
          <w:tcPr>
            <w:tcW w:w="300" w:type="dxa"/>
            <w:vAlign w:val="bottom"/>
            <w:tcBorders>
              <w:top w:val="single" w:sz="8" w:color="auto"/>
            </w:tcBorders>
            <w:shd w:val="clear" w:color="auto" w:fill="B6D2E2"/>
          </w:tcPr>
          <w:p>
            <w:pPr>
              <w:spacing w:after="0"/>
              <w:rPr>
                <w:sz w:val="16"/>
                <w:szCs w:val="16"/>
                <w:color w:val="auto"/>
              </w:rPr>
            </w:pPr>
          </w:p>
        </w:tc>
        <w:tc>
          <w:tcPr>
            <w:tcW w:w="1280" w:type="dxa"/>
            <w:vAlign w:val="bottom"/>
            <w:tcBorders>
              <w:top w:val="single" w:sz="8" w:color="auto"/>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923.5</w:t>
            </w:r>
          </w:p>
        </w:tc>
        <w:tc>
          <w:tcPr>
            <w:tcW w:w="120" w:type="dxa"/>
            <w:vAlign w:val="bottom"/>
            <w:tcBorders>
              <w:top w:val="single" w:sz="8" w:color="auto"/>
            </w:tcBorders>
            <w:shd w:val="clear" w:color="auto" w:fill="B6D2E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6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99.9</w:t>
            </w:r>
          </w:p>
        </w:tc>
        <w:tc>
          <w:tcPr>
            <w:tcW w:w="120" w:type="dxa"/>
            <w:vAlign w:val="bottom"/>
            <w:tcBorders>
              <w:top w:val="single" w:sz="8" w:color="auto"/>
            </w:tcBorders>
            <w:shd w:val="clear" w:color="auto" w:fill="DEEAEB"/>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shd w:val="clear" w:color="auto" w:fill="DEEAEB"/>
          </w:tcPr>
          <w:p>
            <w:pPr>
              <w:spacing w:after="0"/>
              <w:rPr>
                <w:sz w:val="16"/>
                <w:szCs w:val="16"/>
                <w:color w:val="auto"/>
              </w:rPr>
            </w:pPr>
          </w:p>
        </w:tc>
        <w:tc>
          <w:tcPr>
            <w:tcW w:w="128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(45.5</w:t>
            </w:r>
          </w:p>
        </w:tc>
        <w:tc>
          <w:tcPr>
            <w:tcW w:w="100" w:type="dxa"/>
            <w:vAlign w:val="bottom"/>
            <w:tcBorders>
              <w:top w:val="single" w:sz="8" w:color="auto"/>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w w:val="81"/>
              </w:rPr>
              <w:t>)</w:t>
            </w:r>
          </w:p>
        </w:tc>
      </w:tr>
      <w:tr>
        <w:trPr>
          <w:trHeight w:val="265"/>
        </w:trPr>
        <w:tc>
          <w:tcPr>
            <w:tcW w:w="5980" w:type="dxa"/>
            <w:vAlign w:val="bottom"/>
          </w:tcPr>
          <w:p>
            <w:pPr>
              <w:ind w:left="20"/>
              <w:spacing w:after="0"/>
              <w:rPr>
                <w:sz w:val="20"/>
                <w:szCs w:val="20"/>
                <w:color w:val="auto"/>
              </w:rPr>
            </w:pPr>
            <w:r>
              <w:rPr>
                <w:rFonts w:ascii="Calibri" w:cs="Calibri" w:eastAsia="Calibri" w:hAnsi="Calibri"/>
                <w:sz w:val="16"/>
                <w:szCs w:val="16"/>
                <w:b w:val="1"/>
                <w:bCs w:val="1"/>
                <w:color w:val="auto"/>
              </w:rPr>
              <w:t>Cash, Cash Equivalents and Restricted Cash, beginning of year</w:t>
            </w:r>
          </w:p>
        </w:tc>
        <w:tc>
          <w:tcPr>
            <w:tcW w:w="300" w:type="dxa"/>
            <w:vAlign w:val="bottom"/>
            <w:tcBorders>
              <w:bottom w:val="single" w:sz="8" w:color="B6D2E2"/>
            </w:tcBorders>
            <w:shd w:val="clear" w:color="auto" w:fill="B6D2E2"/>
          </w:tcPr>
          <w:p>
            <w:pPr>
              <w:spacing w:after="0"/>
              <w:rPr>
                <w:sz w:val="23"/>
                <w:szCs w:val="23"/>
                <w:color w:val="auto"/>
              </w:rPr>
            </w:pPr>
          </w:p>
        </w:tc>
        <w:tc>
          <w:tcPr>
            <w:tcW w:w="12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6"/>
                <w:szCs w:val="16"/>
                <w:b w:val="1"/>
                <w:bCs w:val="1"/>
                <w:color w:val="auto"/>
              </w:rPr>
              <w:t>358.8</w:t>
            </w:r>
          </w:p>
        </w:tc>
        <w:tc>
          <w:tcPr>
            <w:tcW w:w="120" w:type="dxa"/>
            <w:vAlign w:val="bottom"/>
            <w:tcBorders>
              <w:bottom w:val="single" w:sz="8" w:color="B6D2E2"/>
            </w:tcBorders>
            <w:shd w:val="clear" w:color="auto" w:fill="B6D2E2"/>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6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258.9</w:t>
            </w:r>
          </w:p>
        </w:tc>
        <w:tc>
          <w:tcPr>
            <w:tcW w:w="120" w:type="dxa"/>
            <w:vAlign w:val="bottom"/>
            <w:tcBorders>
              <w:bottom w:val="single" w:sz="8" w:color="DEEAEB"/>
            </w:tcBorders>
            <w:shd w:val="clear" w:color="auto" w:fill="DEEAEB"/>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Borders>
              <w:bottom w:val="single" w:sz="8" w:color="DEEAEB"/>
            </w:tcBorders>
            <w:shd w:val="clear" w:color="auto" w:fill="DEEAEB"/>
          </w:tcPr>
          <w:p>
            <w:pPr>
              <w:spacing w:after="0"/>
              <w:rPr>
                <w:sz w:val="23"/>
                <w:szCs w:val="23"/>
                <w:color w:val="auto"/>
              </w:rPr>
            </w:pPr>
          </w:p>
        </w:tc>
        <w:tc>
          <w:tcPr>
            <w:tcW w:w="12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6"/>
                <w:szCs w:val="16"/>
                <w:color w:val="auto"/>
              </w:rPr>
              <w:t>304.4</w:t>
            </w:r>
          </w:p>
        </w:tc>
        <w:tc>
          <w:tcPr>
            <w:tcW w:w="100" w:type="dxa"/>
            <w:vAlign w:val="bottom"/>
            <w:tcBorders>
              <w:bottom w:val="single" w:sz="8" w:color="DEEAEB"/>
            </w:tcBorders>
            <w:shd w:val="clear" w:color="auto" w:fill="DEEAEB"/>
          </w:tcPr>
          <w:p>
            <w:pPr>
              <w:spacing w:after="0"/>
              <w:rPr>
                <w:sz w:val="23"/>
                <w:szCs w:val="23"/>
                <w:color w:val="auto"/>
              </w:rPr>
            </w:pPr>
          </w:p>
        </w:tc>
      </w:tr>
      <w:tr>
        <w:trPr>
          <w:trHeight w:val="243"/>
        </w:trPr>
        <w:tc>
          <w:tcPr>
            <w:tcW w:w="5980" w:type="dxa"/>
            <w:vAlign w:val="bottom"/>
            <w:tcBorders>
              <w:top w:val="single" w:sz="8" w:color="auto"/>
            </w:tcBorders>
          </w:tcPr>
          <w:p>
            <w:pPr>
              <w:ind w:left="20"/>
              <w:spacing w:after="0" w:line="187" w:lineRule="exact"/>
              <w:rPr>
                <w:sz w:val="20"/>
                <w:szCs w:val="20"/>
                <w:color w:val="auto"/>
              </w:rPr>
            </w:pPr>
            <w:r>
              <w:rPr>
                <w:rFonts w:ascii="Calibri" w:cs="Calibri" w:eastAsia="Calibri" w:hAnsi="Calibri"/>
                <w:sz w:val="16"/>
                <w:szCs w:val="16"/>
                <w:b w:val="1"/>
                <w:bCs w:val="1"/>
                <w:color w:val="auto"/>
              </w:rPr>
              <w:t>Cash, Cash Equivalents and Restricted Cash, end of year</w:t>
            </w:r>
          </w:p>
        </w:tc>
        <w:tc>
          <w:tcPr>
            <w:tcW w:w="30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280" w:type="dxa"/>
            <w:vAlign w:val="bottom"/>
            <w:tcBorders>
              <w:top w:val="single" w:sz="8" w:color="auto"/>
              <w:bottom w:val="single" w:sz="8" w:color="B6D2E2"/>
            </w:tcBorders>
            <w:shd w:val="clear" w:color="auto" w:fill="B6D2E2"/>
          </w:tcPr>
          <w:p>
            <w:pPr>
              <w:jc w:val="right"/>
              <w:spacing w:after="0" w:line="187" w:lineRule="exact"/>
              <w:rPr>
                <w:sz w:val="20"/>
                <w:szCs w:val="20"/>
                <w:color w:val="auto"/>
              </w:rPr>
            </w:pPr>
            <w:r>
              <w:rPr>
                <w:rFonts w:ascii="Calibri" w:cs="Calibri" w:eastAsia="Calibri" w:hAnsi="Calibri"/>
                <w:sz w:val="16"/>
                <w:szCs w:val="16"/>
                <w:b w:val="1"/>
                <w:bCs w:val="1"/>
                <w:color w:val="auto"/>
              </w:rPr>
              <w:t>1,282.3</w:t>
            </w:r>
          </w:p>
        </w:tc>
        <w:tc>
          <w:tcPr>
            <w:tcW w:w="120" w:type="dxa"/>
            <w:vAlign w:val="bottom"/>
            <w:tcBorders>
              <w:top w:val="single" w:sz="8" w:color="auto"/>
              <w:bottom w:val="single" w:sz="8" w:color="B6D2E2"/>
            </w:tcBorders>
            <w:shd w:val="clear" w:color="auto" w:fill="B6D2E2"/>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358.8</w:t>
            </w:r>
          </w:p>
        </w:tc>
        <w:tc>
          <w:tcPr>
            <w:tcW w:w="120" w:type="dxa"/>
            <w:vAlign w:val="bottom"/>
            <w:tcBorders>
              <w:top w:val="single" w:sz="8" w:color="auto"/>
              <w:bottom w:val="single" w:sz="8" w:color="DEEAEB"/>
            </w:tcBorders>
            <w:shd w:val="clear" w:color="auto" w:fill="DEEAEB"/>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w:t>
            </w:r>
          </w:p>
        </w:tc>
        <w:tc>
          <w:tcPr>
            <w:tcW w:w="1280" w:type="dxa"/>
            <w:vAlign w:val="bottom"/>
            <w:tcBorders>
              <w:top w:val="single" w:sz="8" w:color="auto"/>
              <w:bottom w:val="single" w:sz="8" w:color="DEEAEB"/>
            </w:tcBorders>
            <w:shd w:val="clear" w:color="auto" w:fill="DEEAEB"/>
          </w:tcPr>
          <w:p>
            <w:pPr>
              <w:jc w:val="right"/>
              <w:spacing w:after="0" w:line="187" w:lineRule="exact"/>
              <w:rPr>
                <w:sz w:val="20"/>
                <w:szCs w:val="20"/>
                <w:color w:val="auto"/>
              </w:rPr>
            </w:pPr>
            <w:r>
              <w:rPr>
                <w:rFonts w:ascii="Calibri" w:cs="Calibri" w:eastAsia="Calibri" w:hAnsi="Calibri"/>
                <w:sz w:val="16"/>
                <w:szCs w:val="16"/>
                <w:color w:val="auto"/>
              </w:rPr>
              <w:t>258.9</w:t>
            </w:r>
          </w:p>
        </w:tc>
        <w:tc>
          <w:tcPr>
            <w:tcW w:w="100" w:type="dxa"/>
            <w:vAlign w:val="bottom"/>
            <w:tcBorders>
              <w:top w:val="single" w:sz="8" w:color="auto"/>
              <w:bottom w:val="single" w:sz="8" w:color="DEEAEB"/>
            </w:tcBorders>
            <w:shd w:val="clear" w:color="auto" w:fill="DEEAEB"/>
          </w:tcPr>
          <w:p>
            <w:pPr>
              <w:spacing w:after="0"/>
              <w:rPr>
                <w:sz w:val="21"/>
                <w:szCs w:val="21"/>
                <w:color w:val="auto"/>
              </w:rPr>
            </w:pPr>
          </w:p>
        </w:tc>
      </w:tr>
      <w:tr>
        <w:trPr>
          <w:trHeight w:val="20"/>
        </w:trPr>
        <w:tc>
          <w:tcPr>
            <w:tcW w:w="59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7" w:name="page78"/>
    <w:bookmarkEnd w:id="77"/>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96"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color w:val="auto"/>
        </w:rPr>
        <w:t>Martn Marieta Materials, Inc. and Consolidated Subsidiaries</w:t>
      </w:r>
    </w:p>
    <w:p>
      <w:pPr>
        <w:jc w:val="center"/>
        <w:ind w:right="100"/>
        <w:spacing w:after="0"/>
        <w:rPr>
          <w:sz w:val="20"/>
          <w:szCs w:val="20"/>
          <w:color w:val="auto"/>
        </w:rPr>
      </w:pPr>
      <w:r>
        <w:rPr>
          <w:rFonts w:ascii="Calibri" w:cs="Calibri" w:eastAsia="Calibri" w:hAnsi="Calibri"/>
          <w:sz w:val="22"/>
          <w:szCs w:val="22"/>
          <w:b w:val="1"/>
          <w:bCs w:val="1"/>
          <w:color w:val="007DC6"/>
        </w:rPr>
        <w:t>Consolidated Statements of Total Equity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88"/>
              <w:spacing w:after="0"/>
              <w:rPr>
                <w:sz w:val="20"/>
                <w:szCs w:val="20"/>
                <w:color w:val="auto"/>
              </w:rPr>
            </w:pPr>
            <w:r>
              <w:rPr>
                <w:rFonts w:ascii="Calibri" w:cs="Calibri" w:eastAsia="Calibri" w:hAnsi="Calibri"/>
                <w:sz w:val="14"/>
                <w:szCs w:val="14"/>
                <w:b w:val="1"/>
                <w:bCs w:val="1"/>
                <w:color w:val="auto"/>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08"/>
              <w:spacing w:after="0"/>
              <w:rPr>
                <w:sz w:val="20"/>
                <w:szCs w:val="20"/>
                <w:color w:val="auto"/>
              </w:rPr>
            </w:pPr>
            <w:r>
              <w:rPr>
                <w:rFonts w:ascii="Calibri" w:cs="Calibri" w:eastAsia="Calibri" w:hAnsi="Calibri"/>
                <w:sz w:val="14"/>
                <w:szCs w:val="14"/>
                <w:b w:val="1"/>
                <w:bCs w:val="1"/>
                <w:color w:val="auto"/>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8"/>
              <w:spacing w:after="0"/>
              <w:rPr>
                <w:sz w:val="20"/>
                <w:szCs w:val="20"/>
                <w:color w:val="auto"/>
              </w:rPr>
            </w:pPr>
            <w:r>
              <w:rPr>
                <w:rFonts w:ascii="Calibri" w:cs="Calibri" w:eastAsia="Calibri" w:hAnsi="Calibri"/>
                <w:sz w:val="14"/>
                <w:szCs w:val="14"/>
                <w:b w:val="1"/>
                <w:bCs w:val="1"/>
                <w:color w:val="auto"/>
              </w:rPr>
              <w:t>Total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840" w:type="dxa"/>
            <w:vAlign w:val="bottom"/>
            <w:gridSpan w:val="3"/>
          </w:tcPr>
          <w:p>
            <w:pPr>
              <w:jc w:val="center"/>
              <w:ind w:right="108"/>
              <w:spacing w:after="0"/>
              <w:rPr>
                <w:sz w:val="20"/>
                <w:szCs w:val="20"/>
                <w:color w:val="auto"/>
              </w:rPr>
            </w:pPr>
            <w:r>
              <w:rPr>
                <w:rFonts w:ascii="Calibri" w:cs="Calibri" w:eastAsia="Calibri" w:hAnsi="Calibri"/>
                <w:sz w:val="14"/>
                <w:szCs w:val="14"/>
                <w:b w:val="1"/>
                <w:bCs w:val="1"/>
                <w:color w:val="auto"/>
              </w:rPr>
              <w:t>Shares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168"/>
              <w:spacing w:after="0"/>
              <w:rPr>
                <w:sz w:val="20"/>
                <w:szCs w:val="20"/>
                <w:color w:val="auto"/>
              </w:rPr>
            </w:pPr>
            <w:r>
              <w:rPr>
                <w:rFonts w:ascii="Calibri" w:cs="Calibri" w:eastAsia="Calibri" w:hAnsi="Calibri"/>
                <w:sz w:val="14"/>
                <w:szCs w:val="14"/>
                <w:b w:val="1"/>
                <w:bCs w:val="1"/>
                <w:color w:val="auto"/>
              </w:rPr>
              <w:t>Additonal</w:t>
            </w:r>
          </w:p>
        </w:tc>
        <w:tc>
          <w:tcPr>
            <w:tcW w:w="120" w:type="dxa"/>
            <w:vAlign w:val="bottom"/>
          </w:tcPr>
          <w:p>
            <w:pPr>
              <w:spacing w:after="0"/>
              <w:rPr>
                <w:sz w:val="15"/>
                <w:szCs w:val="15"/>
                <w:color w:val="auto"/>
              </w:rPr>
            </w:pPr>
          </w:p>
        </w:tc>
        <w:tc>
          <w:tcPr>
            <w:tcW w:w="1040" w:type="dxa"/>
            <w:vAlign w:val="bottom"/>
            <w:gridSpan w:val="3"/>
          </w:tcPr>
          <w:p>
            <w:pPr>
              <w:jc w:val="right"/>
              <w:ind w:right="88"/>
              <w:spacing w:after="0"/>
              <w:rPr>
                <w:sz w:val="20"/>
                <w:szCs w:val="20"/>
                <w:color w:val="auto"/>
              </w:rPr>
            </w:pPr>
            <w:r>
              <w:rPr>
                <w:rFonts w:ascii="Calibri" w:cs="Calibri" w:eastAsia="Calibri" w:hAnsi="Calibri"/>
                <w:sz w:val="14"/>
                <w:szCs w:val="14"/>
                <w:b w:val="1"/>
                <w:bCs w:val="1"/>
                <w:color w:val="auto"/>
              </w:rPr>
              <w:t>Comprehensiv</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jc w:val="center"/>
              <w:ind w:right="48"/>
              <w:spacing w:after="0"/>
              <w:rPr>
                <w:sz w:val="20"/>
                <w:szCs w:val="20"/>
                <w:color w:val="auto"/>
              </w:rPr>
            </w:pPr>
            <w:r>
              <w:rPr>
                <w:rFonts w:ascii="Calibri" w:cs="Calibri" w:eastAsia="Calibri" w:hAnsi="Calibri"/>
                <w:sz w:val="14"/>
                <w:szCs w:val="14"/>
                <w:b w:val="1"/>
                <w:bCs w:val="1"/>
                <w:color w:val="auto"/>
              </w:rPr>
              <w:t>Shareholder</w:t>
            </w:r>
          </w:p>
        </w:tc>
        <w:tc>
          <w:tcPr>
            <w:tcW w:w="100" w:type="dxa"/>
            <w:vAlign w:val="bottom"/>
          </w:tcPr>
          <w:p>
            <w:pPr>
              <w:spacing w:after="0"/>
              <w:rPr>
                <w:sz w:val="15"/>
                <w:szCs w:val="15"/>
                <w:color w:val="auto"/>
              </w:rPr>
            </w:pPr>
          </w:p>
        </w:tc>
        <w:tc>
          <w:tcPr>
            <w:tcW w:w="920" w:type="dxa"/>
            <w:vAlign w:val="bottom"/>
            <w:gridSpan w:val="3"/>
          </w:tcPr>
          <w:p>
            <w:pPr>
              <w:ind w:left="40"/>
              <w:spacing w:after="0"/>
              <w:rPr>
                <w:sz w:val="20"/>
                <w:szCs w:val="20"/>
                <w:color w:val="auto"/>
              </w:rPr>
            </w:pPr>
            <w:r>
              <w:rPr>
                <w:rFonts w:ascii="Calibri" w:cs="Calibri" w:eastAsia="Calibri" w:hAnsi="Calibri"/>
                <w:sz w:val="14"/>
                <w:szCs w:val="14"/>
                <w:b w:val="1"/>
                <w:bCs w:val="1"/>
                <w:color w:val="auto"/>
              </w:rPr>
              <w:t>Noncontrolli</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60" w:type="dxa"/>
            <w:vAlign w:val="bottom"/>
          </w:tcPr>
          <w:p>
            <w:pPr>
              <w:spacing w:after="0"/>
              <w:rPr>
                <w:sz w:val="15"/>
                <w:szCs w:val="15"/>
                <w:color w:val="auto"/>
              </w:rPr>
            </w:pPr>
          </w:p>
        </w:tc>
        <w:tc>
          <w:tcPr>
            <w:tcW w:w="840" w:type="dxa"/>
            <w:vAlign w:val="bottom"/>
            <w:gridSpan w:val="3"/>
          </w:tcPr>
          <w:p>
            <w:pPr>
              <w:jc w:val="center"/>
              <w:ind w:right="108"/>
              <w:spacing w:after="0"/>
              <w:rPr>
                <w:sz w:val="20"/>
                <w:szCs w:val="20"/>
                <w:color w:val="auto"/>
              </w:rPr>
            </w:pPr>
            <w:r>
              <w:rPr>
                <w:rFonts w:ascii="Calibri" w:cs="Calibri" w:eastAsia="Calibri" w:hAnsi="Calibri"/>
                <w:sz w:val="14"/>
                <w:szCs w:val="14"/>
                <w:b w:val="1"/>
                <w:bCs w:val="1"/>
                <w:color w:val="auto"/>
              </w:rPr>
              <w:t>Common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Calibri" w:cs="Calibri" w:eastAsia="Calibri" w:hAnsi="Calibri"/>
                <w:sz w:val="14"/>
                <w:szCs w:val="14"/>
                <w:b w:val="1"/>
                <w:bCs w:val="1"/>
                <w:color w:val="auto"/>
              </w:rPr>
              <w:t>Common</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center"/>
              <w:ind w:right="208"/>
              <w:spacing w:after="0"/>
              <w:rPr>
                <w:sz w:val="20"/>
                <w:szCs w:val="20"/>
                <w:color w:val="auto"/>
              </w:rPr>
            </w:pPr>
            <w:r>
              <w:rPr>
                <w:rFonts w:ascii="Calibri" w:cs="Calibri" w:eastAsia="Calibri" w:hAnsi="Calibri"/>
                <w:sz w:val="14"/>
                <w:szCs w:val="14"/>
                <w:b w:val="1"/>
                <w:bCs w:val="1"/>
                <w:color w:val="auto"/>
                <w:w w:val="97"/>
              </w:rPr>
              <w:t>Paid-In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168"/>
              <w:spacing w:after="0"/>
              <w:rPr>
                <w:sz w:val="20"/>
                <w:szCs w:val="20"/>
                <w:color w:val="auto"/>
              </w:rPr>
            </w:pPr>
            <w:r>
              <w:rPr>
                <w:rFonts w:ascii="Calibri" w:cs="Calibri" w:eastAsia="Calibri" w:hAnsi="Calibri"/>
                <w:sz w:val="14"/>
                <w:szCs w:val="14"/>
                <w:b w:val="1"/>
                <w:bCs w:val="1"/>
                <w:color w:val="auto"/>
              </w:rPr>
              <w: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88"/>
              <w:spacing w:after="0"/>
              <w:rPr>
                <w:sz w:val="20"/>
                <w:szCs w:val="20"/>
                <w:color w:val="auto"/>
              </w:rPr>
            </w:pPr>
            <w:r>
              <w:rPr>
                <w:rFonts w:ascii="Calibri" w:cs="Calibri" w:eastAsia="Calibri" w:hAnsi="Calibri"/>
                <w:sz w:val="14"/>
                <w:szCs w:val="14"/>
                <w:b w:val="1"/>
                <w:bCs w:val="1"/>
                <w:color w:val="auto"/>
                <w:w w:val="99"/>
              </w:rPr>
              <w:t>Retained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48"/>
              <w:spacing w:after="0"/>
              <w:rPr>
                <w:sz w:val="20"/>
                <w:szCs w:val="20"/>
                <w:color w:val="auto"/>
              </w:rPr>
            </w:pPr>
            <w:r>
              <w:rPr>
                <w:rFonts w:ascii="Calibri" w:cs="Calibri" w:eastAsia="Calibri" w:hAnsi="Calibri"/>
                <w:sz w:val="14"/>
                <w:szCs w:val="14"/>
                <w:b w:val="1"/>
                <w:bCs w:val="1"/>
                <w:color w:val="auto"/>
              </w:rPr>
              <w: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88"/>
              <w:spacing w:after="0"/>
              <w:rPr>
                <w:sz w:val="20"/>
                <w:szCs w:val="20"/>
                <w:color w:val="auto"/>
              </w:rPr>
            </w:pPr>
            <w:r>
              <w:rPr>
                <w:rFonts w:ascii="Calibri" w:cs="Calibri" w:eastAsia="Calibri" w:hAnsi="Calibri"/>
                <w:sz w:val="14"/>
                <w:szCs w:val="14"/>
                <w:b w:val="1"/>
                <w:bCs w:val="1"/>
                <w:color w:val="auto"/>
              </w:rPr>
              <w:t>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Calibri" w:cs="Calibri" w:eastAsia="Calibri" w:hAnsi="Calibri"/>
                <w:sz w:val="14"/>
                <w:szCs w:val="14"/>
                <w:color w:val="auto"/>
              </w:rPr>
              <w:t>(in millions, except share and per share data)</w:t>
            </w:r>
          </w:p>
        </w:tc>
        <w:tc>
          <w:tcPr>
            <w:tcW w:w="100" w:type="dxa"/>
            <w:vAlign w:val="bottom"/>
          </w:tcPr>
          <w:p>
            <w:pPr>
              <w:spacing w:after="0"/>
              <w:rPr>
                <w:sz w:val="15"/>
                <w:szCs w:val="15"/>
                <w:color w:val="auto"/>
              </w:rPr>
            </w:pPr>
          </w:p>
        </w:tc>
        <w:tc>
          <w:tcPr>
            <w:tcW w:w="740" w:type="dxa"/>
            <w:vAlign w:val="bottom"/>
            <w:gridSpan w:val="2"/>
          </w:tcPr>
          <w:p>
            <w:pPr>
              <w:jc w:val="center"/>
              <w:ind w:right="168"/>
              <w:spacing w:after="0"/>
              <w:rPr>
                <w:sz w:val="20"/>
                <w:szCs w:val="20"/>
                <w:color w:val="auto"/>
              </w:rPr>
            </w:pPr>
            <w:r>
              <w:rPr>
                <w:rFonts w:ascii="Calibri" w:cs="Calibri" w:eastAsia="Calibri" w:hAnsi="Calibri"/>
                <w:sz w:val="14"/>
                <w:szCs w:val="14"/>
                <w:b w:val="1"/>
                <w:bCs w:val="1"/>
                <w:color w:val="auto"/>
              </w:rPr>
              <w:t>Stock</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Stock</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center"/>
              <w:ind w:right="188"/>
              <w:spacing w:after="0"/>
              <w:rPr>
                <w:sz w:val="20"/>
                <w:szCs w:val="20"/>
                <w:color w:val="auto"/>
              </w:rPr>
            </w:pPr>
            <w:r>
              <w:rPr>
                <w:rFonts w:ascii="Calibri" w:cs="Calibri" w:eastAsia="Calibri" w:hAnsi="Calibri"/>
                <w:sz w:val="14"/>
                <w:szCs w:val="14"/>
                <w:b w:val="1"/>
                <w:bCs w:val="1"/>
                <w:color w:val="auto"/>
              </w:rPr>
              <w:t>Capital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188"/>
              <w:spacing w:after="0"/>
              <w:rPr>
                <w:sz w:val="20"/>
                <w:szCs w:val="20"/>
                <w:color w:val="auto"/>
              </w:rPr>
            </w:pPr>
            <w:r>
              <w:rPr>
                <w:rFonts w:ascii="Calibri" w:cs="Calibri" w:eastAsia="Calibri" w:hAnsi="Calibri"/>
                <w:sz w:val="14"/>
                <w:szCs w:val="14"/>
                <w:b w:val="1"/>
                <w:bCs w:val="1"/>
                <w:color w:val="auto"/>
              </w:rPr>
              <w:t>Loss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88"/>
              <w:spacing w:after="0"/>
              <w:rPr>
                <w:sz w:val="20"/>
                <w:szCs w:val="20"/>
                <w:color w:val="auto"/>
              </w:rPr>
            </w:pPr>
            <w:r>
              <w:rPr>
                <w:rFonts w:ascii="Calibri" w:cs="Calibri" w:eastAsia="Calibri" w:hAnsi="Calibri"/>
                <w:sz w:val="14"/>
                <w:szCs w:val="14"/>
                <w:b w:val="1"/>
                <w:bCs w:val="1"/>
                <w:color w:val="auto"/>
              </w:rPr>
              <w:t>Earnings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48"/>
              <w:spacing w:after="0"/>
              <w:rPr>
                <w:sz w:val="20"/>
                <w:szCs w:val="20"/>
                <w:color w:val="auto"/>
              </w:rPr>
            </w:pPr>
            <w:r>
              <w:rPr>
                <w:rFonts w:ascii="Calibri" w:cs="Calibri" w:eastAsia="Calibri" w:hAnsi="Calibri"/>
                <w:sz w:val="14"/>
                <w:szCs w:val="14"/>
                <w:b w:val="1"/>
                <w:bCs w:val="1"/>
                <w:color w:val="auto"/>
              </w:rPr>
              <w:t>Equity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88"/>
              <w:spacing w:after="0"/>
              <w:rPr>
                <w:sz w:val="20"/>
                <w:szCs w:val="20"/>
                <w:color w:val="auto"/>
              </w:rPr>
            </w:pPr>
            <w:r>
              <w:rPr>
                <w:rFonts w:ascii="Calibri" w:cs="Calibri" w:eastAsia="Calibri" w:hAnsi="Calibri"/>
                <w:sz w:val="14"/>
                <w:szCs w:val="14"/>
                <w:b w:val="1"/>
                <w:bCs w:val="1"/>
                <w:color w:val="auto"/>
              </w:rPr>
              <w:t>Interests</w:t>
            </w:r>
          </w:p>
        </w:tc>
        <w:tc>
          <w:tcPr>
            <w:tcW w:w="100" w:type="dxa"/>
            <w:vAlign w:val="bottom"/>
          </w:tcPr>
          <w:p>
            <w:pPr>
              <w:spacing w:after="0"/>
              <w:rPr>
                <w:sz w:val="15"/>
                <w:szCs w:val="15"/>
                <w:color w:val="auto"/>
              </w:rPr>
            </w:pPr>
          </w:p>
        </w:tc>
        <w:tc>
          <w:tcPr>
            <w:tcW w:w="900" w:type="dxa"/>
            <w:vAlign w:val="bottom"/>
            <w:gridSpan w:val="3"/>
          </w:tcPr>
          <w:p>
            <w:pPr>
              <w:jc w:val="right"/>
              <w:ind w:right="102"/>
              <w:spacing w:after="0"/>
              <w:rPr>
                <w:sz w:val="20"/>
                <w:szCs w:val="20"/>
                <w:color w:val="auto"/>
              </w:rPr>
            </w:pPr>
            <w:r>
              <w:rPr>
                <w:rFonts w:ascii="Calibri" w:cs="Calibri" w:eastAsia="Calibri" w:hAnsi="Calibri"/>
                <w:sz w:val="14"/>
                <w:szCs w:val="14"/>
                <w:b w:val="1"/>
                <w:bCs w:val="1"/>
                <w:color w:val="auto"/>
              </w:rPr>
              <w:t>Total Equity</w:t>
            </w:r>
          </w:p>
        </w:tc>
        <w:tc>
          <w:tcPr>
            <w:tcW w:w="0" w:type="dxa"/>
            <w:vAlign w:val="bottom"/>
          </w:tcPr>
          <w:p>
            <w:pPr>
              <w:spacing w:after="0"/>
              <w:rPr>
                <w:sz w:val="1"/>
                <w:szCs w:val="1"/>
                <w:color w:val="auto"/>
              </w:rPr>
            </w:pPr>
          </w:p>
        </w:tc>
      </w:tr>
      <w:tr>
        <w:trPr>
          <w:trHeight w:val="33"/>
        </w:trPr>
        <w:tc>
          <w:tcPr>
            <w:tcW w:w="3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060" w:type="dxa"/>
            <w:vAlign w:val="bottom"/>
            <w:tcBorders>
              <w:right w:val="single" w:sz="8" w:color="007CBA"/>
            </w:tcBorders>
            <w:vMerge w:val="restart"/>
          </w:tcPr>
          <w:p>
            <w:pPr>
              <w:ind w:left="20"/>
              <w:spacing w:after="0"/>
              <w:rPr>
                <w:sz w:val="20"/>
                <w:szCs w:val="20"/>
                <w:color w:val="auto"/>
              </w:rPr>
            </w:pPr>
            <w:r>
              <w:rPr>
                <w:rFonts w:ascii="Calibri" w:cs="Calibri" w:eastAsia="Calibri" w:hAnsi="Calibri"/>
                <w:sz w:val="14"/>
                <w:szCs w:val="14"/>
                <w:color w:val="auto"/>
              </w:rPr>
              <w:t>Balance at December 31, 2020</w:t>
            </w:r>
          </w:p>
        </w:tc>
        <w:tc>
          <w:tcPr>
            <w:tcW w:w="100" w:type="dxa"/>
            <w:vAlign w:val="bottom"/>
            <w:shd w:val="clear" w:color="auto" w:fill="DEEAEB"/>
          </w:tcPr>
          <w:p>
            <w:pPr>
              <w:spacing w:after="0"/>
              <w:rPr>
                <w:sz w:val="14"/>
                <w:szCs w:val="14"/>
                <w:color w:val="auto"/>
              </w:rPr>
            </w:pPr>
          </w:p>
        </w:tc>
        <w:tc>
          <w:tcPr>
            <w:tcW w:w="620" w:type="dxa"/>
            <w:vAlign w:val="bottom"/>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62,288,6</w:t>
            </w:r>
          </w:p>
        </w:tc>
        <w:tc>
          <w:tcPr>
            <w:tcW w:w="12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0" w:type="dxa"/>
            <w:vAlign w:val="bottom"/>
            <w:shd w:val="clear" w:color="auto" w:fill="DEEAEB"/>
          </w:tcPr>
          <w:p>
            <w:pPr>
              <w:spacing w:after="0"/>
              <w:rPr>
                <w:sz w:val="14"/>
                <w:szCs w:val="14"/>
                <w:color w:val="auto"/>
              </w:rPr>
            </w:pPr>
          </w:p>
        </w:tc>
        <w:tc>
          <w:tcPr>
            <w:tcW w:w="4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4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0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00" w:type="dxa"/>
            <w:vAlign w:val="bottom"/>
            <w:tcBorders>
              <w:right w:val="single" w:sz="8" w:color="007CBA"/>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68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680" w:type="dxa"/>
            <w:vAlign w:val="bottom"/>
            <w:shd w:val="clear" w:color="auto" w:fill="DEEAEB"/>
          </w:tcPr>
          <w:p>
            <w:pPr>
              <w:spacing w:after="0"/>
              <w:rPr>
                <w:sz w:val="14"/>
                <w:szCs w:val="14"/>
                <w:color w:val="auto"/>
              </w:rPr>
            </w:pPr>
          </w:p>
        </w:tc>
        <w:tc>
          <w:tcPr>
            <w:tcW w:w="120" w:type="dxa"/>
            <w:vAlign w:val="bottom"/>
            <w:tcBorders>
              <w:right w:val="single" w:sz="8" w:color="007CBA"/>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00" w:type="dxa"/>
            <w:vAlign w:val="bottom"/>
            <w:tcBorders>
              <w:right w:val="single" w:sz="8" w:color="DEEAEB"/>
            </w:tcBorders>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060" w:type="dxa"/>
            <w:vAlign w:val="bottom"/>
            <w:tcBorders>
              <w:right w:val="single" w:sz="8" w:color="007CBA"/>
            </w:tcBorders>
            <w:vMerge w:val="continue"/>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62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13</w:t>
            </w:r>
          </w:p>
        </w:tc>
        <w:tc>
          <w:tcPr>
            <w:tcW w:w="120" w:type="dxa"/>
            <w:vAlign w:val="bottom"/>
            <w:tcBorders>
              <w:right w:val="single" w:sz="8" w:color="007CBA"/>
            </w:tcBorders>
            <w:shd w:val="clear" w:color="auto" w:fill="DEEAEB"/>
          </w:tcPr>
          <w:p>
            <w:pPr>
              <w:spacing w:after="0"/>
              <w:rPr>
                <w:sz w:val="6"/>
                <w:szCs w:val="6"/>
                <w:color w:val="auto"/>
              </w:rPr>
            </w:pPr>
          </w:p>
        </w:tc>
        <w:tc>
          <w:tcPr>
            <w:tcW w:w="120" w:type="dxa"/>
            <w:vAlign w:val="bottom"/>
            <w:shd w:val="clear" w:color="auto" w:fill="DEEAEB"/>
          </w:tcPr>
          <w:p>
            <w:pPr>
              <w:spacing w:after="0"/>
              <w:rPr>
                <w:sz w:val="6"/>
                <w:szCs w:val="6"/>
                <w:color w:val="auto"/>
              </w:rPr>
            </w:pPr>
          </w:p>
        </w:tc>
        <w:tc>
          <w:tcPr>
            <w:tcW w:w="12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w w:val="83"/>
              </w:rPr>
              <w:t>$</w:t>
            </w:r>
          </w:p>
        </w:tc>
        <w:tc>
          <w:tcPr>
            <w:tcW w:w="7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0.6</w:t>
            </w:r>
          </w:p>
        </w:tc>
        <w:tc>
          <w:tcPr>
            <w:tcW w:w="120" w:type="dxa"/>
            <w:vAlign w:val="bottom"/>
            <w:tcBorders>
              <w:right w:val="single" w:sz="8" w:color="007CBA"/>
            </w:tcBorders>
            <w:shd w:val="clear" w:color="auto" w:fill="DEEAEB"/>
          </w:tcPr>
          <w:p>
            <w:pPr>
              <w:spacing w:after="0"/>
              <w:rPr>
                <w:sz w:val="6"/>
                <w:szCs w:val="6"/>
                <w:color w:val="auto"/>
              </w:rPr>
            </w:pPr>
          </w:p>
        </w:tc>
        <w:tc>
          <w:tcPr>
            <w:tcW w:w="120" w:type="dxa"/>
            <w:vAlign w:val="bottom"/>
            <w:shd w:val="clear" w:color="auto" w:fill="DEEAEB"/>
          </w:tcPr>
          <w:p>
            <w:pPr>
              <w:spacing w:after="0"/>
              <w:rPr>
                <w:sz w:val="6"/>
                <w:szCs w:val="6"/>
                <w:color w:val="auto"/>
              </w:rPr>
            </w:pPr>
          </w:p>
        </w:tc>
        <w:tc>
          <w:tcPr>
            <w:tcW w:w="8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w w:val="83"/>
              </w:rPr>
              <w:t>$</w:t>
            </w:r>
          </w:p>
        </w:tc>
        <w:tc>
          <w:tcPr>
            <w:tcW w:w="740" w:type="dxa"/>
            <w:vAlign w:val="bottom"/>
            <w:gridSpan w:val="2"/>
            <w:vMerge w:val="restart"/>
            <w:shd w:val="clear" w:color="auto" w:fill="DEEAEB"/>
          </w:tcPr>
          <w:p>
            <w:pPr>
              <w:jc w:val="right"/>
              <w:spacing w:after="0"/>
              <w:rPr>
                <w:sz w:val="20"/>
                <w:szCs w:val="20"/>
                <w:color w:val="auto"/>
              </w:rPr>
            </w:pPr>
            <w:r>
              <w:rPr>
                <w:rFonts w:ascii="Calibri" w:cs="Calibri" w:eastAsia="Calibri" w:hAnsi="Calibri"/>
                <w:sz w:val="14"/>
                <w:szCs w:val="14"/>
                <w:color w:val="auto"/>
              </w:rPr>
              <w:t>3,440.8</w:t>
            </w:r>
          </w:p>
        </w:tc>
        <w:tc>
          <w:tcPr>
            <w:tcW w:w="140" w:type="dxa"/>
            <w:vAlign w:val="bottom"/>
            <w:tcBorders>
              <w:right w:val="single" w:sz="8" w:color="007CBA"/>
            </w:tcBorders>
            <w:shd w:val="clear" w:color="auto" w:fill="DEEAEB"/>
          </w:tcPr>
          <w:p>
            <w:pPr>
              <w:spacing w:after="0"/>
              <w:rPr>
                <w:sz w:val="6"/>
                <w:szCs w:val="6"/>
                <w:color w:val="auto"/>
              </w:rPr>
            </w:pPr>
          </w:p>
        </w:tc>
        <w:tc>
          <w:tcPr>
            <w:tcW w:w="120" w:type="dxa"/>
            <w:vAlign w:val="bottom"/>
            <w:shd w:val="clear" w:color="auto" w:fill="DEEAEB"/>
          </w:tcPr>
          <w:p>
            <w:pPr>
              <w:spacing w:after="0"/>
              <w:rPr>
                <w:sz w:val="6"/>
                <w:szCs w:val="6"/>
                <w:color w:val="auto"/>
              </w:rPr>
            </w:pPr>
          </w:p>
        </w:tc>
        <w:tc>
          <w:tcPr>
            <w:tcW w:w="12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w w:val="83"/>
              </w:rPr>
              <w:t>$</w:t>
            </w:r>
          </w:p>
        </w:tc>
        <w:tc>
          <w:tcPr>
            <w:tcW w:w="920" w:type="dxa"/>
            <w:vAlign w:val="bottom"/>
            <w:tcBorders>
              <w:right w:val="single" w:sz="8" w:color="007CBA"/>
            </w:tcBorders>
            <w:gridSpan w:val="2"/>
            <w:vMerge w:val="restart"/>
            <w:shd w:val="clear" w:color="auto" w:fill="DEEAEB"/>
          </w:tcPr>
          <w:p>
            <w:pPr>
              <w:jc w:val="right"/>
              <w:spacing w:after="0"/>
              <w:rPr>
                <w:sz w:val="20"/>
                <w:szCs w:val="20"/>
                <w:color w:val="auto"/>
              </w:rPr>
            </w:pPr>
            <w:r>
              <w:rPr>
                <w:rFonts w:ascii="Calibri" w:cs="Calibri" w:eastAsia="Calibri" w:hAnsi="Calibri"/>
                <w:sz w:val="14"/>
                <w:szCs w:val="14"/>
                <w:color w:val="auto"/>
              </w:rPr>
              <w:t>(158.4 )</w:t>
            </w:r>
          </w:p>
        </w:tc>
        <w:tc>
          <w:tcPr>
            <w:tcW w:w="100" w:type="dxa"/>
            <w:vAlign w:val="bottom"/>
            <w:shd w:val="clear" w:color="auto" w:fill="DEEAEB"/>
          </w:tcPr>
          <w:p>
            <w:pPr>
              <w:spacing w:after="0"/>
              <w:rPr>
                <w:sz w:val="6"/>
                <w:szCs w:val="6"/>
                <w:color w:val="auto"/>
              </w:rPr>
            </w:pPr>
          </w:p>
        </w:tc>
        <w:tc>
          <w:tcPr>
            <w:tcW w:w="1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w w:val="83"/>
              </w:rPr>
              <w:t>$</w:t>
            </w:r>
          </w:p>
        </w:tc>
        <w:tc>
          <w:tcPr>
            <w:tcW w:w="7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2,607.7</w:t>
            </w:r>
          </w:p>
        </w:tc>
        <w:tc>
          <w:tcPr>
            <w:tcW w:w="100" w:type="dxa"/>
            <w:vAlign w:val="bottom"/>
            <w:tcBorders>
              <w:right w:val="single" w:sz="8" w:color="007CBA"/>
            </w:tcBorders>
            <w:shd w:val="clear" w:color="auto" w:fill="DEEAEB"/>
          </w:tcPr>
          <w:p>
            <w:pPr>
              <w:spacing w:after="0"/>
              <w:rPr>
                <w:sz w:val="6"/>
                <w:szCs w:val="6"/>
                <w:color w:val="auto"/>
              </w:rPr>
            </w:pPr>
          </w:p>
        </w:tc>
        <w:tc>
          <w:tcPr>
            <w:tcW w:w="120" w:type="dxa"/>
            <w:vAlign w:val="bottom"/>
            <w:shd w:val="clear" w:color="auto" w:fill="DEEAEB"/>
          </w:tcPr>
          <w:p>
            <w:pPr>
              <w:spacing w:after="0"/>
              <w:rPr>
                <w:sz w:val="6"/>
                <w:szCs w:val="6"/>
                <w:color w:val="auto"/>
              </w:rPr>
            </w:pPr>
          </w:p>
        </w:tc>
        <w:tc>
          <w:tcPr>
            <w:tcW w:w="1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w w:val="83"/>
              </w:rPr>
              <w:t>$</w:t>
            </w:r>
          </w:p>
        </w:tc>
        <w:tc>
          <w:tcPr>
            <w:tcW w:w="68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5,890.7</w:t>
            </w:r>
          </w:p>
        </w:tc>
        <w:tc>
          <w:tcPr>
            <w:tcW w:w="120" w:type="dxa"/>
            <w:vAlign w:val="bottom"/>
            <w:tcBorders>
              <w:right w:val="single" w:sz="8" w:color="007CBA"/>
            </w:tcBorders>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120" w:type="dxa"/>
            <w:vAlign w:val="bottom"/>
            <w:vMerge w:val="restart"/>
            <w:shd w:val="clear" w:color="auto" w:fill="DEEAEB"/>
          </w:tcPr>
          <w:p>
            <w:pPr>
              <w:ind w:left="20"/>
              <w:spacing w:after="0"/>
              <w:rPr>
                <w:sz w:val="20"/>
                <w:szCs w:val="20"/>
                <w:color w:val="auto"/>
              </w:rPr>
            </w:pPr>
            <w:r>
              <w:rPr>
                <w:rFonts w:ascii="Calibri" w:cs="Calibri" w:eastAsia="Calibri" w:hAnsi="Calibri"/>
                <w:sz w:val="14"/>
                <w:szCs w:val="14"/>
                <w:color w:val="auto"/>
              </w:rPr>
              <w:t>$</w:t>
            </w:r>
          </w:p>
        </w:tc>
        <w:tc>
          <w:tcPr>
            <w:tcW w:w="68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2.6</w:t>
            </w:r>
          </w:p>
        </w:tc>
        <w:tc>
          <w:tcPr>
            <w:tcW w:w="120" w:type="dxa"/>
            <w:vAlign w:val="bottom"/>
            <w:tcBorders>
              <w:right w:val="single" w:sz="8" w:color="007CBA"/>
            </w:tcBorders>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1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w w:val="83"/>
              </w:rPr>
              <w:t>$</w:t>
            </w:r>
          </w:p>
        </w:tc>
        <w:tc>
          <w:tcPr>
            <w:tcW w:w="7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5,893.3</w:t>
            </w:r>
          </w:p>
        </w:tc>
        <w:tc>
          <w:tcPr>
            <w:tcW w:w="100" w:type="dxa"/>
            <w:vAlign w:val="bottom"/>
            <w:tcBorders>
              <w:right w:val="single" w:sz="8" w:color="DEEAEB"/>
            </w:tcBorders>
            <w:shd w:val="clear" w:color="auto" w:fill="DEEAEB"/>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060" w:type="dxa"/>
            <w:vAlign w:val="bottom"/>
            <w:tcBorders>
              <w:right w:val="single" w:sz="8" w:color="007CBA"/>
            </w:tcBorders>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620" w:type="dxa"/>
            <w:vAlign w:val="bottom"/>
            <w:vMerge w:val="continue"/>
            <w:shd w:val="clear" w:color="auto" w:fill="DEEAEB"/>
          </w:tcPr>
          <w:p>
            <w:pPr>
              <w:spacing w:after="0"/>
              <w:rPr>
                <w:sz w:val="8"/>
                <w:szCs w:val="8"/>
                <w:color w:val="auto"/>
              </w:rPr>
            </w:pPr>
          </w:p>
        </w:tc>
        <w:tc>
          <w:tcPr>
            <w:tcW w:w="120" w:type="dxa"/>
            <w:vAlign w:val="bottom"/>
            <w:tcBorders>
              <w:right w:val="single" w:sz="8" w:color="007CBA"/>
            </w:tcBorders>
            <w:shd w:val="clear" w:color="auto" w:fill="DEEAEB"/>
          </w:tcPr>
          <w:p>
            <w:pPr>
              <w:spacing w:after="0"/>
              <w:rPr>
                <w:sz w:val="8"/>
                <w:szCs w:val="8"/>
                <w:color w:val="auto"/>
              </w:rPr>
            </w:pPr>
          </w:p>
        </w:tc>
        <w:tc>
          <w:tcPr>
            <w:tcW w:w="120" w:type="dxa"/>
            <w:vAlign w:val="bottom"/>
            <w:shd w:val="clear" w:color="auto" w:fill="DEEAEB"/>
          </w:tcPr>
          <w:p>
            <w:pPr>
              <w:spacing w:after="0"/>
              <w:rPr>
                <w:sz w:val="8"/>
                <w:szCs w:val="8"/>
                <w:color w:val="auto"/>
              </w:rPr>
            </w:pPr>
          </w:p>
        </w:tc>
        <w:tc>
          <w:tcPr>
            <w:tcW w:w="120" w:type="dxa"/>
            <w:vAlign w:val="bottom"/>
            <w:vMerge w:val="continue"/>
            <w:shd w:val="clear" w:color="auto" w:fill="DEEAEB"/>
          </w:tcPr>
          <w:p>
            <w:pPr>
              <w:spacing w:after="0"/>
              <w:rPr>
                <w:sz w:val="8"/>
                <w:szCs w:val="8"/>
                <w:color w:val="auto"/>
              </w:rPr>
            </w:pPr>
          </w:p>
        </w:tc>
        <w:tc>
          <w:tcPr>
            <w:tcW w:w="700" w:type="dxa"/>
            <w:vAlign w:val="bottom"/>
            <w:vMerge w:val="continue"/>
            <w:shd w:val="clear" w:color="auto" w:fill="DEEAEB"/>
          </w:tcPr>
          <w:p>
            <w:pPr>
              <w:spacing w:after="0"/>
              <w:rPr>
                <w:sz w:val="8"/>
                <w:szCs w:val="8"/>
                <w:color w:val="auto"/>
              </w:rPr>
            </w:pPr>
          </w:p>
        </w:tc>
        <w:tc>
          <w:tcPr>
            <w:tcW w:w="120" w:type="dxa"/>
            <w:vAlign w:val="bottom"/>
            <w:tcBorders>
              <w:right w:val="single" w:sz="8" w:color="007CBA"/>
            </w:tcBorders>
            <w:shd w:val="clear" w:color="auto" w:fill="DEEAEB"/>
          </w:tcPr>
          <w:p>
            <w:pPr>
              <w:spacing w:after="0"/>
              <w:rPr>
                <w:sz w:val="8"/>
                <w:szCs w:val="8"/>
                <w:color w:val="auto"/>
              </w:rPr>
            </w:pPr>
          </w:p>
        </w:tc>
        <w:tc>
          <w:tcPr>
            <w:tcW w:w="120" w:type="dxa"/>
            <w:vAlign w:val="bottom"/>
            <w:shd w:val="clear" w:color="auto" w:fill="DEEAEB"/>
          </w:tcPr>
          <w:p>
            <w:pPr>
              <w:spacing w:after="0"/>
              <w:rPr>
                <w:sz w:val="8"/>
                <w:szCs w:val="8"/>
                <w:color w:val="auto"/>
              </w:rPr>
            </w:pPr>
          </w:p>
        </w:tc>
        <w:tc>
          <w:tcPr>
            <w:tcW w:w="80" w:type="dxa"/>
            <w:vAlign w:val="bottom"/>
            <w:vMerge w:val="continue"/>
            <w:shd w:val="clear" w:color="auto" w:fill="DEEAEB"/>
          </w:tcPr>
          <w:p>
            <w:pPr>
              <w:spacing w:after="0"/>
              <w:rPr>
                <w:sz w:val="8"/>
                <w:szCs w:val="8"/>
                <w:color w:val="auto"/>
              </w:rPr>
            </w:pPr>
          </w:p>
        </w:tc>
        <w:tc>
          <w:tcPr>
            <w:tcW w:w="740" w:type="dxa"/>
            <w:vAlign w:val="bottom"/>
            <w:gridSpan w:val="2"/>
            <w:vMerge w:val="continue"/>
            <w:shd w:val="clear" w:color="auto" w:fill="DEEAEB"/>
          </w:tcPr>
          <w:p>
            <w:pPr>
              <w:spacing w:after="0"/>
              <w:rPr>
                <w:sz w:val="8"/>
                <w:szCs w:val="8"/>
                <w:color w:val="auto"/>
              </w:rPr>
            </w:pPr>
          </w:p>
        </w:tc>
        <w:tc>
          <w:tcPr>
            <w:tcW w:w="140" w:type="dxa"/>
            <w:vAlign w:val="bottom"/>
            <w:tcBorders>
              <w:right w:val="single" w:sz="8" w:color="007CBA"/>
            </w:tcBorders>
            <w:shd w:val="clear" w:color="auto" w:fill="DEEAEB"/>
          </w:tcPr>
          <w:p>
            <w:pPr>
              <w:spacing w:after="0"/>
              <w:rPr>
                <w:sz w:val="8"/>
                <w:szCs w:val="8"/>
                <w:color w:val="auto"/>
              </w:rPr>
            </w:pPr>
          </w:p>
        </w:tc>
        <w:tc>
          <w:tcPr>
            <w:tcW w:w="120" w:type="dxa"/>
            <w:vAlign w:val="bottom"/>
            <w:shd w:val="clear" w:color="auto" w:fill="DEEAEB"/>
          </w:tcPr>
          <w:p>
            <w:pPr>
              <w:spacing w:after="0"/>
              <w:rPr>
                <w:sz w:val="8"/>
                <w:szCs w:val="8"/>
                <w:color w:val="auto"/>
              </w:rPr>
            </w:pPr>
          </w:p>
        </w:tc>
        <w:tc>
          <w:tcPr>
            <w:tcW w:w="120" w:type="dxa"/>
            <w:vAlign w:val="bottom"/>
            <w:vMerge w:val="continue"/>
            <w:shd w:val="clear" w:color="auto" w:fill="DEEAEB"/>
          </w:tcPr>
          <w:p>
            <w:pPr>
              <w:spacing w:after="0"/>
              <w:rPr>
                <w:sz w:val="8"/>
                <w:szCs w:val="8"/>
                <w:color w:val="auto"/>
              </w:rPr>
            </w:pPr>
          </w:p>
        </w:tc>
        <w:tc>
          <w:tcPr>
            <w:tcW w:w="920" w:type="dxa"/>
            <w:vAlign w:val="bottom"/>
            <w:tcBorders>
              <w:right w:val="single" w:sz="8" w:color="007CBA"/>
            </w:tcBorders>
            <w:gridSpan w:val="2"/>
            <w:vMerge w:val="continue"/>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00" w:type="dxa"/>
            <w:vAlign w:val="bottom"/>
            <w:vMerge w:val="continue"/>
            <w:shd w:val="clear" w:color="auto" w:fill="DEEAEB"/>
          </w:tcPr>
          <w:p>
            <w:pPr>
              <w:spacing w:after="0"/>
              <w:rPr>
                <w:sz w:val="8"/>
                <w:szCs w:val="8"/>
                <w:color w:val="auto"/>
              </w:rPr>
            </w:pPr>
          </w:p>
        </w:tc>
        <w:tc>
          <w:tcPr>
            <w:tcW w:w="700" w:type="dxa"/>
            <w:vAlign w:val="bottom"/>
            <w:vMerge w:val="continue"/>
            <w:shd w:val="clear" w:color="auto" w:fill="DEEAEB"/>
          </w:tcPr>
          <w:p>
            <w:pPr>
              <w:spacing w:after="0"/>
              <w:rPr>
                <w:sz w:val="8"/>
                <w:szCs w:val="8"/>
                <w:color w:val="auto"/>
              </w:rPr>
            </w:pPr>
          </w:p>
        </w:tc>
        <w:tc>
          <w:tcPr>
            <w:tcW w:w="100" w:type="dxa"/>
            <w:vAlign w:val="bottom"/>
            <w:tcBorders>
              <w:right w:val="single" w:sz="8" w:color="007CBA"/>
            </w:tcBorders>
            <w:shd w:val="clear" w:color="auto" w:fill="DEEAEB"/>
          </w:tcPr>
          <w:p>
            <w:pPr>
              <w:spacing w:after="0"/>
              <w:rPr>
                <w:sz w:val="8"/>
                <w:szCs w:val="8"/>
                <w:color w:val="auto"/>
              </w:rPr>
            </w:pPr>
          </w:p>
        </w:tc>
        <w:tc>
          <w:tcPr>
            <w:tcW w:w="120" w:type="dxa"/>
            <w:vAlign w:val="bottom"/>
            <w:shd w:val="clear" w:color="auto" w:fill="DEEAEB"/>
          </w:tcPr>
          <w:p>
            <w:pPr>
              <w:spacing w:after="0"/>
              <w:rPr>
                <w:sz w:val="8"/>
                <w:szCs w:val="8"/>
                <w:color w:val="auto"/>
              </w:rPr>
            </w:pPr>
          </w:p>
        </w:tc>
        <w:tc>
          <w:tcPr>
            <w:tcW w:w="100" w:type="dxa"/>
            <w:vAlign w:val="bottom"/>
            <w:vMerge w:val="continue"/>
            <w:shd w:val="clear" w:color="auto" w:fill="DEEAEB"/>
          </w:tcPr>
          <w:p>
            <w:pPr>
              <w:spacing w:after="0"/>
              <w:rPr>
                <w:sz w:val="8"/>
                <w:szCs w:val="8"/>
                <w:color w:val="auto"/>
              </w:rPr>
            </w:pPr>
          </w:p>
        </w:tc>
        <w:tc>
          <w:tcPr>
            <w:tcW w:w="680" w:type="dxa"/>
            <w:vAlign w:val="bottom"/>
            <w:vMerge w:val="continue"/>
            <w:shd w:val="clear" w:color="auto" w:fill="DEEAEB"/>
          </w:tcPr>
          <w:p>
            <w:pPr>
              <w:spacing w:after="0"/>
              <w:rPr>
                <w:sz w:val="8"/>
                <w:szCs w:val="8"/>
                <w:color w:val="auto"/>
              </w:rPr>
            </w:pPr>
          </w:p>
        </w:tc>
        <w:tc>
          <w:tcPr>
            <w:tcW w:w="120" w:type="dxa"/>
            <w:vAlign w:val="bottom"/>
            <w:tcBorders>
              <w:right w:val="single" w:sz="8" w:color="007CBA"/>
            </w:tcBorders>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20" w:type="dxa"/>
            <w:vAlign w:val="bottom"/>
            <w:vMerge w:val="continue"/>
            <w:shd w:val="clear" w:color="auto" w:fill="DEEAEB"/>
          </w:tcPr>
          <w:p>
            <w:pPr>
              <w:spacing w:after="0"/>
              <w:rPr>
                <w:sz w:val="8"/>
                <w:szCs w:val="8"/>
                <w:color w:val="auto"/>
              </w:rPr>
            </w:pPr>
          </w:p>
        </w:tc>
        <w:tc>
          <w:tcPr>
            <w:tcW w:w="680" w:type="dxa"/>
            <w:vAlign w:val="bottom"/>
            <w:vMerge w:val="continue"/>
            <w:shd w:val="clear" w:color="auto" w:fill="DEEAEB"/>
          </w:tcPr>
          <w:p>
            <w:pPr>
              <w:spacing w:after="0"/>
              <w:rPr>
                <w:sz w:val="8"/>
                <w:szCs w:val="8"/>
                <w:color w:val="auto"/>
              </w:rPr>
            </w:pPr>
          </w:p>
        </w:tc>
        <w:tc>
          <w:tcPr>
            <w:tcW w:w="120" w:type="dxa"/>
            <w:vAlign w:val="bottom"/>
            <w:tcBorders>
              <w:right w:val="single" w:sz="8" w:color="007CBA"/>
            </w:tcBorders>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00" w:type="dxa"/>
            <w:vAlign w:val="bottom"/>
            <w:vMerge w:val="continue"/>
            <w:shd w:val="clear" w:color="auto" w:fill="DEEAEB"/>
          </w:tcPr>
          <w:p>
            <w:pPr>
              <w:spacing w:after="0"/>
              <w:rPr>
                <w:sz w:val="8"/>
                <w:szCs w:val="8"/>
                <w:color w:val="auto"/>
              </w:rPr>
            </w:pPr>
          </w:p>
        </w:tc>
        <w:tc>
          <w:tcPr>
            <w:tcW w:w="700" w:type="dxa"/>
            <w:vAlign w:val="bottom"/>
            <w:vMerge w:val="continue"/>
            <w:shd w:val="clear" w:color="auto" w:fill="DEEAEB"/>
          </w:tcPr>
          <w:p>
            <w:pPr>
              <w:spacing w:after="0"/>
              <w:rPr>
                <w:sz w:val="8"/>
                <w:szCs w:val="8"/>
                <w:color w:val="auto"/>
              </w:rPr>
            </w:pPr>
          </w:p>
        </w:tc>
        <w:tc>
          <w:tcPr>
            <w:tcW w:w="100" w:type="dxa"/>
            <w:vAlign w:val="bottom"/>
            <w:tcBorders>
              <w:right w:val="single" w:sz="8" w:color="DEEAEB"/>
            </w:tcBorders>
            <w:shd w:val="clear" w:color="auto" w:fill="DEEAEB"/>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Consolidated net earnings</w:t>
            </w:r>
          </w:p>
        </w:tc>
        <w:tc>
          <w:tcPr>
            <w:tcW w:w="100" w:type="dxa"/>
            <w:vAlign w:val="bottom"/>
            <w:shd w:val="clear" w:color="auto" w:fill="DEEAEB"/>
          </w:tcPr>
          <w:p>
            <w:pPr>
              <w:spacing w:after="0"/>
              <w:rPr>
                <w:sz w:val="17"/>
                <w:szCs w:val="17"/>
                <w:color w:val="auto"/>
              </w:rPr>
            </w:pPr>
          </w:p>
        </w:tc>
        <w:tc>
          <w:tcPr>
            <w:tcW w:w="6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20" w:type="dxa"/>
            <w:vAlign w:val="bottom"/>
            <w:tcBorders>
              <w:right w:val="single" w:sz="8" w:color="007CBA"/>
            </w:tcBorders>
            <w:gridSpan w:val="2"/>
            <w:shd w:val="clear" w:color="auto" w:fill="DEEAEB"/>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DEEAEB"/>
          </w:tcPr>
          <w:p>
            <w:pPr>
              <w:spacing w:after="0"/>
              <w:rPr>
                <w:sz w:val="17"/>
                <w:szCs w:val="17"/>
                <w:color w:val="auto"/>
              </w:rPr>
            </w:pPr>
          </w:p>
        </w:tc>
        <w:tc>
          <w:tcPr>
            <w:tcW w:w="8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840" w:type="dxa"/>
            <w:vAlign w:val="bottom"/>
            <w:tcBorders>
              <w:right w:val="single" w:sz="8" w:color="007CBA"/>
            </w:tcBorders>
            <w:gridSpan w:val="2"/>
            <w:shd w:val="clear" w:color="auto" w:fill="DEEAEB"/>
          </w:tcPr>
          <w:p>
            <w:pPr>
              <w:jc w:val="right"/>
              <w:ind w:right="68"/>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920" w:type="dxa"/>
            <w:vAlign w:val="bottom"/>
            <w:tcBorders>
              <w:right w:val="single" w:sz="8" w:color="007CBA"/>
            </w:tcBorders>
            <w:gridSpan w:val="2"/>
            <w:shd w:val="clear" w:color="auto" w:fill="DEEAEB"/>
          </w:tcPr>
          <w:p>
            <w:pPr>
              <w:jc w:val="right"/>
              <w:ind w:right="68"/>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702.5</w:t>
            </w:r>
          </w:p>
        </w:tc>
        <w:tc>
          <w:tcPr>
            <w:tcW w:w="10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702.5</w:t>
            </w: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0.3</w:t>
            </w: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702.8</w:t>
            </w:r>
          </w:p>
        </w:tc>
        <w:tc>
          <w:tcPr>
            <w:tcW w:w="100" w:type="dxa"/>
            <w:vAlign w:val="bottom"/>
            <w:tcBorders>
              <w:right w:val="single" w:sz="8" w:color="DEEAEB"/>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Other comprehensive earnings</w:t>
            </w:r>
          </w:p>
        </w:tc>
        <w:tc>
          <w:tcPr>
            <w:tcW w:w="100" w:type="dxa"/>
            <w:vAlign w:val="bottom"/>
            <w:shd w:val="clear" w:color="auto" w:fill="DEEAEB"/>
          </w:tcPr>
          <w:p>
            <w:pPr>
              <w:spacing w:after="0"/>
              <w:rPr>
                <w:sz w:val="17"/>
                <w:szCs w:val="17"/>
                <w:color w:val="auto"/>
              </w:rPr>
            </w:pPr>
          </w:p>
        </w:tc>
        <w:tc>
          <w:tcPr>
            <w:tcW w:w="6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60.8</w:t>
            </w: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60.8</w:t>
            </w: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60.8</w:t>
            </w:r>
          </w:p>
        </w:tc>
        <w:tc>
          <w:tcPr>
            <w:tcW w:w="100" w:type="dxa"/>
            <w:vAlign w:val="bottom"/>
            <w:tcBorders>
              <w:right w:val="single" w:sz="8" w:color="DEEAEB"/>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Dividends declared ($2.36 per common share)</w:t>
            </w:r>
          </w:p>
        </w:tc>
        <w:tc>
          <w:tcPr>
            <w:tcW w:w="100" w:type="dxa"/>
            <w:vAlign w:val="bottom"/>
            <w:shd w:val="clear" w:color="auto" w:fill="DEEAEB"/>
          </w:tcPr>
          <w:p>
            <w:pPr>
              <w:spacing w:after="0"/>
              <w:rPr>
                <w:sz w:val="17"/>
                <w:szCs w:val="17"/>
                <w:color w:val="auto"/>
              </w:rPr>
            </w:pPr>
          </w:p>
        </w:tc>
        <w:tc>
          <w:tcPr>
            <w:tcW w:w="6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(148.3</w:t>
            </w:r>
          </w:p>
        </w:tc>
        <w:tc>
          <w:tcPr>
            <w:tcW w:w="10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2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(148.3</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(148.3</w:t>
            </w:r>
          </w:p>
        </w:tc>
        <w:tc>
          <w:tcPr>
            <w:tcW w:w="100" w:type="dxa"/>
            <w:vAlign w:val="bottom"/>
            <w:tcBorders>
              <w:right w:val="single" w:sz="8" w:color="DEEAEB"/>
            </w:tcBorders>
            <w:shd w:val="clear" w:color="auto" w:fill="DEEAEB"/>
          </w:tcPr>
          <w:p>
            <w:pPr>
              <w:jc w:val="right"/>
              <w:ind w:right="2"/>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Issuances of common stock for stock award</w:t>
            </w:r>
          </w:p>
        </w:tc>
        <w:tc>
          <w:tcPr>
            <w:tcW w:w="100" w:type="dxa"/>
            <w:vAlign w:val="bottom"/>
            <w:shd w:val="clear" w:color="auto" w:fill="DEEAEB"/>
          </w:tcPr>
          <w:p>
            <w:pPr>
              <w:spacing w:after="0"/>
              <w:rPr>
                <w:sz w:val="17"/>
                <w:szCs w:val="17"/>
                <w:color w:val="auto"/>
              </w:rPr>
            </w:pPr>
          </w:p>
        </w:tc>
        <w:tc>
          <w:tcPr>
            <w:tcW w:w="62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4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0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68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68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00" w:type="dxa"/>
            <w:vAlign w:val="bottom"/>
            <w:tcBorders>
              <w:right w:val="single" w:sz="8" w:color="DEEAEB"/>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plans</w:t>
            </w:r>
          </w:p>
        </w:tc>
        <w:tc>
          <w:tcPr>
            <w:tcW w:w="100" w:type="dxa"/>
            <w:vAlign w:val="bottom"/>
            <w:shd w:val="clear" w:color="auto" w:fill="DEEAEB"/>
          </w:tcPr>
          <w:p>
            <w:pPr>
              <w:spacing w:after="0"/>
              <w:rPr>
                <w:sz w:val="15"/>
                <w:szCs w:val="15"/>
                <w:color w:val="auto"/>
              </w:rPr>
            </w:pPr>
          </w:p>
        </w:tc>
        <w:tc>
          <w:tcPr>
            <w:tcW w:w="6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105,377</w:t>
            </w:r>
          </w:p>
        </w:tc>
        <w:tc>
          <w:tcPr>
            <w:tcW w:w="120" w:type="dxa"/>
            <w:vAlign w:val="bottom"/>
            <w:tcBorders>
              <w:right w:val="single" w:sz="8" w:color="007CBA"/>
            </w:tcBorders>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 w:type="dxa"/>
            <w:vAlign w:val="bottom"/>
            <w:shd w:val="clear" w:color="auto" w:fill="DEEAEB"/>
          </w:tcPr>
          <w:p>
            <w:pPr>
              <w:spacing w:after="0"/>
              <w:rPr>
                <w:sz w:val="15"/>
                <w:szCs w:val="15"/>
                <w:color w:val="auto"/>
              </w:rPr>
            </w:pPr>
          </w:p>
        </w:tc>
        <w:tc>
          <w:tcPr>
            <w:tcW w:w="4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6.1</w:t>
            </w:r>
          </w:p>
        </w:tc>
        <w:tc>
          <w:tcPr>
            <w:tcW w:w="140" w:type="dxa"/>
            <w:vAlign w:val="bottom"/>
            <w:tcBorders>
              <w:right w:val="single" w:sz="8" w:color="007CBA"/>
            </w:tcBorders>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6.1</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6.1</w:t>
            </w:r>
          </w:p>
        </w:tc>
        <w:tc>
          <w:tcPr>
            <w:tcW w:w="100" w:type="dxa"/>
            <w:vAlign w:val="bottom"/>
            <w:tcBorders>
              <w:right w:val="single" w:sz="8" w:color="DEEAEB"/>
            </w:tcBorders>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Shares withheld for employees’ income tax</w:t>
            </w:r>
          </w:p>
        </w:tc>
        <w:tc>
          <w:tcPr>
            <w:tcW w:w="100" w:type="dxa"/>
            <w:vAlign w:val="bottom"/>
            <w:shd w:val="clear" w:color="auto" w:fill="DEEAEB"/>
          </w:tcPr>
          <w:p>
            <w:pPr>
              <w:spacing w:after="0"/>
              <w:rPr>
                <w:sz w:val="17"/>
                <w:szCs w:val="17"/>
                <w:color w:val="auto"/>
              </w:rPr>
            </w:pPr>
          </w:p>
        </w:tc>
        <w:tc>
          <w:tcPr>
            <w:tcW w:w="62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4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0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68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68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00" w:type="dxa"/>
            <w:vAlign w:val="bottom"/>
            <w:tcBorders>
              <w:right w:val="single" w:sz="8" w:color="DEEAEB"/>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6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obligatons</w:t>
            </w:r>
          </w:p>
        </w:tc>
        <w:tc>
          <w:tcPr>
            <w:tcW w:w="100" w:type="dxa"/>
            <w:vAlign w:val="bottom"/>
            <w:shd w:val="clear" w:color="auto" w:fill="DEEAEB"/>
          </w:tcPr>
          <w:p>
            <w:pPr>
              <w:spacing w:after="0"/>
              <w:rPr>
                <w:sz w:val="15"/>
                <w:szCs w:val="15"/>
                <w:color w:val="auto"/>
              </w:rPr>
            </w:pPr>
          </w:p>
        </w:tc>
        <w:tc>
          <w:tcPr>
            <w:tcW w:w="6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 w:type="dxa"/>
            <w:vAlign w:val="bottom"/>
            <w:shd w:val="clear" w:color="auto" w:fill="DEEAEB"/>
          </w:tcPr>
          <w:p>
            <w:pPr>
              <w:spacing w:after="0"/>
              <w:rPr>
                <w:sz w:val="15"/>
                <w:szCs w:val="15"/>
                <w:color w:val="auto"/>
              </w:rPr>
            </w:pPr>
          </w:p>
        </w:tc>
        <w:tc>
          <w:tcPr>
            <w:tcW w:w="4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(19.5</w:t>
            </w:r>
          </w:p>
        </w:tc>
        <w:tc>
          <w:tcPr>
            <w:tcW w:w="140" w:type="dxa"/>
            <w:vAlign w:val="bottom"/>
            <w:tcBorders>
              <w:right w:val="single" w:sz="8" w:color="007CBA"/>
            </w:tcBorders>
            <w:shd w:val="clear" w:color="auto" w:fill="DEEAEB"/>
          </w:tcPr>
          <w:p>
            <w:pPr>
              <w:jc w:val="right"/>
              <w:ind w:right="8"/>
              <w:spacing w:after="0"/>
              <w:rPr>
                <w:sz w:val="20"/>
                <w:szCs w:val="20"/>
                <w:color w:val="auto"/>
              </w:rPr>
            </w:pPr>
            <w:r>
              <w:rPr>
                <w:rFonts w:ascii="Calibri" w:cs="Calibri" w:eastAsia="Calibri" w:hAnsi="Calibri"/>
                <w:sz w:val="14"/>
                <w:szCs w:val="14"/>
                <w:color w:val="auto"/>
                <w:w w:val="93"/>
              </w:rPr>
              <w:t>)</w:t>
            </w:r>
          </w:p>
        </w:tc>
        <w:tc>
          <w:tcPr>
            <w:tcW w:w="12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(19.5</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(19.5</w:t>
            </w:r>
          </w:p>
        </w:tc>
        <w:tc>
          <w:tcPr>
            <w:tcW w:w="100" w:type="dxa"/>
            <w:vAlign w:val="bottom"/>
            <w:tcBorders>
              <w:right w:val="single" w:sz="8" w:color="DEEAEB"/>
            </w:tcBorders>
            <w:shd w:val="clear" w:color="auto" w:fill="DEEAEB"/>
          </w:tcPr>
          <w:p>
            <w:pPr>
              <w:jc w:val="right"/>
              <w:ind w:right="2"/>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216"/>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Stock-based compensaton expense</w:t>
            </w:r>
          </w:p>
        </w:tc>
        <w:tc>
          <w:tcPr>
            <w:tcW w:w="100" w:type="dxa"/>
            <w:vAlign w:val="bottom"/>
            <w:tcBorders>
              <w:bottom w:val="single" w:sz="8" w:color="DEEAEB"/>
            </w:tcBorders>
            <w:shd w:val="clear" w:color="auto" w:fill="DEEAEB"/>
          </w:tcPr>
          <w:p>
            <w:pPr>
              <w:spacing w:after="0"/>
              <w:rPr>
                <w:sz w:val="18"/>
                <w:szCs w:val="18"/>
                <w:color w:val="auto"/>
              </w:rPr>
            </w:pPr>
          </w:p>
        </w:tc>
        <w:tc>
          <w:tcPr>
            <w:tcW w:w="62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007CBA"/>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007CBA"/>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80" w:type="dxa"/>
            <w:vAlign w:val="bottom"/>
            <w:tcBorders>
              <w:bottom w:val="single" w:sz="8" w:color="DEEAEB"/>
            </w:tcBorders>
            <w:shd w:val="clear" w:color="auto" w:fill="DEEAEB"/>
          </w:tcPr>
          <w:p>
            <w:pPr>
              <w:spacing w:after="0"/>
              <w:rPr>
                <w:sz w:val="18"/>
                <w:szCs w:val="18"/>
                <w:color w:val="auto"/>
              </w:rPr>
            </w:pPr>
          </w:p>
        </w:tc>
        <w:tc>
          <w:tcPr>
            <w:tcW w:w="4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43.0</w:t>
            </w:r>
          </w:p>
        </w:tc>
        <w:tc>
          <w:tcPr>
            <w:tcW w:w="140" w:type="dxa"/>
            <w:vAlign w:val="bottom"/>
            <w:tcBorders>
              <w:bottom w:val="single" w:sz="8" w:color="DEEAEB"/>
              <w:right w:val="single" w:sz="8" w:color="007CBA"/>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8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007CBA"/>
            </w:tcBorders>
            <w:shd w:val="clear" w:color="auto" w:fill="DEEAEB"/>
          </w:tcPr>
          <w:p>
            <w:pPr>
              <w:spacing w:after="0"/>
              <w:rPr>
                <w:sz w:val="18"/>
                <w:szCs w:val="18"/>
                <w:color w:val="auto"/>
              </w:rPr>
            </w:pPr>
          </w:p>
        </w:tc>
        <w:tc>
          <w:tcPr>
            <w:tcW w:w="100" w:type="dxa"/>
            <w:vAlign w:val="bottom"/>
            <w:tcBorders>
              <w:bottom w:val="single" w:sz="8" w:color="DEEAEB"/>
            </w:tcBorders>
            <w:shd w:val="clear" w:color="auto" w:fill="DEEAEB"/>
          </w:tcPr>
          <w:p>
            <w:pPr>
              <w:spacing w:after="0"/>
              <w:rPr>
                <w:sz w:val="18"/>
                <w:szCs w:val="18"/>
                <w:color w:val="auto"/>
              </w:rPr>
            </w:pPr>
          </w:p>
        </w:tc>
        <w:tc>
          <w:tcPr>
            <w:tcW w:w="10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DEEAEB"/>
              <w:right w:val="single" w:sz="8" w:color="007CBA"/>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100" w:type="dxa"/>
            <w:vAlign w:val="bottom"/>
            <w:tcBorders>
              <w:bottom w:val="single" w:sz="8" w:color="DEEAEB"/>
            </w:tcBorders>
            <w:shd w:val="clear" w:color="auto" w:fill="DEEAEB"/>
          </w:tcPr>
          <w:p>
            <w:pPr>
              <w:spacing w:after="0"/>
              <w:rPr>
                <w:sz w:val="18"/>
                <w:szCs w:val="18"/>
                <w:color w:val="auto"/>
              </w:rPr>
            </w:pPr>
          </w:p>
        </w:tc>
        <w:tc>
          <w:tcPr>
            <w:tcW w:w="6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43.0</w:t>
            </w:r>
          </w:p>
        </w:tc>
        <w:tc>
          <w:tcPr>
            <w:tcW w:w="120" w:type="dxa"/>
            <w:vAlign w:val="bottom"/>
            <w:tcBorders>
              <w:bottom w:val="single" w:sz="8" w:color="DEEAEB"/>
              <w:right w:val="single" w:sz="8" w:color="007CBA"/>
            </w:tcBorders>
            <w:shd w:val="clear" w:color="auto" w:fill="DEEAEB"/>
          </w:tcPr>
          <w:p>
            <w:pPr>
              <w:spacing w:after="0"/>
              <w:rPr>
                <w:sz w:val="18"/>
                <w:szCs w:val="18"/>
                <w:color w:val="auto"/>
              </w:rPr>
            </w:pPr>
          </w:p>
        </w:tc>
        <w:tc>
          <w:tcPr>
            <w:tcW w:w="100" w:type="dxa"/>
            <w:vAlign w:val="bottom"/>
            <w:tcBorders>
              <w:bottom w:val="single" w:sz="8" w:color="DEEAEB"/>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6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007CBA"/>
            </w:tcBorders>
            <w:shd w:val="clear" w:color="auto" w:fill="DEEAEB"/>
          </w:tcPr>
          <w:p>
            <w:pPr>
              <w:spacing w:after="0"/>
              <w:rPr>
                <w:sz w:val="18"/>
                <w:szCs w:val="18"/>
                <w:color w:val="auto"/>
              </w:rPr>
            </w:pPr>
          </w:p>
        </w:tc>
        <w:tc>
          <w:tcPr>
            <w:tcW w:w="100" w:type="dxa"/>
            <w:vAlign w:val="bottom"/>
            <w:tcBorders>
              <w:bottom w:val="single" w:sz="8" w:color="DEEAEB"/>
            </w:tcBorders>
            <w:shd w:val="clear" w:color="auto" w:fill="DEEAEB"/>
          </w:tcPr>
          <w:p>
            <w:pPr>
              <w:spacing w:after="0"/>
              <w:rPr>
                <w:sz w:val="18"/>
                <w:szCs w:val="18"/>
                <w:color w:val="auto"/>
              </w:rPr>
            </w:pPr>
          </w:p>
        </w:tc>
        <w:tc>
          <w:tcPr>
            <w:tcW w:w="10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43.0</w:t>
            </w:r>
          </w:p>
        </w:tc>
        <w:tc>
          <w:tcPr>
            <w:tcW w:w="100" w:type="dxa"/>
            <w:vAlign w:val="bottom"/>
            <w:tcBorders>
              <w:bottom w:val="single" w:sz="8" w:color="DEEAEB"/>
              <w:right w:val="single" w:sz="8" w:color="DEEAEB"/>
            </w:tcBorders>
            <w:shd w:val="clear" w:color="auto" w:fill="DEEAEB"/>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60" w:type="dxa"/>
            <w:vAlign w:val="bottom"/>
          </w:tcPr>
          <w:p>
            <w:pPr>
              <w:ind w:left="160"/>
              <w:spacing w:after="0" w:line="169" w:lineRule="exact"/>
              <w:rPr>
                <w:sz w:val="20"/>
                <w:szCs w:val="20"/>
                <w:color w:val="auto"/>
              </w:rPr>
            </w:pPr>
            <w:r>
              <w:rPr>
                <w:rFonts w:ascii="Calibri" w:cs="Calibri" w:eastAsia="Calibri" w:hAnsi="Calibri"/>
                <w:sz w:val="14"/>
                <w:szCs w:val="14"/>
                <w:color w:val="auto"/>
              </w:rPr>
              <w:t>Distributon to owners of noncontrolling</w:t>
            </w:r>
          </w:p>
        </w:tc>
        <w:tc>
          <w:tcPr>
            <w:tcW w:w="100" w:type="dxa"/>
            <w:vAlign w:val="bottom"/>
            <w:shd w:val="clear" w:color="auto" w:fill="DEEAEB"/>
          </w:tcPr>
          <w:p>
            <w:pPr>
              <w:spacing w:after="0"/>
              <w:rPr>
                <w:sz w:val="14"/>
                <w:szCs w:val="14"/>
                <w:color w:val="auto"/>
              </w:rPr>
            </w:pPr>
          </w:p>
        </w:tc>
        <w:tc>
          <w:tcPr>
            <w:tcW w:w="620" w:type="dxa"/>
            <w:vAlign w:val="bottom"/>
            <w:shd w:val="clear" w:color="auto" w:fill="DEEAEB"/>
          </w:tcPr>
          <w:p>
            <w:pPr>
              <w:spacing w:after="0"/>
              <w:rPr>
                <w:sz w:val="14"/>
                <w:szCs w:val="14"/>
                <w:color w:val="auto"/>
              </w:rPr>
            </w:pPr>
          </w:p>
        </w:tc>
        <w:tc>
          <w:tcPr>
            <w:tcW w:w="120" w:type="dxa"/>
            <w:vAlign w:val="bottom"/>
            <w:tcBorders>
              <w:right w:val="single" w:sz="8" w:color="DEEAEB"/>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20" w:type="dxa"/>
            <w:vAlign w:val="bottom"/>
            <w:tcBorders>
              <w:right w:val="single" w:sz="8" w:color="DEEAEB"/>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0" w:type="dxa"/>
            <w:vAlign w:val="bottom"/>
            <w:shd w:val="clear" w:color="auto" w:fill="DEEAEB"/>
          </w:tcPr>
          <w:p>
            <w:pPr>
              <w:spacing w:after="0"/>
              <w:rPr>
                <w:sz w:val="14"/>
                <w:szCs w:val="14"/>
                <w:color w:val="auto"/>
              </w:rPr>
            </w:pPr>
          </w:p>
        </w:tc>
        <w:tc>
          <w:tcPr>
            <w:tcW w:w="4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40" w:type="dxa"/>
            <w:vAlign w:val="bottom"/>
            <w:tcBorders>
              <w:right w:val="single" w:sz="8" w:color="DEEAEB"/>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800" w:type="dxa"/>
            <w:vAlign w:val="bottom"/>
            <w:shd w:val="clear" w:color="auto" w:fill="DEEAEB"/>
          </w:tcPr>
          <w:p>
            <w:pPr>
              <w:spacing w:after="0"/>
              <w:rPr>
                <w:sz w:val="14"/>
                <w:szCs w:val="14"/>
                <w:color w:val="auto"/>
              </w:rPr>
            </w:pPr>
          </w:p>
        </w:tc>
        <w:tc>
          <w:tcPr>
            <w:tcW w:w="120" w:type="dxa"/>
            <w:vAlign w:val="bottom"/>
            <w:tcBorders>
              <w:right w:val="single" w:sz="8" w:color="DEEAEB"/>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00" w:type="dxa"/>
            <w:vAlign w:val="bottom"/>
            <w:tcBorders>
              <w:right w:val="single" w:sz="8" w:color="DEEAEB"/>
            </w:tcBorders>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680" w:type="dxa"/>
            <w:vAlign w:val="bottom"/>
            <w:shd w:val="clear" w:color="auto" w:fill="DEEAEB"/>
          </w:tcPr>
          <w:p>
            <w:pPr>
              <w:spacing w:after="0"/>
              <w:rPr>
                <w:sz w:val="14"/>
                <w:szCs w:val="14"/>
                <w:color w:val="auto"/>
              </w:rPr>
            </w:pPr>
          </w:p>
        </w:tc>
        <w:tc>
          <w:tcPr>
            <w:tcW w:w="120" w:type="dxa"/>
            <w:vAlign w:val="bottom"/>
            <w:tcBorders>
              <w:right w:val="single" w:sz="8" w:color="DEEAEB"/>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20" w:type="dxa"/>
            <w:vAlign w:val="bottom"/>
            <w:shd w:val="clear" w:color="auto" w:fill="DEEAEB"/>
          </w:tcPr>
          <w:p>
            <w:pPr>
              <w:spacing w:after="0"/>
              <w:rPr>
                <w:sz w:val="14"/>
                <w:szCs w:val="14"/>
                <w:color w:val="auto"/>
              </w:rPr>
            </w:pPr>
          </w:p>
        </w:tc>
        <w:tc>
          <w:tcPr>
            <w:tcW w:w="680" w:type="dxa"/>
            <w:vAlign w:val="bottom"/>
            <w:shd w:val="clear" w:color="auto" w:fill="DEEAEB"/>
          </w:tcPr>
          <w:p>
            <w:pPr>
              <w:spacing w:after="0"/>
              <w:rPr>
                <w:sz w:val="14"/>
                <w:szCs w:val="14"/>
                <w:color w:val="auto"/>
              </w:rPr>
            </w:pPr>
          </w:p>
        </w:tc>
        <w:tc>
          <w:tcPr>
            <w:tcW w:w="120" w:type="dxa"/>
            <w:vAlign w:val="bottom"/>
            <w:tcBorders>
              <w:right w:val="single" w:sz="8" w:color="DEEAEB"/>
            </w:tcBorders>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100" w:type="dxa"/>
            <w:vAlign w:val="bottom"/>
            <w:shd w:val="clear" w:color="auto" w:fill="DEEAEB"/>
          </w:tcPr>
          <w:p>
            <w:pPr>
              <w:spacing w:after="0"/>
              <w:rPr>
                <w:sz w:val="14"/>
                <w:szCs w:val="14"/>
                <w:color w:val="auto"/>
              </w:rPr>
            </w:pPr>
          </w:p>
        </w:tc>
        <w:tc>
          <w:tcPr>
            <w:tcW w:w="700" w:type="dxa"/>
            <w:vAlign w:val="bottom"/>
            <w:shd w:val="clear" w:color="auto" w:fill="DEEAEB"/>
          </w:tcPr>
          <w:p>
            <w:pPr>
              <w:spacing w:after="0"/>
              <w:rPr>
                <w:sz w:val="14"/>
                <w:szCs w:val="14"/>
                <w:color w:val="auto"/>
              </w:rPr>
            </w:pPr>
          </w:p>
        </w:tc>
        <w:tc>
          <w:tcPr>
            <w:tcW w:w="100" w:type="dxa"/>
            <w:vAlign w:val="bottom"/>
            <w:tcBorders>
              <w:right w:val="single" w:sz="8" w:color="DEEAEB"/>
            </w:tcBorders>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60" w:type="dxa"/>
            <w:vAlign w:val="bottom"/>
          </w:tcPr>
          <w:p>
            <w:pPr>
              <w:ind w:left="160"/>
              <w:spacing w:after="0"/>
              <w:rPr>
                <w:sz w:val="20"/>
                <w:szCs w:val="20"/>
                <w:color w:val="auto"/>
              </w:rPr>
            </w:pPr>
            <w:r>
              <w:rPr>
                <w:rFonts w:ascii="Calibri" w:cs="Calibri" w:eastAsia="Calibri" w:hAnsi="Calibri"/>
                <w:sz w:val="14"/>
                <w:szCs w:val="14"/>
                <w:color w:val="auto"/>
              </w:rPr>
              <w:t>interest</w:t>
            </w:r>
          </w:p>
        </w:tc>
        <w:tc>
          <w:tcPr>
            <w:tcW w:w="100" w:type="dxa"/>
            <w:vAlign w:val="bottom"/>
            <w:tcBorders>
              <w:bottom w:val="single" w:sz="8" w:color="DEEAEB"/>
            </w:tcBorders>
            <w:shd w:val="clear" w:color="auto" w:fill="DEEAEB"/>
          </w:tcPr>
          <w:p>
            <w:pPr>
              <w:spacing w:after="0"/>
              <w:rPr>
                <w:sz w:val="18"/>
                <w:szCs w:val="18"/>
                <w:color w:val="auto"/>
              </w:rPr>
            </w:pPr>
          </w:p>
        </w:tc>
        <w:tc>
          <w:tcPr>
            <w:tcW w:w="62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DEEAEB"/>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DEEAEB"/>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80" w:type="dxa"/>
            <w:vAlign w:val="bottom"/>
            <w:tcBorders>
              <w:bottom w:val="single" w:sz="8" w:color="DEEAEB"/>
            </w:tcBorders>
            <w:shd w:val="clear" w:color="auto" w:fill="DEEAEB"/>
          </w:tcPr>
          <w:p>
            <w:pPr>
              <w:spacing w:after="0"/>
              <w:rPr>
                <w:sz w:val="18"/>
                <w:szCs w:val="18"/>
                <w:color w:val="auto"/>
              </w:rPr>
            </w:pPr>
          </w:p>
        </w:tc>
        <w:tc>
          <w:tcPr>
            <w:tcW w:w="4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DEEAEB"/>
              <w:right w:val="single" w:sz="8" w:color="DEEAEB"/>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8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DEEAEB"/>
            </w:tcBorders>
            <w:shd w:val="clear" w:color="auto" w:fill="DEEAEB"/>
          </w:tcPr>
          <w:p>
            <w:pPr>
              <w:spacing w:after="0"/>
              <w:rPr>
                <w:sz w:val="18"/>
                <w:szCs w:val="18"/>
                <w:color w:val="auto"/>
              </w:rPr>
            </w:pPr>
          </w:p>
        </w:tc>
        <w:tc>
          <w:tcPr>
            <w:tcW w:w="100" w:type="dxa"/>
            <w:vAlign w:val="bottom"/>
            <w:tcBorders>
              <w:bottom w:val="single" w:sz="8" w:color="DEEAEB"/>
            </w:tcBorders>
            <w:shd w:val="clear" w:color="auto" w:fill="DEEAEB"/>
          </w:tcPr>
          <w:p>
            <w:pPr>
              <w:spacing w:after="0"/>
              <w:rPr>
                <w:sz w:val="18"/>
                <w:szCs w:val="18"/>
                <w:color w:val="auto"/>
              </w:rPr>
            </w:pPr>
          </w:p>
        </w:tc>
        <w:tc>
          <w:tcPr>
            <w:tcW w:w="10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bottom w:val="single" w:sz="8" w:color="DEEAEB"/>
              <w:right w:val="single" w:sz="8" w:color="DEEAEB"/>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100" w:type="dxa"/>
            <w:vAlign w:val="bottom"/>
            <w:tcBorders>
              <w:bottom w:val="single" w:sz="8" w:color="DEEAEB"/>
            </w:tcBorders>
            <w:shd w:val="clear" w:color="auto" w:fill="DEEAEB"/>
          </w:tcPr>
          <w:p>
            <w:pPr>
              <w:spacing w:after="0"/>
              <w:rPr>
                <w:sz w:val="18"/>
                <w:szCs w:val="18"/>
                <w:color w:val="auto"/>
              </w:rPr>
            </w:pPr>
          </w:p>
        </w:tc>
        <w:tc>
          <w:tcPr>
            <w:tcW w:w="6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DEEAEB"/>
            </w:tcBorders>
            <w:shd w:val="clear" w:color="auto" w:fill="DEEAEB"/>
          </w:tcPr>
          <w:p>
            <w:pPr>
              <w:spacing w:after="0"/>
              <w:rPr>
                <w:sz w:val="18"/>
                <w:szCs w:val="18"/>
                <w:color w:val="auto"/>
              </w:rPr>
            </w:pPr>
          </w:p>
        </w:tc>
        <w:tc>
          <w:tcPr>
            <w:tcW w:w="100" w:type="dxa"/>
            <w:vAlign w:val="bottom"/>
            <w:tcBorders>
              <w:bottom w:val="single" w:sz="8" w:color="DEEAEB"/>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6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(0.6</w:t>
            </w:r>
          </w:p>
        </w:tc>
        <w:tc>
          <w:tcPr>
            <w:tcW w:w="120" w:type="dxa"/>
            <w:vAlign w:val="bottom"/>
            <w:tcBorders>
              <w:bottom w:val="single" w:sz="8" w:color="DEEAEB"/>
              <w:right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tcBorders>
              <w:bottom w:val="single" w:sz="8" w:color="DEEAEB"/>
            </w:tcBorders>
            <w:shd w:val="clear" w:color="auto" w:fill="DEEAEB"/>
          </w:tcPr>
          <w:p>
            <w:pPr>
              <w:spacing w:after="0"/>
              <w:rPr>
                <w:sz w:val="18"/>
                <w:szCs w:val="18"/>
                <w:color w:val="auto"/>
              </w:rPr>
            </w:pPr>
          </w:p>
        </w:tc>
        <w:tc>
          <w:tcPr>
            <w:tcW w:w="10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(0.6</w:t>
            </w:r>
          </w:p>
        </w:tc>
        <w:tc>
          <w:tcPr>
            <w:tcW w:w="100" w:type="dxa"/>
            <w:vAlign w:val="bottom"/>
            <w:tcBorders>
              <w:bottom w:val="single" w:sz="8" w:color="DEEAEB"/>
              <w:right w:val="single" w:sz="8" w:color="DEEAEB"/>
            </w:tcBorders>
            <w:shd w:val="clear" w:color="auto" w:fill="DEEAEB"/>
          </w:tcPr>
          <w:p>
            <w:pPr>
              <w:jc w:val="right"/>
              <w:ind w:right="2"/>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163"/>
        </w:trPr>
        <w:tc>
          <w:tcPr>
            <w:tcW w:w="3060" w:type="dxa"/>
            <w:vAlign w:val="bottom"/>
            <w:tcBorders>
              <w:top w:val="single" w:sz="8" w:color="auto"/>
              <w:right w:val="single" w:sz="8" w:color="007CBA"/>
            </w:tcBorders>
            <w:vMerge w:val="restart"/>
          </w:tcPr>
          <w:p>
            <w:pPr>
              <w:ind w:left="20"/>
              <w:spacing w:after="0"/>
              <w:rPr>
                <w:sz w:val="20"/>
                <w:szCs w:val="20"/>
                <w:color w:val="auto"/>
              </w:rPr>
            </w:pPr>
            <w:r>
              <w:rPr>
                <w:rFonts w:ascii="Calibri" w:cs="Calibri" w:eastAsia="Calibri" w:hAnsi="Calibri"/>
                <w:sz w:val="14"/>
                <w:szCs w:val="14"/>
                <w:color w:val="auto"/>
              </w:rPr>
              <w:t>Balance at December 31, 2021</w:t>
            </w:r>
          </w:p>
        </w:tc>
        <w:tc>
          <w:tcPr>
            <w:tcW w:w="100" w:type="dxa"/>
            <w:vAlign w:val="bottom"/>
            <w:tcBorders>
              <w:top w:val="single" w:sz="8" w:color="auto"/>
            </w:tcBorders>
            <w:shd w:val="clear" w:color="auto" w:fill="DEEAEB"/>
          </w:tcPr>
          <w:p>
            <w:pPr>
              <w:spacing w:after="0"/>
              <w:rPr>
                <w:sz w:val="14"/>
                <w:szCs w:val="14"/>
                <w:color w:val="auto"/>
              </w:rPr>
            </w:pPr>
          </w:p>
        </w:tc>
        <w:tc>
          <w:tcPr>
            <w:tcW w:w="620" w:type="dxa"/>
            <w:vAlign w:val="bottom"/>
            <w:tcBorders>
              <w:top w:val="single" w:sz="8" w:color="auto"/>
            </w:tcBorders>
            <w:shd w:val="clear" w:color="auto" w:fill="DEEAEB"/>
          </w:tcPr>
          <w:p>
            <w:pPr>
              <w:jc w:val="right"/>
              <w:spacing w:after="0" w:line="164" w:lineRule="exact"/>
              <w:rPr>
                <w:sz w:val="20"/>
                <w:szCs w:val="20"/>
                <w:color w:val="auto"/>
              </w:rPr>
            </w:pPr>
            <w:r>
              <w:rPr>
                <w:rFonts w:ascii="Calibri" w:cs="Calibri" w:eastAsia="Calibri" w:hAnsi="Calibri"/>
                <w:sz w:val="14"/>
                <w:szCs w:val="14"/>
                <w:color w:val="auto"/>
              </w:rPr>
              <w:t>62,393,9</w:t>
            </w:r>
          </w:p>
        </w:tc>
        <w:tc>
          <w:tcPr>
            <w:tcW w:w="120" w:type="dxa"/>
            <w:vAlign w:val="bottom"/>
            <w:tcBorders>
              <w:top w:val="single" w:sz="8" w:color="auto"/>
              <w:right w:val="single" w:sz="8" w:color="007CBA"/>
            </w:tcBorders>
            <w:shd w:val="clear" w:color="auto" w:fill="DEEAEB"/>
          </w:tcPr>
          <w:p>
            <w:pPr>
              <w:spacing w:after="0"/>
              <w:rPr>
                <w:sz w:val="14"/>
                <w:szCs w:val="14"/>
                <w:color w:val="auto"/>
              </w:rPr>
            </w:pPr>
          </w:p>
        </w:tc>
        <w:tc>
          <w:tcPr>
            <w:tcW w:w="120" w:type="dxa"/>
            <w:vAlign w:val="bottom"/>
            <w:tcBorders>
              <w:top w:val="single" w:sz="8" w:color="auto"/>
            </w:tcBorders>
            <w:shd w:val="clear" w:color="auto" w:fill="DEEAEB"/>
          </w:tcPr>
          <w:p>
            <w:pPr>
              <w:spacing w:after="0"/>
              <w:rPr>
                <w:sz w:val="14"/>
                <w:szCs w:val="14"/>
                <w:color w:val="auto"/>
              </w:rPr>
            </w:pPr>
          </w:p>
        </w:tc>
        <w:tc>
          <w:tcPr>
            <w:tcW w:w="120" w:type="dxa"/>
            <w:vAlign w:val="bottom"/>
            <w:tcBorders>
              <w:top w:val="single" w:sz="8" w:color="auto"/>
            </w:tcBorders>
            <w:shd w:val="clear" w:color="auto" w:fill="DEEAEB"/>
          </w:tcPr>
          <w:p>
            <w:pPr>
              <w:spacing w:after="0"/>
              <w:rPr>
                <w:sz w:val="14"/>
                <w:szCs w:val="14"/>
                <w:color w:val="auto"/>
              </w:rPr>
            </w:pPr>
          </w:p>
        </w:tc>
        <w:tc>
          <w:tcPr>
            <w:tcW w:w="700" w:type="dxa"/>
            <w:vAlign w:val="bottom"/>
            <w:tcBorders>
              <w:top w:val="single" w:sz="8" w:color="auto"/>
            </w:tcBorders>
            <w:shd w:val="clear" w:color="auto" w:fill="DEEAEB"/>
          </w:tcPr>
          <w:p>
            <w:pPr>
              <w:spacing w:after="0"/>
              <w:rPr>
                <w:sz w:val="14"/>
                <w:szCs w:val="14"/>
                <w:color w:val="auto"/>
              </w:rPr>
            </w:pPr>
          </w:p>
        </w:tc>
        <w:tc>
          <w:tcPr>
            <w:tcW w:w="120" w:type="dxa"/>
            <w:vAlign w:val="bottom"/>
            <w:tcBorders>
              <w:top w:val="single" w:sz="8" w:color="auto"/>
              <w:right w:val="single" w:sz="8" w:color="007CBA"/>
            </w:tcBorders>
            <w:shd w:val="clear" w:color="auto" w:fill="DEEAEB"/>
          </w:tcPr>
          <w:p>
            <w:pPr>
              <w:spacing w:after="0"/>
              <w:rPr>
                <w:sz w:val="14"/>
                <w:szCs w:val="14"/>
                <w:color w:val="auto"/>
              </w:rPr>
            </w:pPr>
          </w:p>
        </w:tc>
        <w:tc>
          <w:tcPr>
            <w:tcW w:w="120" w:type="dxa"/>
            <w:vAlign w:val="bottom"/>
            <w:tcBorders>
              <w:top w:val="single" w:sz="8" w:color="auto"/>
            </w:tcBorders>
            <w:shd w:val="clear" w:color="auto" w:fill="DEEAEB"/>
          </w:tcPr>
          <w:p>
            <w:pPr>
              <w:spacing w:after="0"/>
              <w:rPr>
                <w:sz w:val="14"/>
                <w:szCs w:val="14"/>
                <w:color w:val="auto"/>
              </w:rPr>
            </w:pPr>
          </w:p>
        </w:tc>
        <w:tc>
          <w:tcPr>
            <w:tcW w:w="80" w:type="dxa"/>
            <w:vAlign w:val="bottom"/>
            <w:tcBorders>
              <w:top w:val="single" w:sz="8" w:color="auto"/>
            </w:tcBorders>
            <w:shd w:val="clear" w:color="auto" w:fill="DEEAEB"/>
          </w:tcPr>
          <w:p>
            <w:pPr>
              <w:spacing w:after="0"/>
              <w:rPr>
                <w:sz w:val="14"/>
                <w:szCs w:val="14"/>
                <w:color w:val="auto"/>
              </w:rPr>
            </w:pPr>
          </w:p>
        </w:tc>
        <w:tc>
          <w:tcPr>
            <w:tcW w:w="40" w:type="dxa"/>
            <w:vAlign w:val="bottom"/>
            <w:tcBorders>
              <w:top w:val="single" w:sz="8" w:color="auto"/>
            </w:tcBorders>
            <w:shd w:val="clear" w:color="auto" w:fill="DEEAEB"/>
          </w:tcPr>
          <w:p>
            <w:pPr>
              <w:spacing w:after="0"/>
              <w:rPr>
                <w:sz w:val="14"/>
                <w:szCs w:val="14"/>
                <w:color w:val="auto"/>
              </w:rPr>
            </w:pPr>
          </w:p>
        </w:tc>
        <w:tc>
          <w:tcPr>
            <w:tcW w:w="700" w:type="dxa"/>
            <w:vAlign w:val="bottom"/>
            <w:tcBorders>
              <w:top w:val="single" w:sz="8" w:color="auto"/>
            </w:tcBorders>
            <w:shd w:val="clear" w:color="auto" w:fill="DEEAEB"/>
          </w:tcPr>
          <w:p>
            <w:pPr>
              <w:spacing w:after="0"/>
              <w:rPr>
                <w:sz w:val="14"/>
                <w:szCs w:val="14"/>
                <w:color w:val="auto"/>
              </w:rPr>
            </w:pPr>
          </w:p>
        </w:tc>
        <w:tc>
          <w:tcPr>
            <w:tcW w:w="140" w:type="dxa"/>
            <w:vAlign w:val="bottom"/>
            <w:tcBorders>
              <w:top w:val="single" w:sz="8" w:color="auto"/>
              <w:right w:val="single" w:sz="8" w:color="007CBA"/>
            </w:tcBorders>
            <w:shd w:val="clear" w:color="auto" w:fill="DEEAEB"/>
          </w:tcPr>
          <w:p>
            <w:pPr>
              <w:spacing w:after="0"/>
              <w:rPr>
                <w:sz w:val="14"/>
                <w:szCs w:val="14"/>
                <w:color w:val="auto"/>
              </w:rPr>
            </w:pPr>
          </w:p>
        </w:tc>
        <w:tc>
          <w:tcPr>
            <w:tcW w:w="120" w:type="dxa"/>
            <w:vAlign w:val="bottom"/>
            <w:tcBorders>
              <w:top w:val="single" w:sz="8" w:color="auto"/>
            </w:tcBorders>
            <w:shd w:val="clear" w:color="auto" w:fill="DEEAEB"/>
          </w:tcPr>
          <w:p>
            <w:pPr>
              <w:spacing w:after="0"/>
              <w:rPr>
                <w:sz w:val="14"/>
                <w:szCs w:val="14"/>
                <w:color w:val="auto"/>
              </w:rPr>
            </w:pPr>
          </w:p>
        </w:tc>
        <w:tc>
          <w:tcPr>
            <w:tcW w:w="120" w:type="dxa"/>
            <w:vAlign w:val="bottom"/>
            <w:tcBorders>
              <w:top w:val="single" w:sz="8" w:color="auto"/>
            </w:tcBorders>
            <w:shd w:val="clear" w:color="auto" w:fill="DEEAEB"/>
          </w:tcPr>
          <w:p>
            <w:pPr>
              <w:spacing w:after="0"/>
              <w:rPr>
                <w:sz w:val="14"/>
                <w:szCs w:val="14"/>
                <w:color w:val="auto"/>
              </w:rPr>
            </w:pPr>
          </w:p>
        </w:tc>
        <w:tc>
          <w:tcPr>
            <w:tcW w:w="800" w:type="dxa"/>
            <w:vAlign w:val="bottom"/>
            <w:tcBorders>
              <w:top w:val="single" w:sz="8" w:color="auto"/>
            </w:tcBorders>
            <w:shd w:val="clear" w:color="auto" w:fill="DEEAEB"/>
          </w:tcPr>
          <w:p>
            <w:pPr>
              <w:spacing w:after="0"/>
              <w:rPr>
                <w:sz w:val="14"/>
                <w:szCs w:val="14"/>
                <w:color w:val="auto"/>
              </w:rPr>
            </w:pPr>
          </w:p>
        </w:tc>
        <w:tc>
          <w:tcPr>
            <w:tcW w:w="120" w:type="dxa"/>
            <w:vAlign w:val="bottom"/>
            <w:tcBorders>
              <w:top w:val="single" w:sz="8" w:color="auto"/>
              <w:right w:val="single" w:sz="8" w:color="007CBA"/>
            </w:tcBorders>
            <w:shd w:val="clear" w:color="auto" w:fill="DEEAEB"/>
          </w:tcPr>
          <w:p>
            <w:pPr>
              <w:spacing w:after="0"/>
              <w:rPr>
                <w:sz w:val="14"/>
                <w:szCs w:val="14"/>
                <w:color w:val="auto"/>
              </w:rPr>
            </w:pPr>
          </w:p>
        </w:tc>
        <w:tc>
          <w:tcPr>
            <w:tcW w:w="100" w:type="dxa"/>
            <w:vAlign w:val="bottom"/>
            <w:tcBorders>
              <w:top w:val="single" w:sz="8" w:color="auto"/>
            </w:tcBorders>
            <w:shd w:val="clear" w:color="auto" w:fill="DEEAEB"/>
          </w:tcPr>
          <w:p>
            <w:pPr>
              <w:spacing w:after="0"/>
              <w:rPr>
                <w:sz w:val="14"/>
                <w:szCs w:val="14"/>
                <w:color w:val="auto"/>
              </w:rPr>
            </w:pPr>
          </w:p>
        </w:tc>
        <w:tc>
          <w:tcPr>
            <w:tcW w:w="100" w:type="dxa"/>
            <w:vAlign w:val="bottom"/>
            <w:tcBorders>
              <w:top w:val="single" w:sz="8" w:color="auto"/>
            </w:tcBorders>
            <w:shd w:val="clear" w:color="auto" w:fill="DEEAEB"/>
          </w:tcPr>
          <w:p>
            <w:pPr>
              <w:spacing w:after="0"/>
              <w:rPr>
                <w:sz w:val="14"/>
                <w:szCs w:val="14"/>
                <w:color w:val="auto"/>
              </w:rPr>
            </w:pPr>
          </w:p>
        </w:tc>
        <w:tc>
          <w:tcPr>
            <w:tcW w:w="700" w:type="dxa"/>
            <w:vAlign w:val="bottom"/>
            <w:tcBorders>
              <w:top w:val="single" w:sz="8" w:color="auto"/>
            </w:tcBorders>
            <w:shd w:val="clear" w:color="auto" w:fill="DEEAEB"/>
          </w:tcPr>
          <w:p>
            <w:pPr>
              <w:spacing w:after="0"/>
              <w:rPr>
                <w:sz w:val="14"/>
                <w:szCs w:val="14"/>
                <w:color w:val="auto"/>
              </w:rPr>
            </w:pPr>
          </w:p>
        </w:tc>
        <w:tc>
          <w:tcPr>
            <w:tcW w:w="100" w:type="dxa"/>
            <w:vAlign w:val="bottom"/>
            <w:tcBorders>
              <w:top w:val="single" w:sz="8" w:color="auto"/>
              <w:right w:val="single" w:sz="8" w:color="007CBA"/>
            </w:tcBorders>
            <w:shd w:val="clear" w:color="auto" w:fill="DEEAEB"/>
          </w:tcPr>
          <w:p>
            <w:pPr>
              <w:spacing w:after="0"/>
              <w:rPr>
                <w:sz w:val="14"/>
                <w:szCs w:val="14"/>
                <w:color w:val="auto"/>
              </w:rPr>
            </w:pPr>
          </w:p>
        </w:tc>
        <w:tc>
          <w:tcPr>
            <w:tcW w:w="120" w:type="dxa"/>
            <w:vAlign w:val="bottom"/>
            <w:tcBorders>
              <w:top w:val="single" w:sz="8" w:color="auto"/>
            </w:tcBorders>
            <w:shd w:val="clear" w:color="auto" w:fill="DEEAEB"/>
          </w:tcPr>
          <w:p>
            <w:pPr>
              <w:spacing w:after="0"/>
              <w:rPr>
                <w:sz w:val="14"/>
                <w:szCs w:val="14"/>
                <w:color w:val="auto"/>
              </w:rPr>
            </w:pPr>
          </w:p>
        </w:tc>
        <w:tc>
          <w:tcPr>
            <w:tcW w:w="100" w:type="dxa"/>
            <w:vAlign w:val="bottom"/>
            <w:tcBorders>
              <w:top w:val="single" w:sz="8" w:color="auto"/>
            </w:tcBorders>
            <w:shd w:val="clear" w:color="auto" w:fill="DEEAEB"/>
          </w:tcPr>
          <w:p>
            <w:pPr>
              <w:spacing w:after="0"/>
              <w:rPr>
                <w:sz w:val="14"/>
                <w:szCs w:val="14"/>
                <w:color w:val="auto"/>
              </w:rPr>
            </w:pPr>
          </w:p>
        </w:tc>
        <w:tc>
          <w:tcPr>
            <w:tcW w:w="680" w:type="dxa"/>
            <w:vAlign w:val="bottom"/>
            <w:tcBorders>
              <w:top w:val="single" w:sz="8" w:color="auto"/>
            </w:tcBorders>
            <w:shd w:val="clear" w:color="auto" w:fill="DEEAEB"/>
          </w:tcPr>
          <w:p>
            <w:pPr>
              <w:spacing w:after="0"/>
              <w:rPr>
                <w:sz w:val="14"/>
                <w:szCs w:val="14"/>
                <w:color w:val="auto"/>
              </w:rPr>
            </w:pPr>
          </w:p>
        </w:tc>
        <w:tc>
          <w:tcPr>
            <w:tcW w:w="120" w:type="dxa"/>
            <w:vAlign w:val="bottom"/>
            <w:tcBorders>
              <w:top w:val="single" w:sz="8" w:color="auto"/>
              <w:right w:val="single" w:sz="8" w:color="007CBA"/>
            </w:tcBorders>
            <w:shd w:val="clear" w:color="auto" w:fill="DEEAEB"/>
          </w:tcPr>
          <w:p>
            <w:pPr>
              <w:spacing w:after="0"/>
              <w:rPr>
                <w:sz w:val="14"/>
                <w:szCs w:val="14"/>
                <w:color w:val="auto"/>
              </w:rPr>
            </w:pPr>
          </w:p>
        </w:tc>
        <w:tc>
          <w:tcPr>
            <w:tcW w:w="100" w:type="dxa"/>
            <w:vAlign w:val="bottom"/>
            <w:tcBorders>
              <w:top w:val="single" w:sz="8" w:color="auto"/>
            </w:tcBorders>
            <w:shd w:val="clear" w:color="auto" w:fill="DEEAEB"/>
          </w:tcPr>
          <w:p>
            <w:pPr>
              <w:spacing w:after="0"/>
              <w:rPr>
                <w:sz w:val="14"/>
                <w:szCs w:val="14"/>
                <w:color w:val="auto"/>
              </w:rPr>
            </w:pPr>
          </w:p>
        </w:tc>
        <w:tc>
          <w:tcPr>
            <w:tcW w:w="120" w:type="dxa"/>
            <w:vAlign w:val="bottom"/>
            <w:tcBorders>
              <w:top w:val="single" w:sz="8" w:color="auto"/>
            </w:tcBorders>
            <w:shd w:val="clear" w:color="auto" w:fill="DEEAEB"/>
          </w:tcPr>
          <w:p>
            <w:pPr>
              <w:spacing w:after="0"/>
              <w:rPr>
                <w:sz w:val="14"/>
                <w:szCs w:val="14"/>
                <w:color w:val="auto"/>
              </w:rPr>
            </w:pPr>
          </w:p>
        </w:tc>
        <w:tc>
          <w:tcPr>
            <w:tcW w:w="680" w:type="dxa"/>
            <w:vAlign w:val="bottom"/>
            <w:tcBorders>
              <w:top w:val="single" w:sz="8" w:color="auto"/>
            </w:tcBorders>
            <w:shd w:val="clear" w:color="auto" w:fill="DEEAEB"/>
          </w:tcPr>
          <w:p>
            <w:pPr>
              <w:spacing w:after="0"/>
              <w:rPr>
                <w:sz w:val="14"/>
                <w:szCs w:val="14"/>
                <w:color w:val="auto"/>
              </w:rPr>
            </w:pPr>
          </w:p>
        </w:tc>
        <w:tc>
          <w:tcPr>
            <w:tcW w:w="120" w:type="dxa"/>
            <w:vAlign w:val="bottom"/>
            <w:tcBorders>
              <w:top w:val="single" w:sz="8" w:color="auto"/>
              <w:right w:val="single" w:sz="8" w:color="007CBA"/>
            </w:tcBorders>
            <w:shd w:val="clear" w:color="auto" w:fill="DEEAEB"/>
          </w:tcPr>
          <w:p>
            <w:pPr>
              <w:spacing w:after="0"/>
              <w:rPr>
                <w:sz w:val="14"/>
                <w:szCs w:val="14"/>
                <w:color w:val="auto"/>
              </w:rPr>
            </w:pPr>
          </w:p>
        </w:tc>
        <w:tc>
          <w:tcPr>
            <w:tcW w:w="100" w:type="dxa"/>
            <w:vAlign w:val="bottom"/>
            <w:tcBorders>
              <w:top w:val="single" w:sz="8" w:color="auto"/>
            </w:tcBorders>
            <w:shd w:val="clear" w:color="auto" w:fill="DEEAEB"/>
          </w:tcPr>
          <w:p>
            <w:pPr>
              <w:spacing w:after="0"/>
              <w:rPr>
                <w:sz w:val="14"/>
                <w:szCs w:val="14"/>
                <w:color w:val="auto"/>
              </w:rPr>
            </w:pPr>
          </w:p>
        </w:tc>
        <w:tc>
          <w:tcPr>
            <w:tcW w:w="100" w:type="dxa"/>
            <w:vAlign w:val="bottom"/>
            <w:tcBorders>
              <w:top w:val="single" w:sz="8" w:color="auto"/>
            </w:tcBorders>
            <w:shd w:val="clear" w:color="auto" w:fill="DEEAEB"/>
          </w:tcPr>
          <w:p>
            <w:pPr>
              <w:spacing w:after="0"/>
              <w:rPr>
                <w:sz w:val="14"/>
                <w:szCs w:val="14"/>
                <w:color w:val="auto"/>
              </w:rPr>
            </w:pPr>
          </w:p>
        </w:tc>
        <w:tc>
          <w:tcPr>
            <w:tcW w:w="700" w:type="dxa"/>
            <w:vAlign w:val="bottom"/>
            <w:tcBorders>
              <w:top w:val="single" w:sz="8" w:color="auto"/>
            </w:tcBorders>
            <w:shd w:val="clear" w:color="auto" w:fill="DEEAEB"/>
          </w:tcPr>
          <w:p>
            <w:pPr>
              <w:spacing w:after="0"/>
              <w:rPr>
                <w:sz w:val="14"/>
                <w:szCs w:val="14"/>
                <w:color w:val="auto"/>
              </w:rPr>
            </w:pPr>
          </w:p>
        </w:tc>
        <w:tc>
          <w:tcPr>
            <w:tcW w:w="100" w:type="dxa"/>
            <w:vAlign w:val="bottom"/>
            <w:tcBorders>
              <w:top w:val="single" w:sz="8" w:color="auto"/>
              <w:right w:val="single" w:sz="8" w:color="DEEAEB"/>
            </w:tcBorders>
            <w:shd w:val="clear" w:color="auto" w:fill="DEEAEB"/>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060" w:type="dxa"/>
            <w:vAlign w:val="bottom"/>
            <w:tcBorders>
              <w:right w:val="single" w:sz="8" w:color="007CBA"/>
            </w:tcBorders>
            <w:vMerge w:val="continue"/>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62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90</w:t>
            </w:r>
          </w:p>
        </w:tc>
        <w:tc>
          <w:tcPr>
            <w:tcW w:w="120" w:type="dxa"/>
            <w:vAlign w:val="bottom"/>
            <w:tcBorders>
              <w:right w:val="single" w:sz="8" w:color="007CBA"/>
            </w:tcBorders>
            <w:shd w:val="clear" w:color="auto" w:fill="DEEAEB"/>
          </w:tcPr>
          <w:p>
            <w:pPr>
              <w:spacing w:after="0"/>
              <w:rPr>
                <w:sz w:val="6"/>
                <w:szCs w:val="6"/>
                <w:color w:val="auto"/>
              </w:rPr>
            </w:pPr>
          </w:p>
        </w:tc>
        <w:tc>
          <w:tcPr>
            <w:tcW w:w="120" w:type="dxa"/>
            <w:vAlign w:val="bottom"/>
            <w:shd w:val="clear" w:color="auto" w:fill="DEEAEB"/>
          </w:tcPr>
          <w:p>
            <w:pPr>
              <w:spacing w:after="0"/>
              <w:rPr>
                <w:sz w:val="6"/>
                <w:szCs w:val="6"/>
                <w:color w:val="auto"/>
              </w:rPr>
            </w:pPr>
          </w:p>
        </w:tc>
        <w:tc>
          <w:tcPr>
            <w:tcW w:w="120" w:type="dxa"/>
            <w:vAlign w:val="bottom"/>
            <w:shd w:val="clear" w:color="auto" w:fill="DEEAEB"/>
          </w:tcPr>
          <w:p>
            <w:pPr>
              <w:spacing w:after="0"/>
              <w:rPr>
                <w:sz w:val="6"/>
                <w:szCs w:val="6"/>
                <w:color w:val="auto"/>
              </w:rPr>
            </w:pPr>
          </w:p>
        </w:tc>
        <w:tc>
          <w:tcPr>
            <w:tcW w:w="7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0.6</w:t>
            </w:r>
          </w:p>
        </w:tc>
        <w:tc>
          <w:tcPr>
            <w:tcW w:w="120" w:type="dxa"/>
            <w:vAlign w:val="bottom"/>
            <w:tcBorders>
              <w:right w:val="single" w:sz="8" w:color="007CBA"/>
            </w:tcBorders>
            <w:shd w:val="clear" w:color="auto" w:fill="DEEAEB"/>
          </w:tcPr>
          <w:p>
            <w:pPr>
              <w:spacing w:after="0"/>
              <w:rPr>
                <w:sz w:val="6"/>
                <w:szCs w:val="6"/>
                <w:color w:val="auto"/>
              </w:rPr>
            </w:pPr>
          </w:p>
        </w:tc>
        <w:tc>
          <w:tcPr>
            <w:tcW w:w="120" w:type="dxa"/>
            <w:vAlign w:val="bottom"/>
            <w:shd w:val="clear" w:color="auto" w:fill="DEEAEB"/>
          </w:tcPr>
          <w:p>
            <w:pPr>
              <w:spacing w:after="0"/>
              <w:rPr>
                <w:sz w:val="6"/>
                <w:szCs w:val="6"/>
                <w:color w:val="auto"/>
              </w:rPr>
            </w:pPr>
          </w:p>
        </w:tc>
        <w:tc>
          <w:tcPr>
            <w:tcW w:w="80" w:type="dxa"/>
            <w:vAlign w:val="bottom"/>
            <w:shd w:val="clear" w:color="auto" w:fill="DEEAEB"/>
          </w:tcPr>
          <w:p>
            <w:pPr>
              <w:spacing w:after="0"/>
              <w:rPr>
                <w:sz w:val="6"/>
                <w:szCs w:val="6"/>
                <w:color w:val="auto"/>
              </w:rPr>
            </w:pPr>
          </w:p>
        </w:tc>
        <w:tc>
          <w:tcPr>
            <w:tcW w:w="740" w:type="dxa"/>
            <w:vAlign w:val="bottom"/>
            <w:gridSpan w:val="2"/>
            <w:vMerge w:val="restart"/>
            <w:shd w:val="clear" w:color="auto" w:fill="DEEAEB"/>
          </w:tcPr>
          <w:p>
            <w:pPr>
              <w:jc w:val="right"/>
              <w:spacing w:after="0"/>
              <w:rPr>
                <w:sz w:val="20"/>
                <w:szCs w:val="20"/>
                <w:color w:val="auto"/>
              </w:rPr>
            </w:pPr>
            <w:r>
              <w:rPr>
                <w:rFonts w:ascii="Calibri" w:cs="Calibri" w:eastAsia="Calibri" w:hAnsi="Calibri"/>
                <w:sz w:val="14"/>
                <w:szCs w:val="14"/>
                <w:color w:val="auto"/>
              </w:rPr>
              <w:t>3,470.4</w:t>
            </w:r>
          </w:p>
        </w:tc>
        <w:tc>
          <w:tcPr>
            <w:tcW w:w="140" w:type="dxa"/>
            <w:vAlign w:val="bottom"/>
            <w:tcBorders>
              <w:right w:val="single" w:sz="8" w:color="007CBA"/>
            </w:tcBorders>
            <w:shd w:val="clear" w:color="auto" w:fill="DEEAEB"/>
          </w:tcPr>
          <w:p>
            <w:pPr>
              <w:spacing w:after="0"/>
              <w:rPr>
                <w:sz w:val="6"/>
                <w:szCs w:val="6"/>
                <w:color w:val="auto"/>
              </w:rPr>
            </w:pPr>
          </w:p>
        </w:tc>
        <w:tc>
          <w:tcPr>
            <w:tcW w:w="120" w:type="dxa"/>
            <w:vAlign w:val="bottom"/>
            <w:shd w:val="clear" w:color="auto" w:fill="DEEAEB"/>
          </w:tcPr>
          <w:p>
            <w:pPr>
              <w:spacing w:after="0"/>
              <w:rPr>
                <w:sz w:val="6"/>
                <w:szCs w:val="6"/>
                <w:color w:val="auto"/>
              </w:rPr>
            </w:pPr>
          </w:p>
        </w:tc>
        <w:tc>
          <w:tcPr>
            <w:tcW w:w="120" w:type="dxa"/>
            <w:vAlign w:val="bottom"/>
            <w:shd w:val="clear" w:color="auto" w:fill="DEEAEB"/>
          </w:tcPr>
          <w:p>
            <w:pPr>
              <w:spacing w:after="0"/>
              <w:rPr>
                <w:sz w:val="6"/>
                <w:szCs w:val="6"/>
                <w:color w:val="auto"/>
              </w:rPr>
            </w:pPr>
          </w:p>
        </w:tc>
        <w:tc>
          <w:tcPr>
            <w:tcW w:w="920" w:type="dxa"/>
            <w:vAlign w:val="bottom"/>
            <w:tcBorders>
              <w:right w:val="single" w:sz="8" w:color="007CBA"/>
            </w:tcBorders>
            <w:gridSpan w:val="2"/>
            <w:vMerge w:val="restart"/>
            <w:shd w:val="clear" w:color="auto" w:fill="DEEAEB"/>
          </w:tcPr>
          <w:p>
            <w:pPr>
              <w:jc w:val="right"/>
              <w:spacing w:after="0"/>
              <w:rPr>
                <w:sz w:val="20"/>
                <w:szCs w:val="20"/>
                <w:color w:val="auto"/>
              </w:rPr>
            </w:pPr>
            <w:r>
              <w:rPr>
                <w:rFonts w:ascii="Calibri" w:cs="Calibri" w:eastAsia="Calibri" w:hAnsi="Calibri"/>
                <w:sz w:val="14"/>
                <w:szCs w:val="14"/>
                <w:color w:val="auto"/>
              </w:rPr>
              <w:t>(97.6 )</w:t>
            </w:r>
          </w:p>
        </w:tc>
        <w:tc>
          <w:tcPr>
            <w:tcW w:w="100" w:type="dxa"/>
            <w:vAlign w:val="bottom"/>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7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3,161.9</w:t>
            </w:r>
          </w:p>
        </w:tc>
        <w:tc>
          <w:tcPr>
            <w:tcW w:w="100" w:type="dxa"/>
            <w:vAlign w:val="bottom"/>
            <w:tcBorders>
              <w:right w:val="single" w:sz="8" w:color="007CBA"/>
            </w:tcBorders>
            <w:shd w:val="clear" w:color="auto" w:fill="DEEAEB"/>
          </w:tcPr>
          <w:p>
            <w:pPr>
              <w:spacing w:after="0"/>
              <w:rPr>
                <w:sz w:val="6"/>
                <w:szCs w:val="6"/>
                <w:color w:val="auto"/>
              </w:rPr>
            </w:pPr>
          </w:p>
        </w:tc>
        <w:tc>
          <w:tcPr>
            <w:tcW w:w="120" w:type="dxa"/>
            <w:vAlign w:val="bottom"/>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68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6,535.3</w:t>
            </w:r>
          </w:p>
        </w:tc>
        <w:tc>
          <w:tcPr>
            <w:tcW w:w="120" w:type="dxa"/>
            <w:vAlign w:val="bottom"/>
            <w:tcBorders>
              <w:right w:val="single" w:sz="8" w:color="007CBA"/>
            </w:tcBorders>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120" w:type="dxa"/>
            <w:vAlign w:val="bottom"/>
            <w:shd w:val="clear" w:color="auto" w:fill="DEEAEB"/>
          </w:tcPr>
          <w:p>
            <w:pPr>
              <w:spacing w:after="0"/>
              <w:rPr>
                <w:sz w:val="6"/>
                <w:szCs w:val="6"/>
                <w:color w:val="auto"/>
              </w:rPr>
            </w:pPr>
          </w:p>
        </w:tc>
        <w:tc>
          <w:tcPr>
            <w:tcW w:w="68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2.3</w:t>
            </w:r>
          </w:p>
        </w:tc>
        <w:tc>
          <w:tcPr>
            <w:tcW w:w="120" w:type="dxa"/>
            <w:vAlign w:val="bottom"/>
            <w:tcBorders>
              <w:right w:val="single" w:sz="8" w:color="007CBA"/>
            </w:tcBorders>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100" w:type="dxa"/>
            <w:vAlign w:val="bottom"/>
            <w:shd w:val="clear" w:color="auto" w:fill="DEEAEB"/>
          </w:tcPr>
          <w:p>
            <w:pPr>
              <w:spacing w:after="0"/>
              <w:rPr>
                <w:sz w:val="6"/>
                <w:szCs w:val="6"/>
                <w:color w:val="auto"/>
              </w:rPr>
            </w:pPr>
          </w:p>
        </w:tc>
        <w:tc>
          <w:tcPr>
            <w:tcW w:w="700" w:type="dxa"/>
            <w:vAlign w:val="bottom"/>
            <w:vMerge w:val="restart"/>
            <w:shd w:val="clear" w:color="auto" w:fill="DEEAEB"/>
          </w:tcPr>
          <w:p>
            <w:pPr>
              <w:jc w:val="right"/>
              <w:spacing w:after="0"/>
              <w:rPr>
                <w:sz w:val="20"/>
                <w:szCs w:val="20"/>
                <w:color w:val="auto"/>
              </w:rPr>
            </w:pPr>
            <w:r>
              <w:rPr>
                <w:rFonts w:ascii="Calibri" w:cs="Calibri" w:eastAsia="Calibri" w:hAnsi="Calibri"/>
                <w:sz w:val="14"/>
                <w:szCs w:val="14"/>
                <w:color w:val="auto"/>
              </w:rPr>
              <w:t>6,537.6</w:t>
            </w:r>
          </w:p>
        </w:tc>
        <w:tc>
          <w:tcPr>
            <w:tcW w:w="100" w:type="dxa"/>
            <w:vAlign w:val="bottom"/>
            <w:tcBorders>
              <w:right w:val="single" w:sz="8" w:color="DEEAEB"/>
            </w:tcBorders>
            <w:shd w:val="clear" w:color="auto" w:fill="DEEAEB"/>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060" w:type="dxa"/>
            <w:vAlign w:val="bottom"/>
            <w:tcBorders>
              <w:right w:val="single" w:sz="8" w:color="007CBA"/>
            </w:tcBorders>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620" w:type="dxa"/>
            <w:vAlign w:val="bottom"/>
            <w:vMerge w:val="continue"/>
            <w:shd w:val="clear" w:color="auto" w:fill="DEEAEB"/>
          </w:tcPr>
          <w:p>
            <w:pPr>
              <w:spacing w:after="0"/>
              <w:rPr>
                <w:sz w:val="8"/>
                <w:szCs w:val="8"/>
                <w:color w:val="auto"/>
              </w:rPr>
            </w:pPr>
          </w:p>
        </w:tc>
        <w:tc>
          <w:tcPr>
            <w:tcW w:w="120" w:type="dxa"/>
            <w:vAlign w:val="bottom"/>
            <w:tcBorders>
              <w:right w:val="single" w:sz="8" w:color="007CBA"/>
            </w:tcBorders>
            <w:shd w:val="clear" w:color="auto" w:fill="DEEAEB"/>
          </w:tcPr>
          <w:p>
            <w:pPr>
              <w:spacing w:after="0"/>
              <w:rPr>
                <w:sz w:val="8"/>
                <w:szCs w:val="8"/>
                <w:color w:val="auto"/>
              </w:rPr>
            </w:pPr>
          </w:p>
        </w:tc>
        <w:tc>
          <w:tcPr>
            <w:tcW w:w="120" w:type="dxa"/>
            <w:vAlign w:val="bottom"/>
            <w:shd w:val="clear" w:color="auto" w:fill="DEEAEB"/>
          </w:tcPr>
          <w:p>
            <w:pPr>
              <w:spacing w:after="0"/>
              <w:rPr>
                <w:sz w:val="8"/>
                <w:szCs w:val="8"/>
                <w:color w:val="auto"/>
              </w:rPr>
            </w:pPr>
          </w:p>
        </w:tc>
        <w:tc>
          <w:tcPr>
            <w:tcW w:w="120" w:type="dxa"/>
            <w:vAlign w:val="bottom"/>
            <w:shd w:val="clear" w:color="auto" w:fill="DEEAEB"/>
          </w:tcPr>
          <w:p>
            <w:pPr>
              <w:spacing w:after="0"/>
              <w:rPr>
                <w:sz w:val="8"/>
                <w:szCs w:val="8"/>
                <w:color w:val="auto"/>
              </w:rPr>
            </w:pPr>
          </w:p>
        </w:tc>
        <w:tc>
          <w:tcPr>
            <w:tcW w:w="700" w:type="dxa"/>
            <w:vAlign w:val="bottom"/>
            <w:vMerge w:val="continue"/>
            <w:shd w:val="clear" w:color="auto" w:fill="DEEAEB"/>
          </w:tcPr>
          <w:p>
            <w:pPr>
              <w:spacing w:after="0"/>
              <w:rPr>
                <w:sz w:val="8"/>
                <w:szCs w:val="8"/>
                <w:color w:val="auto"/>
              </w:rPr>
            </w:pPr>
          </w:p>
        </w:tc>
        <w:tc>
          <w:tcPr>
            <w:tcW w:w="120" w:type="dxa"/>
            <w:vAlign w:val="bottom"/>
            <w:tcBorders>
              <w:right w:val="single" w:sz="8" w:color="007CBA"/>
            </w:tcBorders>
            <w:shd w:val="clear" w:color="auto" w:fill="DEEAEB"/>
          </w:tcPr>
          <w:p>
            <w:pPr>
              <w:spacing w:after="0"/>
              <w:rPr>
                <w:sz w:val="8"/>
                <w:szCs w:val="8"/>
                <w:color w:val="auto"/>
              </w:rPr>
            </w:pPr>
          </w:p>
        </w:tc>
        <w:tc>
          <w:tcPr>
            <w:tcW w:w="120" w:type="dxa"/>
            <w:vAlign w:val="bottom"/>
            <w:shd w:val="clear" w:color="auto" w:fill="DEEAEB"/>
          </w:tcPr>
          <w:p>
            <w:pPr>
              <w:spacing w:after="0"/>
              <w:rPr>
                <w:sz w:val="8"/>
                <w:szCs w:val="8"/>
                <w:color w:val="auto"/>
              </w:rPr>
            </w:pPr>
          </w:p>
        </w:tc>
        <w:tc>
          <w:tcPr>
            <w:tcW w:w="80" w:type="dxa"/>
            <w:vAlign w:val="bottom"/>
            <w:shd w:val="clear" w:color="auto" w:fill="DEEAEB"/>
          </w:tcPr>
          <w:p>
            <w:pPr>
              <w:spacing w:after="0"/>
              <w:rPr>
                <w:sz w:val="8"/>
                <w:szCs w:val="8"/>
                <w:color w:val="auto"/>
              </w:rPr>
            </w:pPr>
          </w:p>
        </w:tc>
        <w:tc>
          <w:tcPr>
            <w:tcW w:w="740" w:type="dxa"/>
            <w:vAlign w:val="bottom"/>
            <w:gridSpan w:val="2"/>
            <w:vMerge w:val="continue"/>
            <w:shd w:val="clear" w:color="auto" w:fill="DEEAEB"/>
          </w:tcPr>
          <w:p>
            <w:pPr>
              <w:spacing w:after="0"/>
              <w:rPr>
                <w:sz w:val="8"/>
                <w:szCs w:val="8"/>
                <w:color w:val="auto"/>
              </w:rPr>
            </w:pPr>
          </w:p>
        </w:tc>
        <w:tc>
          <w:tcPr>
            <w:tcW w:w="140" w:type="dxa"/>
            <w:vAlign w:val="bottom"/>
            <w:tcBorders>
              <w:right w:val="single" w:sz="8" w:color="007CBA"/>
            </w:tcBorders>
            <w:shd w:val="clear" w:color="auto" w:fill="DEEAEB"/>
          </w:tcPr>
          <w:p>
            <w:pPr>
              <w:spacing w:after="0"/>
              <w:rPr>
                <w:sz w:val="8"/>
                <w:szCs w:val="8"/>
                <w:color w:val="auto"/>
              </w:rPr>
            </w:pPr>
          </w:p>
        </w:tc>
        <w:tc>
          <w:tcPr>
            <w:tcW w:w="120" w:type="dxa"/>
            <w:vAlign w:val="bottom"/>
            <w:shd w:val="clear" w:color="auto" w:fill="DEEAEB"/>
          </w:tcPr>
          <w:p>
            <w:pPr>
              <w:spacing w:after="0"/>
              <w:rPr>
                <w:sz w:val="8"/>
                <w:szCs w:val="8"/>
                <w:color w:val="auto"/>
              </w:rPr>
            </w:pPr>
          </w:p>
        </w:tc>
        <w:tc>
          <w:tcPr>
            <w:tcW w:w="120" w:type="dxa"/>
            <w:vAlign w:val="bottom"/>
            <w:shd w:val="clear" w:color="auto" w:fill="DEEAEB"/>
          </w:tcPr>
          <w:p>
            <w:pPr>
              <w:spacing w:after="0"/>
              <w:rPr>
                <w:sz w:val="8"/>
                <w:szCs w:val="8"/>
                <w:color w:val="auto"/>
              </w:rPr>
            </w:pPr>
          </w:p>
        </w:tc>
        <w:tc>
          <w:tcPr>
            <w:tcW w:w="920" w:type="dxa"/>
            <w:vAlign w:val="bottom"/>
            <w:tcBorders>
              <w:right w:val="single" w:sz="8" w:color="007CBA"/>
            </w:tcBorders>
            <w:gridSpan w:val="2"/>
            <w:vMerge w:val="continue"/>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700" w:type="dxa"/>
            <w:vAlign w:val="bottom"/>
            <w:vMerge w:val="continue"/>
            <w:shd w:val="clear" w:color="auto" w:fill="DEEAEB"/>
          </w:tcPr>
          <w:p>
            <w:pPr>
              <w:spacing w:after="0"/>
              <w:rPr>
                <w:sz w:val="8"/>
                <w:szCs w:val="8"/>
                <w:color w:val="auto"/>
              </w:rPr>
            </w:pPr>
          </w:p>
        </w:tc>
        <w:tc>
          <w:tcPr>
            <w:tcW w:w="100" w:type="dxa"/>
            <w:vAlign w:val="bottom"/>
            <w:tcBorders>
              <w:right w:val="single" w:sz="8" w:color="007CBA"/>
            </w:tcBorders>
            <w:shd w:val="clear" w:color="auto" w:fill="DEEAEB"/>
          </w:tcPr>
          <w:p>
            <w:pPr>
              <w:spacing w:after="0"/>
              <w:rPr>
                <w:sz w:val="8"/>
                <w:szCs w:val="8"/>
                <w:color w:val="auto"/>
              </w:rPr>
            </w:pPr>
          </w:p>
        </w:tc>
        <w:tc>
          <w:tcPr>
            <w:tcW w:w="120" w:type="dxa"/>
            <w:vAlign w:val="bottom"/>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680" w:type="dxa"/>
            <w:vAlign w:val="bottom"/>
            <w:vMerge w:val="continue"/>
            <w:shd w:val="clear" w:color="auto" w:fill="DEEAEB"/>
          </w:tcPr>
          <w:p>
            <w:pPr>
              <w:spacing w:after="0"/>
              <w:rPr>
                <w:sz w:val="8"/>
                <w:szCs w:val="8"/>
                <w:color w:val="auto"/>
              </w:rPr>
            </w:pPr>
          </w:p>
        </w:tc>
        <w:tc>
          <w:tcPr>
            <w:tcW w:w="120" w:type="dxa"/>
            <w:vAlign w:val="bottom"/>
            <w:tcBorders>
              <w:right w:val="single" w:sz="8" w:color="007CBA"/>
            </w:tcBorders>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20" w:type="dxa"/>
            <w:vAlign w:val="bottom"/>
            <w:shd w:val="clear" w:color="auto" w:fill="DEEAEB"/>
          </w:tcPr>
          <w:p>
            <w:pPr>
              <w:spacing w:after="0"/>
              <w:rPr>
                <w:sz w:val="8"/>
                <w:szCs w:val="8"/>
                <w:color w:val="auto"/>
              </w:rPr>
            </w:pPr>
          </w:p>
        </w:tc>
        <w:tc>
          <w:tcPr>
            <w:tcW w:w="680" w:type="dxa"/>
            <w:vAlign w:val="bottom"/>
            <w:vMerge w:val="continue"/>
            <w:shd w:val="clear" w:color="auto" w:fill="DEEAEB"/>
          </w:tcPr>
          <w:p>
            <w:pPr>
              <w:spacing w:after="0"/>
              <w:rPr>
                <w:sz w:val="8"/>
                <w:szCs w:val="8"/>
                <w:color w:val="auto"/>
              </w:rPr>
            </w:pPr>
          </w:p>
        </w:tc>
        <w:tc>
          <w:tcPr>
            <w:tcW w:w="120" w:type="dxa"/>
            <w:vAlign w:val="bottom"/>
            <w:tcBorders>
              <w:right w:val="single" w:sz="8" w:color="007CBA"/>
            </w:tcBorders>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100" w:type="dxa"/>
            <w:vAlign w:val="bottom"/>
            <w:shd w:val="clear" w:color="auto" w:fill="DEEAEB"/>
          </w:tcPr>
          <w:p>
            <w:pPr>
              <w:spacing w:after="0"/>
              <w:rPr>
                <w:sz w:val="8"/>
                <w:szCs w:val="8"/>
                <w:color w:val="auto"/>
              </w:rPr>
            </w:pPr>
          </w:p>
        </w:tc>
        <w:tc>
          <w:tcPr>
            <w:tcW w:w="700" w:type="dxa"/>
            <w:vAlign w:val="bottom"/>
            <w:vMerge w:val="continue"/>
            <w:shd w:val="clear" w:color="auto" w:fill="DEEAEB"/>
          </w:tcPr>
          <w:p>
            <w:pPr>
              <w:spacing w:after="0"/>
              <w:rPr>
                <w:sz w:val="8"/>
                <w:szCs w:val="8"/>
                <w:color w:val="auto"/>
              </w:rPr>
            </w:pPr>
          </w:p>
        </w:tc>
        <w:tc>
          <w:tcPr>
            <w:tcW w:w="100" w:type="dxa"/>
            <w:vAlign w:val="bottom"/>
            <w:tcBorders>
              <w:right w:val="single" w:sz="8" w:color="DEEAEB"/>
            </w:tcBorders>
            <w:shd w:val="clear" w:color="auto" w:fill="DEEAEB"/>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Consolidated net earnings</w:t>
            </w:r>
          </w:p>
        </w:tc>
        <w:tc>
          <w:tcPr>
            <w:tcW w:w="100" w:type="dxa"/>
            <w:vAlign w:val="bottom"/>
            <w:shd w:val="clear" w:color="auto" w:fill="DEEAEB"/>
          </w:tcPr>
          <w:p>
            <w:pPr>
              <w:spacing w:after="0"/>
              <w:rPr>
                <w:sz w:val="17"/>
                <w:szCs w:val="17"/>
                <w:color w:val="auto"/>
              </w:rPr>
            </w:pPr>
          </w:p>
        </w:tc>
        <w:tc>
          <w:tcPr>
            <w:tcW w:w="6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20" w:type="dxa"/>
            <w:vAlign w:val="bottom"/>
            <w:tcBorders>
              <w:right w:val="single" w:sz="8" w:color="007CBA"/>
            </w:tcBorders>
            <w:gridSpan w:val="2"/>
            <w:shd w:val="clear" w:color="auto" w:fill="DEEAEB"/>
          </w:tcPr>
          <w:p>
            <w:pPr>
              <w:jc w:val="right"/>
              <w:ind w:right="140"/>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DEEAEB"/>
          </w:tcPr>
          <w:p>
            <w:pPr>
              <w:spacing w:after="0"/>
              <w:rPr>
                <w:sz w:val="17"/>
                <w:szCs w:val="17"/>
                <w:color w:val="auto"/>
              </w:rPr>
            </w:pPr>
          </w:p>
        </w:tc>
        <w:tc>
          <w:tcPr>
            <w:tcW w:w="8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840" w:type="dxa"/>
            <w:vAlign w:val="bottom"/>
            <w:tcBorders>
              <w:right w:val="single" w:sz="8" w:color="007CBA"/>
            </w:tcBorders>
            <w:gridSpan w:val="2"/>
            <w:shd w:val="clear" w:color="auto" w:fill="DEEAEB"/>
          </w:tcPr>
          <w:p>
            <w:pPr>
              <w:jc w:val="right"/>
              <w:ind w:right="68"/>
              <w:spacing w:after="0"/>
              <w:rPr>
                <w:sz w:val="20"/>
                <w:szCs w:val="20"/>
                <w:color w:val="auto"/>
              </w:rPr>
            </w:pPr>
            <w:r>
              <w:rPr>
                <w:rFonts w:ascii="Calibri" w:cs="Calibri" w:eastAsia="Calibri" w:hAnsi="Calibri"/>
                <w:sz w:val="14"/>
                <w:szCs w:val="14"/>
                <w:color w:val="auto"/>
              </w:rPr>
              <w:t>—</w:t>
            </w: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920" w:type="dxa"/>
            <w:vAlign w:val="bottom"/>
            <w:tcBorders>
              <w:right w:val="single" w:sz="8" w:color="007CBA"/>
            </w:tcBorders>
            <w:gridSpan w:val="2"/>
            <w:shd w:val="clear" w:color="auto" w:fill="DEEAEB"/>
          </w:tcPr>
          <w:p>
            <w:pPr>
              <w:jc w:val="right"/>
              <w:ind w:right="68"/>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866.8</w:t>
            </w:r>
          </w:p>
        </w:tc>
        <w:tc>
          <w:tcPr>
            <w:tcW w:w="10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866.8</w:t>
            </w: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0" w:type="dxa"/>
            <w:vAlign w:val="bottom"/>
            <w:tcBorders>
              <w:right w:val="single" w:sz="8" w:color="007CBA"/>
            </w:tcBorders>
            <w:gridSpan w:val="2"/>
            <w:shd w:val="clear" w:color="auto" w:fill="DEEAEB"/>
          </w:tcPr>
          <w:p>
            <w:pPr>
              <w:jc w:val="right"/>
              <w:ind w:right="68"/>
              <w:spacing w:after="0"/>
              <w:rPr>
                <w:sz w:val="20"/>
                <w:szCs w:val="20"/>
                <w:color w:val="auto"/>
              </w:rPr>
            </w:pPr>
            <w:r>
              <w:rPr>
                <w:rFonts w:ascii="Calibri" w:cs="Calibri" w:eastAsia="Calibri" w:hAnsi="Calibri"/>
                <w:sz w:val="14"/>
                <w:szCs w:val="14"/>
                <w:color w:val="auto"/>
              </w:rPr>
              <w:t>—</w:t>
            </w: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866.8</w:t>
            </w:r>
          </w:p>
        </w:tc>
        <w:tc>
          <w:tcPr>
            <w:tcW w:w="100" w:type="dxa"/>
            <w:vAlign w:val="bottom"/>
            <w:tcBorders>
              <w:right w:val="single" w:sz="8" w:color="DEEAEB"/>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Other comprehensive earnings</w:t>
            </w:r>
          </w:p>
        </w:tc>
        <w:tc>
          <w:tcPr>
            <w:tcW w:w="100" w:type="dxa"/>
            <w:vAlign w:val="bottom"/>
            <w:shd w:val="clear" w:color="auto" w:fill="DEEAEB"/>
          </w:tcPr>
          <w:p>
            <w:pPr>
              <w:spacing w:after="0"/>
              <w:rPr>
                <w:sz w:val="17"/>
                <w:szCs w:val="17"/>
                <w:color w:val="auto"/>
              </w:rPr>
            </w:pPr>
          </w:p>
        </w:tc>
        <w:tc>
          <w:tcPr>
            <w:tcW w:w="6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59.1</w:t>
            </w: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59.1</w:t>
            </w: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59.1</w:t>
            </w:r>
          </w:p>
        </w:tc>
        <w:tc>
          <w:tcPr>
            <w:tcW w:w="100" w:type="dxa"/>
            <w:vAlign w:val="bottom"/>
            <w:tcBorders>
              <w:right w:val="single" w:sz="8" w:color="DEEAEB"/>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Dividends declared ($2.54 per common share)</w:t>
            </w:r>
          </w:p>
        </w:tc>
        <w:tc>
          <w:tcPr>
            <w:tcW w:w="100" w:type="dxa"/>
            <w:vAlign w:val="bottom"/>
            <w:shd w:val="clear" w:color="auto" w:fill="DEEAEB"/>
          </w:tcPr>
          <w:p>
            <w:pPr>
              <w:spacing w:after="0"/>
              <w:rPr>
                <w:sz w:val="17"/>
                <w:szCs w:val="17"/>
                <w:color w:val="auto"/>
              </w:rPr>
            </w:pPr>
          </w:p>
        </w:tc>
        <w:tc>
          <w:tcPr>
            <w:tcW w:w="6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(159.3</w:t>
            </w:r>
          </w:p>
        </w:tc>
        <w:tc>
          <w:tcPr>
            <w:tcW w:w="10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2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(159.3</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(159.3</w:t>
            </w:r>
          </w:p>
        </w:tc>
        <w:tc>
          <w:tcPr>
            <w:tcW w:w="100" w:type="dxa"/>
            <w:vAlign w:val="bottom"/>
            <w:tcBorders>
              <w:right w:val="single" w:sz="8" w:color="DEEAEB"/>
            </w:tcBorders>
            <w:shd w:val="clear" w:color="auto" w:fill="DEEAEB"/>
          </w:tcPr>
          <w:p>
            <w:pPr>
              <w:jc w:val="right"/>
              <w:ind w:right="2"/>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Issuances of common stock for stock award</w:t>
            </w:r>
          </w:p>
        </w:tc>
        <w:tc>
          <w:tcPr>
            <w:tcW w:w="100" w:type="dxa"/>
            <w:vAlign w:val="bottom"/>
            <w:shd w:val="clear" w:color="auto" w:fill="DEEAEB"/>
          </w:tcPr>
          <w:p>
            <w:pPr>
              <w:spacing w:after="0"/>
              <w:rPr>
                <w:sz w:val="17"/>
                <w:szCs w:val="17"/>
                <w:color w:val="auto"/>
              </w:rPr>
            </w:pPr>
          </w:p>
        </w:tc>
        <w:tc>
          <w:tcPr>
            <w:tcW w:w="62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4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0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68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68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00" w:type="dxa"/>
            <w:vAlign w:val="bottom"/>
            <w:tcBorders>
              <w:right w:val="single" w:sz="8" w:color="DEEAEB"/>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plans</w:t>
            </w:r>
          </w:p>
        </w:tc>
        <w:tc>
          <w:tcPr>
            <w:tcW w:w="100" w:type="dxa"/>
            <w:vAlign w:val="bottom"/>
            <w:shd w:val="clear" w:color="auto" w:fill="DEEAEB"/>
          </w:tcPr>
          <w:p>
            <w:pPr>
              <w:spacing w:after="0"/>
              <w:rPr>
                <w:sz w:val="15"/>
                <w:szCs w:val="15"/>
                <w:color w:val="auto"/>
              </w:rPr>
            </w:pPr>
          </w:p>
        </w:tc>
        <w:tc>
          <w:tcPr>
            <w:tcW w:w="6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126,699</w:t>
            </w:r>
          </w:p>
        </w:tc>
        <w:tc>
          <w:tcPr>
            <w:tcW w:w="120" w:type="dxa"/>
            <w:vAlign w:val="bottom"/>
            <w:tcBorders>
              <w:right w:val="single" w:sz="8" w:color="007CBA"/>
            </w:tcBorders>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 w:type="dxa"/>
            <w:vAlign w:val="bottom"/>
            <w:shd w:val="clear" w:color="auto" w:fill="DEEAEB"/>
          </w:tcPr>
          <w:p>
            <w:pPr>
              <w:spacing w:after="0"/>
              <w:rPr>
                <w:sz w:val="15"/>
                <w:szCs w:val="15"/>
                <w:color w:val="auto"/>
              </w:rPr>
            </w:pPr>
          </w:p>
        </w:tc>
        <w:tc>
          <w:tcPr>
            <w:tcW w:w="4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4.7</w:t>
            </w:r>
          </w:p>
        </w:tc>
        <w:tc>
          <w:tcPr>
            <w:tcW w:w="140" w:type="dxa"/>
            <w:vAlign w:val="bottom"/>
            <w:tcBorders>
              <w:right w:val="single" w:sz="8" w:color="007CBA"/>
            </w:tcBorders>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4.7</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4.7</w:t>
            </w:r>
          </w:p>
        </w:tc>
        <w:tc>
          <w:tcPr>
            <w:tcW w:w="100" w:type="dxa"/>
            <w:vAlign w:val="bottom"/>
            <w:tcBorders>
              <w:right w:val="single" w:sz="8" w:color="DEEAEB"/>
            </w:tcBorders>
            <w:shd w:val="clear" w:color="auto" w:fill="DEEAE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Shares withheld for employees’ income tax</w:t>
            </w:r>
          </w:p>
        </w:tc>
        <w:tc>
          <w:tcPr>
            <w:tcW w:w="100" w:type="dxa"/>
            <w:vAlign w:val="bottom"/>
            <w:shd w:val="clear" w:color="auto" w:fill="DEEAEB"/>
          </w:tcPr>
          <w:p>
            <w:pPr>
              <w:spacing w:after="0"/>
              <w:rPr>
                <w:sz w:val="17"/>
                <w:szCs w:val="17"/>
                <w:color w:val="auto"/>
              </w:rPr>
            </w:pPr>
          </w:p>
        </w:tc>
        <w:tc>
          <w:tcPr>
            <w:tcW w:w="62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 w:type="dxa"/>
            <w:vAlign w:val="bottom"/>
            <w:shd w:val="clear" w:color="auto" w:fill="DEEAEB"/>
          </w:tcPr>
          <w:p>
            <w:pPr>
              <w:spacing w:after="0"/>
              <w:rPr>
                <w:sz w:val="17"/>
                <w:szCs w:val="17"/>
                <w:color w:val="auto"/>
              </w:rPr>
            </w:pPr>
          </w:p>
        </w:tc>
        <w:tc>
          <w:tcPr>
            <w:tcW w:w="4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4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80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00" w:type="dxa"/>
            <w:vAlign w:val="bottom"/>
            <w:tcBorders>
              <w:right w:val="single" w:sz="8" w:color="007CBA"/>
            </w:tcBorders>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68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20" w:type="dxa"/>
            <w:vAlign w:val="bottom"/>
            <w:shd w:val="clear" w:color="auto" w:fill="DEEAEB"/>
          </w:tcPr>
          <w:p>
            <w:pPr>
              <w:spacing w:after="0"/>
              <w:rPr>
                <w:sz w:val="17"/>
                <w:szCs w:val="17"/>
                <w:color w:val="auto"/>
              </w:rPr>
            </w:pPr>
          </w:p>
        </w:tc>
        <w:tc>
          <w:tcPr>
            <w:tcW w:w="680" w:type="dxa"/>
            <w:vAlign w:val="bottom"/>
            <w:shd w:val="clear" w:color="auto" w:fill="DEEAEB"/>
          </w:tcPr>
          <w:p>
            <w:pPr>
              <w:spacing w:after="0"/>
              <w:rPr>
                <w:sz w:val="17"/>
                <w:szCs w:val="17"/>
                <w:color w:val="auto"/>
              </w:rPr>
            </w:pPr>
          </w:p>
        </w:tc>
        <w:tc>
          <w:tcPr>
            <w:tcW w:w="120" w:type="dxa"/>
            <w:vAlign w:val="bottom"/>
            <w:tcBorders>
              <w:right w:val="single" w:sz="8" w:color="007CBA"/>
            </w:tcBorders>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100" w:type="dxa"/>
            <w:vAlign w:val="bottom"/>
            <w:shd w:val="clear" w:color="auto" w:fill="DEEAEB"/>
          </w:tcPr>
          <w:p>
            <w:pPr>
              <w:spacing w:after="0"/>
              <w:rPr>
                <w:sz w:val="17"/>
                <w:szCs w:val="17"/>
                <w:color w:val="auto"/>
              </w:rPr>
            </w:pPr>
          </w:p>
        </w:tc>
        <w:tc>
          <w:tcPr>
            <w:tcW w:w="700" w:type="dxa"/>
            <w:vAlign w:val="bottom"/>
            <w:shd w:val="clear" w:color="auto" w:fill="DEEAEB"/>
          </w:tcPr>
          <w:p>
            <w:pPr>
              <w:spacing w:after="0"/>
              <w:rPr>
                <w:sz w:val="17"/>
                <w:szCs w:val="17"/>
                <w:color w:val="auto"/>
              </w:rPr>
            </w:pPr>
          </w:p>
        </w:tc>
        <w:tc>
          <w:tcPr>
            <w:tcW w:w="100" w:type="dxa"/>
            <w:vAlign w:val="bottom"/>
            <w:tcBorders>
              <w:right w:val="single" w:sz="8" w:color="DEEAEB"/>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6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color w:val="auto"/>
              </w:rPr>
              <w:t>obligatons</w:t>
            </w:r>
          </w:p>
        </w:tc>
        <w:tc>
          <w:tcPr>
            <w:tcW w:w="100" w:type="dxa"/>
            <w:vAlign w:val="bottom"/>
            <w:shd w:val="clear" w:color="auto" w:fill="DEEAEB"/>
          </w:tcPr>
          <w:p>
            <w:pPr>
              <w:spacing w:after="0"/>
              <w:rPr>
                <w:sz w:val="15"/>
                <w:szCs w:val="15"/>
                <w:color w:val="auto"/>
              </w:rPr>
            </w:pPr>
          </w:p>
        </w:tc>
        <w:tc>
          <w:tcPr>
            <w:tcW w:w="62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 w:type="dxa"/>
            <w:vAlign w:val="bottom"/>
            <w:shd w:val="clear" w:color="auto" w:fill="DEEAEB"/>
          </w:tcPr>
          <w:p>
            <w:pPr>
              <w:spacing w:after="0"/>
              <w:rPr>
                <w:sz w:val="15"/>
                <w:szCs w:val="15"/>
                <w:color w:val="auto"/>
              </w:rPr>
            </w:pPr>
          </w:p>
        </w:tc>
        <w:tc>
          <w:tcPr>
            <w:tcW w:w="4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(28.8</w:t>
            </w:r>
          </w:p>
        </w:tc>
        <w:tc>
          <w:tcPr>
            <w:tcW w:w="140" w:type="dxa"/>
            <w:vAlign w:val="bottom"/>
            <w:tcBorders>
              <w:right w:val="single" w:sz="8" w:color="007CBA"/>
            </w:tcBorders>
            <w:shd w:val="clear" w:color="auto" w:fill="DEEAEB"/>
          </w:tcPr>
          <w:p>
            <w:pPr>
              <w:jc w:val="right"/>
              <w:ind w:right="8"/>
              <w:spacing w:after="0"/>
              <w:rPr>
                <w:sz w:val="20"/>
                <w:szCs w:val="20"/>
                <w:color w:val="auto"/>
              </w:rPr>
            </w:pPr>
            <w:r>
              <w:rPr>
                <w:rFonts w:ascii="Calibri" w:cs="Calibri" w:eastAsia="Calibri" w:hAnsi="Calibri"/>
                <w:sz w:val="14"/>
                <w:szCs w:val="14"/>
                <w:color w:val="auto"/>
                <w:w w:val="93"/>
              </w:rPr>
              <w:t>)</w:t>
            </w:r>
          </w:p>
        </w:tc>
        <w:tc>
          <w:tcPr>
            <w:tcW w:w="12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8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00" w:type="dxa"/>
            <w:vAlign w:val="bottom"/>
            <w:tcBorders>
              <w:right w:val="single" w:sz="8" w:color="007CBA"/>
            </w:tcBorders>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(28.8</w:t>
            </w:r>
          </w:p>
        </w:tc>
        <w:tc>
          <w:tcPr>
            <w:tcW w:w="120" w:type="dxa"/>
            <w:vAlign w:val="bottom"/>
            <w:tcBorders>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shd w:val="clear" w:color="auto" w:fill="DEEAEB"/>
          </w:tcPr>
          <w:p>
            <w:pPr>
              <w:spacing w:after="0"/>
              <w:rPr>
                <w:sz w:val="15"/>
                <w:szCs w:val="15"/>
                <w:color w:val="auto"/>
              </w:rPr>
            </w:pPr>
          </w:p>
        </w:tc>
        <w:tc>
          <w:tcPr>
            <w:tcW w:w="120" w:type="dxa"/>
            <w:vAlign w:val="bottom"/>
            <w:shd w:val="clear" w:color="auto" w:fill="DEEAEB"/>
          </w:tcPr>
          <w:p>
            <w:pPr>
              <w:spacing w:after="0"/>
              <w:rPr>
                <w:sz w:val="15"/>
                <w:szCs w:val="15"/>
                <w:color w:val="auto"/>
              </w:rPr>
            </w:pPr>
          </w:p>
        </w:tc>
        <w:tc>
          <w:tcPr>
            <w:tcW w:w="68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right w:val="single" w:sz="8" w:color="007CBA"/>
            </w:tcBorders>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100" w:type="dxa"/>
            <w:vAlign w:val="bottom"/>
            <w:shd w:val="clear" w:color="auto" w:fill="DEEAEB"/>
          </w:tcPr>
          <w:p>
            <w:pPr>
              <w:spacing w:after="0"/>
              <w:rPr>
                <w:sz w:val="15"/>
                <w:szCs w:val="15"/>
                <w:color w:val="auto"/>
              </w:rPr>
            </w:pPr>
          </w:p>
        </w:tc>
        <w:tc>
          <w:tcPr>
            <w:tcW w:w="700" w:type="dxa"/>
            <w:vAlign w:val="bottom"/>
            <w:shd w:val="clear" w:color="auto" w:fill="DEEAEB"/>
          </w:tcPr>
          <w:p>
            <w:pPr>
              <w:jc w:val="right"/>
              <w:spacing w:after="0"/>
              <w:rPr>
                <w:sz w:val="20"/>
                <w:szCs w:val="20"/>
                <w:color w:val="auto"/>
              </w:rPr>
            </w:pPr>
            <w:r>
              <w:rPr>
                <w:rFonts w:ascii="Calibri" w:cs="Calibri" w:eastAsia="Calibri" w:hAnsi="Calibri"/>
                <w:sz w:val="14"/>
                <w:szCs w:val="14"/>
                <w:color w:val="auto"/>
              </w:rPr>
              <w:t>(28.8</w:t>
            </w:r>
          </w:p>
        </w:tc>
        <w:tc>
          <w:tcPr>
            <w:tcW w:w="100" w:type="dxa"/>
            <w:vAlign w:val="bottom"/>
            <w:tcBorders>
              <w:right w:val="single" w:sz="8" w:color="DEEAEB"/>
            </w:tcBorders>
            <w:shd w:val="clear" w:color="auto" w:fill="DEEAEB"/>
          </w:tcPr>
          <w:p>
            <w:pPr>
              <w:jc w:val="right"/>
              <w:ind w:right="2"/>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216"/>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color w:val="auto"/>
              </w:rPr>
              <w:t>Repurchases of common stock</w:t>
            </w:r>
          </w:p>
        </w:tc>
        <w:tc>
          <w:tcPr>
            <w:tcW w:w="100" w:type="dxa"/>
            <w:vAlign w:val="bottom"/>
            <w:tcBorders>
              <w:bottom w:val="single" w:sz="8" w:color="DEEAEB"/>
            </w:tcBorders>
            <w:shd w:val="clear" w:color="auto" w:fill="DEEAEB"/>
          </w:tcPr>
          <w:p>
            <w:pPr>
              <w:spacing w:after="0"/>
              <w:rPr>
                <w:sz w:val="18"/>
                <w:szCs w:val="18"/>
                <w:color w:val="auto"/>
              </w:rPr>
            </w:pPr>
          </w:p>
        </w:tc>
        <w:tc>
          <w:tcPr>
            <w:tcW w:w="62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(418,336</w:t>
            </w:r>
          </w:p>
        </w:tc>
        <w:tc>
          <w:tcPr>
            <w:tcW w:w="120" w:type="dxa"/>
            <w:vAlign w:val="bottom"/>
            <w:tcBorders>
              <w:bottom w:val="single" w:sz="8" w:color="DEEAEB"/>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20" w:type="dxa"/>
            <w:vAlign w:val="bottom"/>
            <w:tcBorders>
              <w:bottom w:val="single" w:sz="8" w:color="DEEAEB"/>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007CBA"/>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80" w:type="dxa"/>
            <w:vAlign w:val="bottom"/>
            <w:tcBorders>
              <w:bottom w:val="single" w:sz="8" w:color="DEEAEB"/>
            </w:tcBorders>
            <w:shd w:val="clear" w:color="auto" w:fill="DEEAEB"/>
          </w:tcPr>
          <w:p>
            <w:pPr>
              <w:spacing w:after="0"/>
              <w:rPr>
                <w:sz w:val="18"/>
                <w:szCs w:val="18"/>
                <w:color w:val="auto"/>
              </w:rPr>
            </w:pPr>
          </w:p>
        </w:tc>
        <w:tc>
          <w:tcPr>
            <w:tcW w:w="4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40" w:type="dxa"/>
            <w:vAlign w:val="bottom"/>
            <w:tcBorders>
              <w:bottom w:val="single" w:sz="8" w:color="DEEAEB"/>
              <w:right w:val="single" w:sz="8" w:color="007CBA"/>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8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007CBA"/>
            </w:tcBorders>
            <w:shd w:val="clear" w:color="auto" w:fill="DEEAEB"/>
          </w:tcPr>
          <w:p>
            <w:pPr>
              <w:spacing w:after="0"/>
              <w:rPr>
                <w:sz w:val="18"/>
                <w:szCs w:val="18"/>
                <w:color w:val="auto"/>
              </w:rPr>
            </w:pPr>
          </w:p>
        </w:tc>
        <w:tc>
          <w:tcPr>
            <w:tcW w:w="100" w:type="dxa"/>
            <w:vAlign w:val="bottom"/>
            <w:tcBorders>
              <w:bottom w:val="single" w:sz="8" w:color="DEEAEB"/>
            </w:tcBorders>
            <w:shd w:val="clear" w:color="auto" w:fill="DEEAEB"/>
          </w:tcPr>
          <w:p>
            <w:pPr>
              <w:spacing w:after="0"/>
              <w:rPr>
                <w:sz w:val="18"/>
                <w:szCs w:val="18"/>
                <w:color w:val="auto"/>
              </w:rPr>
            </w:pPr>
          </w:p>
        </w:tc>
        <w:tc>
          <w:tcPr>
            <w:tcW w:w="10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(150.0</w:t>
            </w:r>
          </w:p>
        </w:tc>
        <w:tc>
          <w:tcPr>
            <w:tcW w:w="100" w:type="dxa"/>
            <w:vAlign w:val="bottom"/>
            <w:tcBorders>
              <w:bottom w:val="single" w:sz="8" w:color="DEEAEB"/>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20" w:type="dxa"/>
            <w:vAlign w:val="bottom"/>
            <w:tcBorders>
              <w:bottom w:val="single" w:sz="8" w:color="DEEAEB"/>
            </w:tcBorders>
            <w:shd w:val="clear" w:color="auto" w:fill="DEEAEB"/>
          </w:tcPr>
          <w:p>
            <w:pPr>
              <w:spacing w:after="0"/>
              <w:rPr>
                <w:sz w:val="18"/>
                <w:szCs w:val="18"/>
                <w:color w:val="auto"/>
              </w:rPr>
            </w:pPr>
          </w:p>
        </w:tc>
        <w:tc>
          <w:tcPr>
            <w:tcW w:w="100" w:type="dxa"/>
            <w:vAlign w:val="bottom"/>
            <w:tcBorders>
              <w:bottom w:val="single" w:sz="8" w:color="DEEAEB"/>
            </w:tcBorders>
            <w:shd w:val="clear" w:color="auto" w:fill="DEEAEB"/>
          </w:tcPr>
          <w:p>
            <w:pPr>
              <w:spacing w:after="0"/>
              <w:rPr>
                <w:sz w:val="18"/>
                <w:szCs w:val="18"/>
                <w:color w:val="auto"/>
              </w:rPr>
            </w:pPr>
          </w:p>
        </w:tc>
        <w:tc>
          <w:tcPr>
            <w:tcW w:w="6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(150.0</w:t>
            </w:r>
          </w:p>
        </w:tc>
        <w:tc>
          <w:tcPr>
            <w:tcW w:w="120" w:type="dxa"/>
            <w:vAlign w:val="bottom"/>
            <w:tcBorders>
              <w:bottom w:val="single" w:sz="8" w:color="DEEAEB"/>
              <w:right w:val="single" w:sz="8" w:color="007CBA"/>
            </w:tcBorders>
            <w:shd w:val="clear" w:color="auto" w:fill="DEEAEB"/>
          </w:tcPr>
          <w:p>
            <w:pPr>
              <w:jc w:val="right"/>
              <w:spacing w:after="0"/>
              <w:rPr>
                <w:sz w:val="20"/>
                <w:szCs w:val="20"/>
                <w:color w:val="auto"/>
              </w:rPr>
            </w:pPr>
            <w:r>
              <w:rPr>
                <w:rFonts w:ascii="Calibri" w:cs="Calibri" w:eastAsia="Calibri" w:hAnsi="Calibri"/>
                <w:sz w:val="14"/>
                <w:szCs w:val="14"/>
                <w:color w:val="auto"/>
                <w:w w:val="93"/>
              </w:rPr>
              <w:t>)</w:t>
            </w:r>
          </w:p>
        </w:tc>
        <w:tc>
          <w:tcPr>
            <w:tcW w:w="100" w:type="dxa"/>
            <w:vAlign w:val="bottom"/>
            <w:tcBorders>
              <w:bottom w:val="single" w:sz="8" w:color="DEEAEB"/>
            </w:tcBorders>
            <w:shd w:val="clear" w:color="auto" w:fill="DEEAEB"/>
          </w:tcPr>
          <w:p>
            <w:pPr>
              <w:spacing w:after="0"/>
              <w:rPr>
                <w:sz w:val="18"/>
                <w:szCs w:val="18"/>
                <w:color w:val="auto"/>
              </w:rPr>
            </w:pPr>
          </w:p>
        </w:tc>
        <w:tc>
          <w:tcPr>
            <w:tcW w:w="120" w:type="dxa"/>
            <w:vAlign w:val="bottom"/>
            <w:tcBorders>
              <w:bottom w:val="single" w:sz="8" w:color="DEEAEB"/>
            </w:tcBorders>
            <w:shd w:val="clear" w:color="auto" w:fill="DEEAEB"/>
          </w:tcPr>
          <w:p>
            <w:pPr>
              <w:spacing w:after="0"/>
              <w:rPr>
                <w:sz w:val="18"/>
                <w:szCs w:val="18"/>
                <w:color w:val="auto"/>
              </w:rPr>
            </w:pPr>
          </w:p>
        </w:tc>
        <w:tc>
          <w:tcPr>
            <w:tcW w:w="68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007CBA"/>
            </w:tcBorders>
            <w:shd w:val="clear" w:color="auto" w:fill="DEEAEB"/>
          </w:tcPr>
          <w:p>
            <w:pPr>
              <w:spacing w:after="0"/>
              <w:rPr>
                <w:sz w:val="18"/>
                <w:szCs w:val="18"/>
                <w:color w:val="auto"/>
              </w:rPr>
            </w:pPr>
          </w:p>
        </w:tc>
        <w:tc>
          <w:tcPr>
            <w:tcW w:w="100" w:type="dxa"/>
            <w:vAlign w:val="bottom"/>
            <w:tcBorders>
              <w:bottom w:val="single" w:sz="8" w:color="DEEAEB"/>
            </w:tcBorders>
            <w:shd w:val="clear" w:color="auto" w:fill="DEEAEB"/>
          </w:tcPr>
          <w:p>
            <w:pPr>
              <w:spacing w:after="0"/>
              <w:rPr>
                <w:sz w:val="18"/>
                <w:szCs w:val="18"/>
                <w:color w:val="auto"/>
              </w:rPr>
            </w:pPr>
          </w:p>
        </w:tc>
        <w:tc>
          <w:tcPr>
            <w:tcW w:w="100" w:type="dxa"/>
            <w:vAlign w:val="bottom"/>
            <w:tcBorders>
              <w:bottom w:val="single" w:sz="8" w:color="DEEAEB"/>
            </w:tcBorders>
            <w:shd w:val="clear" w:color="auto" w:fill="DEEAEB"/>
          </w:tcPr>
          <w:p>
            <w:pPr>
              <w:spacing w:after="0"/>
              <w:rPr>
                <w:sz w:val="18"/>
                <w:szCs w:val="18"/>
                <w:color w:val="auto"/>
              </w:rPr>
            </w:pPr>
          </w:p>
        </w:tc>
        <w:tc>
          <w:tcPr>
            <w:tcW w:w="700" w:type="dxa"/>
            <w:vAlign w:val="bottom"/>
            <w:tcBorders>
              <w:bottom w:val="single" w:sz="8" w:color="DEEAEB"/>
            </w:tcBorders>
            <w:shd w:val="clear" w:color="auto" w:fill="DEEAEB"/>
          </w:tcPr>
          <w:p>
            <w:pPr>
              <w:jc w:val="right"/>
              <w:spacing w:after="0"/>
              <w:rPr>
                <w:sz w:val="20"/>
                <w:szCs w:val="20"/>
                <w:color w:val="auto"/>
              </w:rPr>
            </w:pPr>
            <w:r>
              <w:rPr>
                <w:rFonts w:ascii="Calibri" w:cs="Calibri" w:eastAsia="Calibri" w:hAnsi="Calibri"/>
                <w:sz w:val="14"/>
                <w:szCs w:val="14"/>
                <w:color w:val="auto"/>
              </w:rPr>
              <w:t>(150.0</w:t>
            </w:r>
          </w:p>
        </w:tc>
        <w:tc>
          <w:tcPr>
            <w:tcW w:w="100" w:type="dxa"/>
            <w:vAlign w:val="bottom"/>
            <w:tcBorders>
              <w:bottom w:val="single" w:sz="8" w:color="DEEAEB"/>
              <w:right w:val="single" w:sz="8" w:color="DEEAEB"/>
            </w:tcBorders>
            <w:shd w:val="clear" w:color="auto" w:fill="DEEAEB"/>
          </w:tcPr>
          <w:p>
            <w:pPr>
              <w:jc w:val="right"/>
              <w:ind w:right="2"/>
              <w:spacing w:after="0"/>
              <w:rPr>
                <w:sz w:val="20"/>
                <w:szCs w:val="20"/>
                <w:color w:val="auto"/>
              </w:rPr>
            </w:pPr>
            <w:r>
              <w:rPr>
                <w:rFonts w:ascii="Calibri" w:cs="Calibri" w:eastAsia="Calibri" w:hAnsi="Calibri"/>
                <w:sz w:val="9"/>
                <w:szCs w:val="9"/>
                <w:color w:val="auto"/>
                <w:w w:val="71"/>
              </w:rPr>
              <w:t>)</w:t>
            </w:r>
          </w:p>
        </w:tc>
        <w:tc>
          <w:tcPr>
            <w:tcW w:w="0" w:type="dxa"/>
            <w:vAlign w:val="bottom"/>
          </w:tcPr>
          <w:p>
            <w:pPr>
              <w:spacing w:after="0"/>
              <w:rPr>
                <w:sz w:val="1"/>
                <w:szCs w:val="1"/>
                <w:color w:val="auto"/>
              </w:rPr>
            </w:pPr>
          </w:p>
        </w:tc>
      </w:tr>
      <w:tr>
        <w:trPr>
          <w:trHeight w:val="203"/>
        </w:trPr>
        <w:tc>
          <w:tcPr>
            <w:tcW w:w="3060" w:type="dxa"/>
            <w:vAlign w:val="bottom"/>
          </w:tcPr>
          <w:p>
            <w:pPr>
              <w:ind w:left="160"/>
              <w:spacing w:after="0" w:line="169" w:lineRule="exact"/>
              <w:rPr>
                <w:sz w:val="20"/>
                <w:szCs w:val="20"/>
                <w:color w:val="auto"/>
              </w:rPr>
            </w:pPr>
            <w:r>
              <w:rPr>
                <w:rFonts w:ascii="Calibri" w:cs="Calibri" w:eastAsia="Calibri" w:hAnsi="Calibri"/>
                <w:sz w:val="14"/>
                <w:szCs w:val="14"/>
                <w:color w:val="auto"/>
              </w:rPr>
              <w:t>Stock-based compensaton expense</w:t>
            </w:r>
          </w:p>
        </w:tc>
        <w:tc>
          <w:tcPr>
            <w:tcW w:w="100" w:type="dxa"/>
            <w:vAlign w:val="bottom"/>
            <w:tcBorders>
              <w:bottom w:val="single" w:sz="8" w:color="DEEAEB"/>
            </w:tcBorders>
            <w:shd w:val="clear" w:color="auto" w:fill="DEEAEB"/>
          </w:tcPr>
          <w:p>
            <w:pPr>
              <w:spacing w:after="0"/>
              <w:rPr>
                <w:sz w:val="17"/>
                <w:szCs w:val="17"/>
                <w:color w:val="auto"/>
              </w:rPr>
            </w:pPr>
          </w:p>
        </w:tc>
        <w:tc>
          <w:tcPr>
            <w:tcW w:w="620" w:type="dxa"/>
            <w:vAlign w:val="bottom"/>
            <w:tcBorders>
              <w:bottom w:val="single" w:sz="8" w:color="DEEAEB"/>
            </w:tcBorders>
            <w:shd w:val="clear" w:color="auto" w:fill="DEEAEB"/>
          </w:tcPr>
          <w:p>
            <w:pPr>
              <w:jc w:val="right"/>
              <w:spacing w:after="0" w:line="169" w:lineRule="exact"/>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DEEAEB"/>
            </w:tcBorders>
            <w:shd w:val="clear" w:color="auto" w:fill="DEEAEB"/>
          </w:tcPr>
          <w:p>
            <w:pPr>
              <w:spacing w:after="0"/>
              <w:rPr>
                <w:sz w:val="17"/>
                <w:szCs w:val="17"/>
                <w:color w:val="auto"/>
              </w:rPr>
            </w:pPr>
          </w:p>
        </w:tc>
        <w:tc>
          <w:tcPr>
            <w:tcW w:w="120" w:type="dxa"/>
            <w:vAlign w:val="bottom"/>
            <w:tcBorders>
              <w:bottom w:val="single" w:sz="8" w:color="DEEAEB"/>
            </w:tcBorders>
            <w:shd w:val="clear" w:color="auto" w:fill="DEEAEB"/>
          </w:tcPr>
          <w:p>
            <w:pPr>
              <w:spacing w:after="0"/>
              <w:rPr>
                <w:sz w:val="17"/>
                <w:szCs w:val="17"/>
                <w:color w:val="auto"/>
              </w:rPr>
            </w:pPr>
          </w:p>
        </w:tc>
        <w:tc>
          <w:tcPr>
            <w:tcW w:w="120" w:type="dxa"/>
            <w:vAlign w:val="bottom"/>
            <w:tcBorders>
              <w:bottom w:val="single" w:sz="8" w:color="DEEAEB"/>
            </w:tcBorders>
            <w:shd w:val="clear" w:color="auto" w:fill="DEEAEB"/>
          </w:tcPr>
          <w:p>
            <w:pPr>
              <w:spacing w:after="0"/>
              <w:rPr>
                <w:sz w:val="17"/>
                <w:szCs w:val="17"/>
                <w:color w:val="auto"/>
              </w:rPr>
            </w:pPr>
          </w:p>
        </w:tc>
        <w:tc>
          <w:tcPr>
            <w:tcW w:w="700" w:type="dxa"/>
            <w:vAlign w:val="bottom"/>
            <w:tcBorders>
              <w:bottom w:val="single" w:sz="8" w:color="DEEAEB"/>
            </w:tcBorders>
            <w:shd w:val="clear" w:color="auto" w:fill="DEEAEB"/>
          </w:tcPr>
          <w:p>
            <w:pPr>
              <w:jc w:val="right"/>
              <w:spacing w:after="0" w:line="169" w:lineRule="exact"/>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DEEAEB"/>
            </w:tcBorders>
            <w:shd w:val="clear" w:color="auto" w:fill="DEEAEB"/>
          </w:tcPr>
          <w:p>
            <w:pPr>
              <w:spacing w:after="0"/>
              <w:rPr>
                <w:sz w:val="17"/>
                <w:szCs w:val="17"/>
                <w:color w:val="auto"/>
              </w:rPr>
            </w:pPr>
          </w:p>
        </w:tc>
        <w:tc>
          <w:tcPr>
            <w:tcW w:w="120" w:type="dxa"/>
            <w:vAlign w:val="bottom"/>
            <w:tcBorders>
              <w:bottom w:val="single" w:sz="8" w:color="DEEAEB"/>
            </w:tcBorders>
            <w:shd w:val="clear" w:color="auto" w:fill="DEEAEB"/>
          </w:tcPr>
          <w:p>
            <w:pPr>
              <w:spacing w:after="0"/>
              <w:rPr>
                <w:sz w:val="17"/>
                <w:szCs w:val="17"/>
                <w:color w:val="auto"/>
              </w:rPr>
            </w:pPr>
          </w:p>
        </w:tc>
        <w:tc>
          <w:tcPr>
            <w:tcW w:w="80" w:type="dxa"/>
            <w:vAlign w:val="bottom"/>
            <w:tcBorders>
              <w:bottom w:val="single" w:sz="8" w:color="DEEAEB"/>
            </w:tcBorders>
            <w:shd w:val="clear" w:color="auto" w:fill="DEEAEB"/>
          </w:tcPr>
          <w:p>
            <w:pPr>
              <w:spacing w:after="0"/>
              <w:rPr>
                <w:sz w:val="17"/>
                <w:szCs w:val="17"/>
                <w:color w:val="auto"/>
              </w:rPr>
            </w:pPr>
          </w:p>
        </w:tc>
        <w:tc>
          <w:tcPr>
            <w:tcW w:w="40" w:type="dxa"/>
            <w:vAlign w:val="bottom"/>
            <w:tcBorders>
              <w:bottom w:val="single" w:sz="8" w:color="DEEAEB"/>
            </w:tcBorders>
            <w:shd w:val="clear" w:color="auto" w:fill="DEEAEB"/>
          </w:tcPr>
          <w:p>
            <w:pPr>
              <w:spacing w:after="0"/>
              <w:rPr>
                <w:sz w:val="17"/>
                <w:szCs w:val="17"/>
                <w:color w:val="auto"/>
              </w:rPr>
            </w:pPr>
          </w:p>
        </w:tc>
        <w:tc>
          <w:tcPr>
            <w:tcW w:w="700" w:type="dxa"/>
            <w:vAlign w:val="bottom"/>
            <w:tcBorders>
              <w:bottom w:val="single" w:sz="8" w:color="DEEAEB"/>
            </w:tcBorders>
            <w:shd w:val="clear" w:color="auto" w:fill="DEEAEB"/>
          </w:tcPr>
          <w:p>
            <w:pPr>
              <w:jc w:val="right"/>
              <w:spacing w:after="0" w:line="169" w:lineRule="exact"/>
              <w:rPr>
                <w:sz w:val="20"/>
                <w:szCs w:val="20"/>
                <w:color w:val="auto"/>
              </w:rPr>
            </w:pPr>
            <w:r>
              <w:rPr>
                <w:rFonts w:ascii="Calibri" w:cs="Calibri" w:eastAsia="Calibri" w:hAnsi="Calibri"/>
                <w:sz w:val="14"/>
                <w:szCs w:val="14"/>
                <w:color w:val="auto"/>
              </w:rPr>
              <w:t>42.7</w:t>
            </w:r>
          </w:p>
        </w:tc>
        <w:tc>
          <w:tcPr>
            <w:tcW w:w="140" w:type="dxa"/>
            <w:vAlign w:val="bottom"/>
            <w:tcBorders>
              <w:bottom w:val="single" w:sz="8" w:color="DEEAEB"/>
              <w:right w:val="single" w:sz="8" w:color="DEEAEB"/>
            </w:tcBorders>
            <w:shd w:val="clear" w:color="auto" w:fill="DEEAEB"/>
          </w:tcPr>
          <w:p>
            <w:pPr>
              <w:spacing w:after="0"/>
              <w:rPr>
                <w:sz w:val="17"/>
                <w:szCs w:val="17"/>
                <w:color w:val="auto"/>
              </w:rPr>
            </w:pPr>
          </w:p>
        </w:tc>
        <w:tc>
          <w:tcPr>
            <w:tcW w:w="120" w:type="dxa"/>
            <w:vAlign w:val="bottom"/>
            <w:tcBorders>
              <w:bottom w:val="single" w:sz="8" w:color="DEEAEB"/>
            </w:tcBorders>
            <w:shd w:val="clear" w:color="auto" w:fill="DEEAEB"/>
          </w:tcPr>
          <w:p>
            <w:pPr>
              <w:spacing w:after="0"/>
              <w:rPr>
                <w:sz w:val="17"/>
                <w:szCs w:val="17"/>
                <w:color w:val="auto"/>
              </w:rPr>
            </w:pPr>
          </w:p>
        </w:tc>
        <w:tc>
          <w:tcPr>
            <w:tcW w:w="120" w:type="dxa"/>
            <w:vAlign w:val="bottom"/>
            <w:tcBorders>
              <w:bottom w:val="single" w:sz="8" w:color="DEEAEB"/>
            </w:tcBorders>
            <w:shd w:val="clear" w:color="auto" w:fill="DEEAEB"/>
          </w:tcPr>
          <w:p>
            <w:pPr>
              <w:spacing w:after="0"/>
              <w:rPr>
                <w:sz w:val="17"/>
                <w:szCs w:val="17"/>
                <w:color w:val="auto"/>
              </w:rPr>
            </w:pPr>
          </w:p>
        </w:tc>
        <w:tc>
          <w:tcPr>
            <w:tcW w:w="800" w:type="dxa"/>
            <w:vAlign w:val="bottom"/>
            <w:tcBorders>
              <w:bottom w:val="single" w:sz="8" w:color="DEEAEB"/>
            </w:tcBorders>
            <w:shd w:val="clear" w:color="auto" w:fill="DEEAEB"/>
          </w:tcPr>
          <w:p>
            <w:pPr>
              <w:jc w:val="right"/>
              <w:spacing w:after="0" w:line="169" w:lineRule="exact"/>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DEEAEB"/>
            </w:tcBorders>
            <w:shd w:val="clear" w:color="auto" w:fill="DEEAEB"/>
          </w:tcPr>
          <w:p>
            <w:pPr>
              <w:spacing w:after="0"/>
              <w:rPr>
                <w:sz w:val="17"/>
                <w:szCs w:val="17"/>
                <w:color w:val="auto"/>
              </w:rPr>
            </w:pPr>
          </w:p>
        </w:tc>
        <w:tc>
          <w:tcPr>
            <w:tcW w:w="100" w:type="dxa"/>
            <w:vAlign w:val="bottom"/>
            <w:tcBorders>
              <w:bottom w:val="single" w:sz="8" w:color="DEEAEB"/>
            </w:tcBorders>
            <w:shd w:val="clear" w:color="auto" w:fill="DEEAEB"/>
          </w:tcPr>
          <w:p>
            <w:pPr>
              <w:spacing w:after="0"/>
              <w:rPr>
                <w:sz w:val="17"/>
                <w:szCs w:val="17"/>
                <w:color w:val="auto"/>
              </w:rPr>
            </w:pPr>
          </w:p>
        </w:tc>
        <w:tc>
          <w:tcPr>
            <w:tcW w:w="100" w:type="dxa"/>
            <w:vAlign w:val="bottom"/>
            <w:tcBorders>
              <w:bottom w:val="single" w:sz="8" w:color="DEEAEB"/>
            </w:tcBorders>
            <w:shd w:val="clear" w:color="auto" w:fill="DEEAEB"/>
          </w:tcPr>
          <w:p>
            <w:pPr>
              <w:spacing w:after="0"/>
              <w:rPr>
                <w:sz w:val="17"/>
                <w:szCs w:val="17"/>
                <w:color w:val="auto"/>
              </w:rPr>
            </w:pPr>
          </w:p>
        </w:tc>
        <w:tc>
          <w:tcPr>
            <w:tcW w:w="700" w:type="dxa"/>
            <w:vAlign w:val="bottom"/>
            <w:tcBorders>
              <w:bottom w:val="single" w:sz="8" w:color="DEEAEB"/>
            </w:tcBorders>
            <w:shd w:val="clear" w:color="auto" w:fill="DEEAEB"/>
          </w:tcPr>
          <w:p>
            <w:pPr>
              <w:jc w:val="right"/>
              <w:spacing w:after="0" w:line="169" w:lineRule="exact"/>
              <w:rPr>
                <w:sz w:val="20"/>
                <w:szCs w:val="20"/>
                <w:color w:val="auto"/>
              </w:rPr>
            </w:pPr>
            <w:r>
              <w:rPr>
                <w:rFonts w:ascii="Calibri" w:cs="Calibri" w:eastAsia="Calibri" w:hAnsi="Calibri"/>
                <w:sz w:val="14"/>
                <w:szCs w:val="14"/>
                <w:color w:val="auto"/>
              </w:rPr>
              <w:t>—</w:t>
            </w:r>
          </w:p>
        </w:tc>
        <w:tc>
          <w:tcPr>
            <w:tcW w:w="100" w:type="dxa"/>
            <w:vAlign w:val="bottom"/>
            <w:tcBorders>
              <w:bottom w:val="single" w:sz="8" w:color="DEEAEB"/>
              <w:right w:val="single" w:sz="8" w:color="DEEAEB"/>
            </w:tcBorders>
            <w:shd w:val="clear" w:color="auto" w:fill="DEEAEB"/>
          </w:tcPr>
          <w:p>
            <w:pPr>
              <w:spacing w:after="0"/>
              <w:rPr>
                <w:sz w:val="17"/>
                <w:szCs w:val="17"/>
                <w:color w:val="auto"/>
              </w:rPr>
            </w:pPr>
          </w:p>
        </w:tc>
        <w:tc>
          <w:tcPr>
            <w:tcW w:w="120" w:type="dxa"/>
            <w:vAlign w:val="bottom"/>
            <w:tcBorders>
              <w:bottom w:val="single" w:sz="8" w:color="DEEAEB"/>
            </w:tcBorders>
            <w:shd w:val="clear" w:color="auto" w:fill="DEEAEB"/>
          </w:tcPr>
          <w:p>
            <w:pPr>
              <w:spacing w:after="0"/>
              <w:rPr>
                <w:sz w:val="17"/>
                <w:szCs w:val="17"/>
                <w:color w:val="auto"/>
              </w:rPr>
            </w:pPr>
          </w:p>
        </w:tc>
        <w:tc>
          <w:tcPr>
            <w:tcW w:w="100" w:type="dxa"/>
            <w:vAlign w:val="bottom"/>
            <w:tcBorders>
              <w:bottom w:val="single" w:sz="8" w:color="DEEAEB"/>
            </w:tcBorders>
            <w:shd w:val="clear" w:color="auto" w:fill="DEEAEB"/>
          </w:tcPr>
          <w:p>
            <w:pPr>
              <w:spacing w:after="0"/>
              <w:rPr>
                <w:sz w:val="17"/>
                <w:szCs w:val="17"/>
                <w:color w:val="auto"/>
              </w:rPr>
            </w:pPr>
          </w:p>
        </w:tc>
        <w:tc>
          <w:tcPr>
            <w:tcW w:w="680" w:type="dxa"/>
            <w:vAlign w:val="bottom"/>
            <w:tcBorders>
              <w:bottom w:val="single" w:sz="8" w:color="DEEAEB"/>
            </w:tcBorders>
            <w:shd w:val="clear" w:color="auto" w:fill="DEEAEB"/>
          </w:tcPr>
          <w:p>
            <w:pPr>
              <w:jc w:val="right"/>
              <w:spacing w:after="0" w:line="169" w:lineRule="exact"/>
              <w:rPr>
                <w:sz w:val="20"/>
                <w:szCs w:val="20"/>
                <w:color w:val="auto"/>
              </w:rPr>
            </w:pPr>
            <w:r>
              <w:rPr>
                <w:rFonts w:ascii="Calibri" w:cs="Calibri" w:eastAsia="Calibri" w:hAnsi="Calibri"/>
                <w:sz w:val="14"/>
                <w:szCs w:val="14"/>
                <w:color w:val="auto"/>
              </w:rPr>
              <w:t>42.7</w:t>
            </w:r>
          </w:p>
        </w:tc>
        <w:tc>
          <w:tcPr>
            <w:tcW w:w="120" w:type="dxa"/>
            <w:vAlign w:val="bottom"/>
            <w:tcBorders>
              <w:bottom w:val="single" w:sz="8" w:color="DEEAEB"/>
              <w:right w:val="single" w:sz="8" w:color="DEEAEB"/>
            </w:tcBorders>
            <w:shd w:val="clear" w:color="auto" w:fill="DEEAEB"/>
          </w:tcPr>
          <w:p>
            <w:pPr>
              <w:spacing w:after="0"/>
              <w:rPr>
                <w:sz w:val="17"/>
                <w:szCs w:val="17"/>
                <w:color w:val="auto"/>
              </w:rPr>
            </w:pPr>
          </w:p>
        </w:tc>
        <w:tc>
          <w:tcPr>
            <w:tcW w:w="100" w:type="dxa"/>
            <w:vAlign w:val="bottom"/>
            <w:tcBorders>
              <w:bottom w:val="single" w:sz="8" w:color="DEEAEB"/>
            </w:tcBorders>
            <w:shd w:val="clear" w:color="auto" w:fill="DEEAEB"/>
          </w:tcPr>
          <w:p>
            <w:pPr>
              <w:spacing w:after="0"/>
              <w:rPr>
                <w:sz w:val="17"/>
                <w:szCs w:val="17"/>
                <w:color w:val="auto"/>
              </w:rPr>
            </w:pPr>
          </w:p>
        </w:tc>
        <w:tc>
          <w:tcPr>
            <w:tcW w:w="120" w:type="dxa"/>
            <w:vAlign w:val="bottom"/>
            <w:tcBorders>
              <w:bottom w:val="single" w:sz="8" w:color="DEEAEB"/>
            </w:tcBorders>
            <w:shd w:val="clear" w:color="auto" w:fill="DEEAEB"/>
          </w:tcPr>
          <w:p>
            <w:pPr>
              <w:spacing w:after="0"/>
              <w:rPr>
                <w:sz w:val="17"/>
                <w:szCs w:val="17"/>
                <w:color w:val="auto"/>
              </w:rPr>
            </w:pPr>
          </w:p>
        </w:tc>
        <w:tc>
          <w:tcPr>
            <w:tcW w:w="680" w:type="dxa"/>
            <w:vAlign w:val="bottom"/>
            <w:tcBorders>
              <w:bottom w:val="single" w:sz="8" w:color="DEEAEB"/>
            </w:tcBorders>
            <w:shd w:val="clear" w:color="auto" w:fill="DEEAEB"/>
          </w:tcPr>
          <w:p>
            <w:pPr>
              <w:jc w:val="right"/>
              <w:spacing w:after="0" w:line="169" w:lineRule="exact"/>
              <w:rPr>
                <w:sz w:val="20"/>
                <w:szCs w:val="20"/>
                <w:color w:val="auto"/>
              </w:rPr>
            </w:pPr>
            <w:r>
              <w:rPr>
                <w:rFonts w:ascii="Calibri" w:cs="Calibri" w:eastAsia="Calibri" w:hAnsi="Calibri"/>
                <w:sz w:val="14"/>
                <w:szCs w:val="14"/>
                <w:color w:val="auto"/>
              </w:rPr>
              <w:t>—</w:t>
            </w:r>
          </w:p>
        </w:tc>
        <w:tc>
          <w:tcPr>
            <w:tcW w:w="120" w:type="dxa"/>
            <w:vAlign w:val="bottom"/>
            <w:tcBorders>
              <w:bottom w:val="single" w:sz="8" w:color="DEEAEB"/>
              <w:right w:val="single" w:sz="8" w:color="DEEAEB"/>
            </w:tcBorders>
            <w:shd w:val="clear" w:color="auto" w:fill="DEEAEB"/>
          </w:tcPr>
          <w:p>
            <w:pPr>
              <w:spacing w:after="0"/>
              <w:rPr>
                <w:sz w:val="17"/>
                <w:szCs w:val="17"/>
                <w:color w:val="auto"/>
              </w:rPr>
            </w:pPr>
          </w:p>
        </w:tc>
        <w:tc>
          <w:tcPr>
            <w:tcW w:w="100" w:type="dxa"/>
            <w:vAlign w:val="bottom"/>
            <w:tcBorders>
              <w:bottom w:val="single" w:sz="8" w:color="DEEAEB"/>
            </w:tcBorders>
            <w:shd w:val="clear" w:color="auto" w:fill="DEEAEB"/>
          </w:tcPr>
          <w:p>
            <w:pPr>
              <w:spacing w:after="0"/>
              <w:rPr>
                <w:sz w:val="17"/>
                <w:szCs w:val="17"/>
                <w:color w:val="auto"/>
              </w:rPr>
            </w:pPr>
          </w:p>
        </w:tc>
        <w:tc>
          <w:tcPr>
            <w:tcW w:w="100" w:type="dxa"/>
            <w:vAlign w:val="bottom"/>
            <w:tcBorders>
              <w:bottom w:val="single" w:sz="8" w:color="DEEAEB"/>
            </w:tcBorders>
            <w:shd w:val="clear" w:color="auto" w:fill="DEEAEB"/>
          </w:tcPr>
          <w:p>
            <w:pPr>
              <w:spacing w:after="0"/>
              <w:rPr>
                <w:sz w:val="17"/>
                <w:szCs w:val="17"/>
                <w:color w:val="auto"/>
              </w:rPr>
            </w:pPr>
          </w:p>
        </w:tc>
        <w:tc>
          <w:tcPr>
            <w:tcW w:w="700" w:type="dxa"/>
            <w:vAlign w:val="bottom"/>
            <w:tcBorders>
              <w:bottom w:val="single" w:sz="8" w:color="DEEAEB"/>
            </w:tcBorders>
            <w:shd w:val="clear" w:color="auto" w:fill="DEEAEB"/>
          </w:tcPr>
          <w:p>
            <w:pPr>
              <w:jc w:val="right"/>
              <w:spacing w:after="0" w:line="169" w:lineRule="exact"/>
              <w:rPr>
                <w:sz w:val="20"/>
                <w:szCs w:val="20"/>
                <w:color w:val="auto"/>
              </w:rPr>
            </w:pPr>
            <w:r>
              <w:rPr>
                <w:rFonts w:ascii="Calibri" w:cs="Calibri" w:eastAsia="Calibri" w:hAnsi="Calibri"/>
                <w:sz w:val="14"/>
                <w:szCs w:val="14"/>
                <w:color w:val="auto"/>
              </w:rPr>
              <w:t>42.7</w:t>
            </w:r>
          </w:p>
        </w:tc>
        <w:tc>
          <w:tcPr>
            <w:tcW w:w="100" w:type="dxa"/>
            <w:vAlign w:val="bottom"/>
            <w:tcBorders>
              <w:bottom w:val="single" w:sz="8" w:color="DEEAEB"/>
              <w:right w:val="single" w:sz="8" w:color="DEEAEB"/>
            </w:tcBorders>
            <w:shd w:val="clear" w:color="auto" w:fill="DEEAEB"/>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060" w:type="dxa"/>
            <w:vAlign w:val="bottom"/>
            <w:tcBorders>
              <w:top w:val="single" w:sz="8" w:color="auto"/>
              <w:right w:val="single" w:sz="8" w:color="007CBA"/>
            </w:tcBorders>
            <w:vMerge w:val="restart"/>
          </w:tcPr>
          <w:p>
            <w:pPr>
              <w:ind w:left="20"/>
              <w:spacing w:after="0"/>
              <w:rPr>
                <w:sz w:val="20"/>
                <w:szCs w:val="20"/>
                <w:color w:val="auto"/>
              </w:rPr>
            </w:pPr>
            <w:r>
              <w:rPr>
                <w:rFonts w:ascii="Calibri" w:cs="Calibri" w:eastAsia="Calibri" w:hAnsi="Calibri"/>
                <w:sz w:val="14"/>
                <w:szCs w:val="14"/>
                <w:color w:val="auto"/>
              </w:rPr>
              <w:t>Balance at December 31, 2022</w:t>
            </w:r>
          </w:p>
        </w:tc>
        <w:tc>
          <w:tcPr>
            <w:tcW w:w="100" w:type="dxa"/>
            <w:vAlign w:val="bottom"/>
            <w:tcBorders>
              <w:top w:val="single" w:sz="8" w:color="auto"/>
            </w:tcBorders>
            <w:shd w:val="clear" w:color="auto" w:fill="B6D2E2"/>
          </w:tcPr>
          <w:p>
            <w:pPr>
              <w:spacing w:after="0"/>
              <w:rPr>
                <w:sz w:val="14"/>
                <w:szCs w:val="14"/>
                <w:color w:val="auto"/>
              </w:rPr>
            </w:pPr>
          </w:p>
        </w:tc>
        <w:tc>
          <w:tcPr>
            <w:tcW w:w="620" w:type="dxa"/>
            <w:vAlign w:val="bottom"/>
            <w:tcBorders>
              <w:top w:val="single" w:sz="8" w:color="auto"/>
            </w:tcBorders>
            <w:shd w:val="clear" w:color="auto" w:fill="B6D2E2"/>
          </w:tcPr>
          <w:p>
            <w:pPr>
              <w:jc w:val="right"/>
              <w:spacing w:after="0" w:line="164" w:lineRule="exact"/>
              <w:rPr>
                <w:sz w:val="20"/>
                <w:szCs w:val="20"/>
                <w:color w:val="auto"/>
              </w:rPr>
            </w:pPr>
            <w:r>
              <w:rPr>
                <w:rFonts w:ascii="Calibri" w:cs="Calibri" w:eastAsia="Calibri" w:hAnsi="Calibri"/>
                <w:sz w:val="14"/>
                <w:szCs w:val="14"/>
                <w:color w:val="auto"/>
              </w:rPr>
              <w:t>62,102,3</w:t>
            </w:r>
          </w:p>
        </w:tc>
        <w:tc>
          <w:tcPr>
            <w:tcW w:w="120" w:type="dxa"/>
            <w:vAlign w:val="bottom"/>
            <w:tcBorders>
              <w:top w:val="single" w:sz="8" w:color="auto"/>
              <w:right w:val="single" w:sz="8" w:color="007CBA"/>
            </w:tcBorders>
            <w:shd w:val="clear" w:color="auto" w:fill="B6D2E2"/>
          </w:tcPr>
          <w:p>
            <w:pPr>
              <w:spacing w:after="0"/>
              <w:rPr>
                <w:sz w:val="14"/>
                <w:szCs w:val="14"/>
                <w:color w:val="auto"/>
              </w:rPr>
            </w:pPr>
          </w:p>
        </w:tc>
        <w:tc>
          <w:tcPr>
            <w:tcW w:w="120" w:type="dxa"/>
            <w:vAlign w:val="bottom"/>
            <w:tcBorders>
              <w:top w:val="single" w:sz="8" w:color="auto"/>
            </w:tcBorders>
            <w:shd w:val="clear" w:color="auto" w:fill="B6D2E2"/>
          </w:tcPr>
          <w:p>
            <w:pPr>
              <w:spacing w:after="0"/>
              <w:rPr>
                <w:sz w:val="14"/>
                <w:szCs w:val="14"/>
                <w:color w:val="auto"/>
              </w:rPr>
            </w:pPr>
          </w:p>
        </w:tc>
        <w:tc>
          <w:tcPr>
            <w:tcW w:w="120" w:type="dxa"/>
            <w:vAlign w:val="bottom"/>
            <w:tcBorders>
              <w:top w:val="single" w:sz="8" w:color="auto"/>
            </w:tcBorders>
            <w:shd w:val="clear" w:color="auto" w:fill="B6D2E2"/>
          </w:tcPr>
          <w:p>
            <w:pPr>
              <w:spacing w:after="0"/>
              <w:rPr>
                <w:sz w:val="14"/>
                <w:szCs w:val="14"/>
                <w:color w:val="auto"/>
              </w:rPr>
            </w:pPr>
          </w:p>
        </w:tc>
        <w:tc>
          <w:tcPr>
            <w:tcW w:w="700" w:type="dxa"/>
            <w:vAlign w:val="bottom"/>
            <w:tcBorders>
              <w:top w:val="single" w:sz="8" w:color="auto"/>
            </w:tcBorders>
            <w:shd w:val="clear" w:color="auto" w:fill="B6D2E2"/>
          </w:tcPr>
          <w:p>
            <w:pPr>
              <w:spacing w:after="0"/>
              <w:rPr>
                <w:sz w:val="14"/>
                <w:szCs w:val="14"/>
                <w:color w:val="auto"/>
              </w:rPr>
            </w:pPr>
          </w:p>
        </w:tc>
        <w:tc>
          <w:tcPr>
            <w:tcW w:w="120" w:type="dxa"/>
            <w:vAlign w:val="bottom"/>
            <w:tcBorders>
              <w:top w:val="single" w:sz="8" w:color="auto"/>
              <w:right w:val="single" w:sz="8" w:color="007CBA"/>
            </w:tcBorders>
            <w:shd w:val="clear" w:color="auto" w:fill="B6D2E2"/>
          </w:tcPr>
          <w:p>
            <w:pPr>
              <w:spacing w:after="0"/>
              <w:rPr>
                <w:sz w:val="14"/>
                <w:szCs w:val="14"/>
                <w:color w:val="auto"/>
              </w:rPr>
            </w:pPr>
          </w:p>
        </w:tc>
        <w:tc>
          <w:tcPr>
            <w:tcW w:w="120" w:type="dxa"/>
            <w:vAlign w:val="bottom"/>
            <w:tcBorders>
              <w:top w:val="single" w:sz="8" w:color="auto"/>
            </w:tcBorders>
            <w:shd w:val="clear" w:color="auto" w:fill="B6D2E2"/>
          </w:tcPr>
          <w:p>
            <w:pPr>
              <w:spacing w:after="0"/>
              <w:rPr>
                <w:sz w:val="14"/>
                <w:szCs w:val="14"/>
                <w:color w:val="auto"/>
              </w:rPr>
            </w:pPr>
          </w:p>
        </w:tc>
        <w:tc>
          <w:tcPr>
            <w:tcW w:w="80" w:type="dxa"/>
            <w:vAlign w:val="bottom"/>
            <w:tcBorders>
              <w:top w:val="single" w:sz="8" w:color="auto"/>
            </w:tcBorders>
            <w:shd w:val="clear" w:color="auto" w:fill="B6D2E2"/>
          </w:tcPr>
          <w:p>
            <w:pPr>
              <w:spacing w:after="0"/>
              <w:rPr>
                <w:sz w:val="14"/>
                <w:szCs w:val="14"/>
                <w:color w:val="auto"/>
              </w:rPr>
            </w:pPr>
          </w:p>
        </w:tc>
        <w:tc>
          <w:tcPr>
            <w:tcW w:w="40" w:type="dxa"/>
            <w:vAlign w:val="bottom"/>
            <w:tcBorders>
              <w:top w:val="single" w:sz="8" w:color="auto"/>
            </w:tcBorders>
            <w:shd w:val="clear" w:color="auto" w:fill="B6D2E2"/>
          </w:tcPr>
          <w:p>
            <w:pPr>
              <w:spacing w:after="0"/>
              <w:rPr>
                <w:sz w:val="14"/>
                <w:szCs w:val="14"/>
                <w:color w:val="auto"/>
              </w:rPr>
            </w:pPr>
          </w:p>
        </w:tc>
        <w:tc>
          <w:tcPr>
            <w:tcW w:w="700" w:type="dxa"/>
            <w:vAlign w:val="bottom"/>
            <w:tcBorders>
              <w:top w:val="single" w:sz="8" w:color="auto"/>
            </w:tcBorders>
            <w:shd w:val="clear" w:color="auto" w:fill="B6D2E2"/>
          </w:tcPr>
          <w:p>
            <w:pPr>
              <w:spacing w:after="0"/>
              <w:rPr>
                <w:sz w:val="14"/>
                <w:szCs w:val="14"/>
                <w:color w:val="auto"/>
              </w:rPr>
            </w:pPr>
          </w:p>
        </w:tc>
        <w:tc>
          <w:tcPr>
            <w:tcW w:w="140" w:type="dxa"/>
            <w:vAlign w:val="bottom"/>
            <w:tcBorders>
              <w:top w:val="single" w:sz="8" w:color="auto"/>
              <w:right w:val="single" w:sz="8" w:color="007CBA"/>
            </w:tcBorders>
            <w:shd w:val="clear" w:color="auto" w:fill="B6D2E2"/>
          </w:tcPr>
          <w:p>
            <w:pPr>
              <w:spacing w:after="0"/>
              <w:rPr>
                <w:sz w:val="14"/>
                <w:szCs w:val="14"/>
                <w:color w:val="auto"/>
              </w:rPr>
            </w:pPr>
          </w:p>
        </w:tc>
        <w:tc>
          <w:tcPr>
            <w:tcW w:w="120" w:type="dxa"/>
            <w:vAlign w:val="bottom"/>
            <w:tcBorders>
              <w:top w:val="single" w:sz="8" w:color="auto"/>
            </w:tcBorders>
            <w:shd w:val="clear" w:color="auto" w:fill="B6D2E2"/>
          </w:tcPr>
          <w:p>
            <w:pPr>
              <w:spacing w:after="0"/>
              <w:rPr>
                <w:sz w:val="14"/>
                <w:szCs w:val="14"/>
                <w:color w:val="auto"/>
              </w:rPr>
            </w:pPr>
          </w:p>
        </w:tc>
        <w:tc>
          <w:tcPr>
            <w:tcW w:w="120" w:type="dxa"/>
            <w:vAlign w:val="bottom"/>
            <w:tcBorders>
              <w:top w:val="single" w:sz="8" w:color="auto"/>
            </w:tcBorders>
            <w:shd w:val="clear" w:color="auto" w:fill="B6D2E2"/>
          </w:tcPr>
          <w:p>
            <w:pPr>
              <w:spacing w:after="0"/>
              <w:rPr>
                <w:sz w:val="14"/>
                <w:szCs w:val="14"/>
                <w:color w:val="auto"/>
              </w:rPr>
            </w:pPr>
          </w:p>
        </w:tc>
        <w:tc>
          <w:tcPr>
            <w:tcW w:w="800" w:type="dxa"/>
            <w:vAlign w:val="bottom"/>
            <w:tcBorders>
              <w:top w:val="single" w:sz="8" w:color="auto"/>
            </w:tcBorders>
            <w:shd w:val="clear" w:color="auto" w:fill="B6D2E2"/>
          </w:tcPr>
          <w:p>
            <w:pPr>
              <w:spacing w:after="0"/>
              <w:rPr>
                <w:sz w:val="14"/>
                <w:szCs w:val="14"/>
                <w:color w:val="auto"/>
              </w:rPr>
            </w:pPr>
          </w:p>
        </w:tc>
        <w:tc>
          <w:tcPr>
            <w:tcW w:w="120" w:type="dxa"/>
            <w:vAlign w:val="bottom"/>
            <w:tcBorders>
              <w:top w:val="single" w:sz="8" w:color="auto"/>
              <w:right w:val="single" w:sz="8" w:color="007CBA"/>
            </w:tcBorders>
            <w:shd w:val="clear" w:color="auto" w:fill="B6D2E2"/>
          </w:tcPr>
          <w:p>
            <w:pPr>
              <w:spacing w:after="0"/>
              <w:rPr>
                <w:sz w:val="14"/>
                <w:szCs w:val="14"/>
                <w:color w:val="auto"/>
              </w:rPr>
            </w:pPr>
          </w:p>
        </w:tc>
        <w:tc>
          <w:tcPr>
            <w:tcW w:w="100" w:type="dxa"/>
            <w:vAlign w:val="bottom"/>
            <w:tcBorders>
              <w:top w:val="single" w:sz="8" w:color="auto"/>
            </w:tcBorders>
            <w:shd w:val="clear" w:color="auto" w:fill="B6D2E2"/>
          </w:tcPr>
          <w:p>
            <w:pPr>
              <w:spacing w:after="0"/>
              <w:rPr>
                <w:sz w:val="14"/>
                <w:szCs w:val="14"/>
                <w:color w:val="auto"/>
              </w:rPr>
            </w:pPr>
          </w:p>
        </w:tc>
        <w:tc>
          <w:tcPr>
            <w:tcW w:w="100" w:type="dxa"/>
            <w:vAlign w:val="bottom"/>
            <w:tcBorders>
              <w:top w:val="single" w:sz="8" w:color="auto"/>
            </w:tcBorders>
            <w:shd w:val="clear" w:color="auto" w:fill="B6D2E2"/>
          </w:tcPr>
          <w:p>
            <w:pPr>
              <w:spacing w:after="0"/>
              <w:rPr>
                <w:sz w:val="14"/>
                <w:szCs w:val="14"/>
                <w:color w:val="auto"/>
              </w:rPr>
            </w:pPr>
          </w:p>
        </w:tc>
        <w:tc>
          <w:tcPr>
            <w:tcW w:w="700" w:type="dxa"/>
            <w:vAlign w:val="bottom"/>
            <w:tcBorders>
              <w:top w:val="single" w:sz="8" w:color="auto"/>
            </w:tcBorders>
            <w:shd w:val="clear" w:color="auto" w:fill="B6D2E2"/>
          </w:tcPr>
          <w:p>
            <w:pPr>
              <w:spacing w:after="0"/>
              <w:rPr>
                <w:sz w:val="14"/>
                <w:szCs w:val="14"/>
                <w:color w:val="auto"/>
              </w:rPr>
            </w:pPr>
          </w:p>
        </w:tc>
        <w:tc>
          <w:tcPr>
            <w:tcW w:w="100" w:type="dxa"/>
            <w:vAlign w:val="bottom"/>
            <w:tcBorders>
              <w:top w:val="single" w:sz="8" w:color="auto"/>
              <w:right w:val="single" w:sz="8" w:color="007CBA"/>
            </w:tcBorders>
            <w:shd w:val="clear" w:color="auto" w:fill="B6D2E2"/>
          </w:tcPr>
          <w:p>
            <w:pPr>
              <w:spacing w:after="0"/>
              <w:rPr>
                <w:sz w:val="14"/>
                <w:szCs w:val="14"/>
                <w:color w:val="auto"/>
              </w:rPr>
            </w:pPr>
          </w:p>
        </w:tc>
        <w:tc>
          <w:tcPr>
            <w:tcW w:w="120" w:type="dxa"/>
            <w:vAlign w:val="bottom"/>
            <w:tcBorders>
              <w:top w:val="single" w:sz="8" w:color="auto"/>
            </w:tcBorders>
            <w:shd w:val="clear" w:color="auto" w:fill="B6D2E2"/>
          </w:tcPr>
          <w:p>
            <w:pPr>
              <w:spacing w:after="0"/>
              <w:rPr>
                <w:sz w:val="14"/>
                <w:szCs w:val="14"/>
                <w:color w:val="auto"/>
              </w:rPr>
            </w:pPr>
          </w:p>
        </w:tc>
        <w:tc>
          <w:tcPr>
            <w:tcW w:w="100" w:type="dxa"/>
            <w:vAlign w:val="bottom"/>
            <w:tcBorders>
              <w:top w:val="single" w:sz="8" w:color="auto"/>
            </w:tcBorders>
            <w:shd w:val="clear" w:color="auto" w:fill="B6D2E2"/>
          </w:tcPr>
          <w:p>
            <w:pPr>
              <w:spacing w:after="0"/>
              <w:rPr>
                <w:sz w:val="14"/>
                <w:szCs w:val="14"/>
                <w:color w:val="auto"/>
              </w:rPr>
            </w:pPr>
          </w:p>
        </w:tc>
        <w:tc>
          <w:tcPr>
            <w:tcW w:w="680" w:type="dxa"/>
            <w:vAlign w:val="bottom"/>
            <w:tcBorders>
              <w:top w:val="single" w:sz="8" w:color="auto"/>
            </w:tcBorders>
            <w:shd w:val="clear" w:color="auto" w:fill="B6D2E2"/>
          </w:tcPr>
          <w:p>
            <w:pPr>
              <w:spacing w:after="0"/>
              <w:rPr>
                <w:sz w:val="14"/>
                <w:szCs w:val="14"/>
                <w:color w:val="auto"/>
              </w:rPr>
            </w:pPr>
          </w:p>
        </w:tc>
        <w:tc>
          <w:tcPr>
            <w:tcW w:w="120" w:type="dxa"/>
            <w:vAlign w:val="bottom"/>
            <w:tcBorders>
              <w:top w:val="single" w:sz="8" w:color="auto"/>
              <w:right w:val="single" w:sz="8" w:color="007CBA"/>
            </w:tcBorders>
            <w:shd w:val="clear" w:color="auto" w:fill="B6D2E2"/>
          </w:tcPr>
          <w:p>
            <w:pPr>
              <w:spacing w:after="0"/>
              <w:rPr>
                <w:sz w:val="14"/>
                <w:szCs w:val="14"/>
                <w:color w:val="auto"/>
              </w:rPr>
            </w:pPr>
          </w:p>
        </w:tc>
        <w:tc>
          <w:tcPr>
            <w:tcW w:w="100" w:type="dxa"/>
            <w:vAlign w:val="bottom"/>
            <w:tcBorders>
              <w:top w:val="single" w:sz="8" w:color="auto"/>
            </w:tcBorders>
            <w:shd w:val="clear" w:color="auto" w:fill="B6D2E2"/>
          </w:tcPr>
          <w:p>
            <w:pPr>
              <w:spacing w:after="0"/>
              <w:rPr>
                <w:sz w:val="14"/>
                <w:szCs w:val="14"/>
                <w:color w:val="auto"/>
              </w:rPr>
            </w:pPr>
          </w:p>
        </w:tc>
        <w:tc>
          <w:tcPr>
            <w:tcW w:w="120" w:type="dxa"/>
            <w:vAlign w:val="bottom"/>
            <w:tcBorders>
              <w:top w:val="single" w:sz="8" w:color="auto"/>
            </w:tcBorders>
            <w:shd w:val="clear" w:color="auto" w:fill="B6D2E2"/>
          </w:tcPr>
          <w:p>
            <w:pPr>
              <w:spacing w:after="0"/>
              <w:rPr>
                <w:sz w:val="14"/>
                <w:szCs w:val="14"/>
                <w:color w:val="auto"/>
              </w:rPr>
            </w:pPr>
          </w:p>
        </w:tc>
        <w:tc>
          <w:tcPr>
            <w:tcW w:w="680" w:type="dxa"/>
            <w:vAlign w:val="bottom"/>
            <w:tcBorders>
              <w:top w:val="single" w:sz="8" w:color="auto"/>
            </w:tcBorders>
            <w:shd w:val="clear" w:color="auto" w:fill="B6D2E2"/>
          </w:tcPr>
          <w:p>
            <w:pPr>
              <w:spacing w:after="0"/>
              <w:rPr>
                <w:sz w:val="14"/>
                <w:szCs w:val="14"/>
                <w:color w:val="auto"/>
              </w:rPr>
            </w:pPr>
          </w:p>
        </w:tc>
        <w:tc>
          <w:tcPr>
            <w:tcW w:w="120" w:type="dxa"/>
            <w:vAlign w:val="bottom"/>
            <w:tcBorders>
              <w:top w:val="single" w:sz="8" w:color="auto"/>
              <w:right w:val="single" w:sz="8" w:color="007CBA"/>
            </w:tcBorders>
            <w:shd w:val="clear" w:color="auto" w:fill="B6D2E2"/>
          </w:tcPr>
          <w:p>
            <w:pPr>
              <w:spacing w:after="0"/>
              <w:rPr>
                <w:sz w:val="14"/>
                <w:szCs w:val="14"/>
                <w:color w:val="auto"/>
              </w:rPr>
            </w:pPr>
          </w:p>
        </w:tc>
        <w:tc>
          <w:tcPr>
            <w:tcW w:w="100" w:type="dxa"/>
            <w:vAlign w:val="bottom"/>
            <w:tcBorders>
              <w:top w:val="single" w:sz="8" w:color="auto"/>
            </w:tcBorders>
            <w:shd w:val="clear" w:color="auto" w:fill="B6D2E2"/>
          </w:tcPr>
          <w:p>
            <w:pPr>
              <w:spacing w:after="0"/>
              <w:rPr>
                <w:sz w:val="14"/>
                <w:szCs w:val="14"/>
                <w:color w:val="auto"/>
              </w:rPr>
            </w:pPr>
          </w:p>
        </w:tc>
        <w:tc>
          <w:tcPr>
            <w:tcW w:w="100" w:type="dxa"/>
            <w:vAlign w:val="bottom"/>
            <w:tcBorders>
              <w:top w:val="single" w:sz="8" w:color="auto"/>
            </w:tcBorders>
            <w:shd w:val="clear" w:color="auto" w:fill="B6D2E2"/>
          </w:tcPr>
          <w:p>
            <w:pPr>
              <w:spacing w:after="0"/>
              <w:rPr>
                <w:sz w:val="14"/>
                <w:szCs w:val="14"/>
                <w:color w:val="auto"/>
              </w:rPr>
            </w:pPr>
          </w:p>
        </w:tc>
        <w:tc>
          <w:tcPr>
            <w:tcW w:w="700" w:type="dxa"/>
            <w:vAlign w:val="bottom"/>
            <w:tcBorders>
              <w:top w:val="single" w:sz="8" w:color="auto"/>
            </w:tcBorders>
            <w:shd w:val="clear" w:color="auto" w:fill="B6D2E2"/>
          </w:tcPr>
          <w:p>
            <w:pPr>
              <w:spacing w:after="0"/>
              <w:rPr>
                <w:sz w:val="14"/>
                <w:szCs w:val="14"/>
                <w:color w:val="auto"/>
              </w:rPr>
            </w:pPr>
          </w:p>
        </w:tc>
        <w:tc>
          <w:tcPr>
            <w:tcW w:w="100" w:type="dxa"/>
            <w:vAlign w:val="bottom"/>
            <w:tcBorders>
              <w:top w:val="single" w:sz="8" w:color="auto"/>
              <w:right w:val="single" w:sz="8" w:color="007CBA"/>
            </w:tcBorders>
            <w:shd w:val="clear" w:color="auto" w:fill="B6D2E2"/>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060" w:type="dxa"/>
            <w:vAlign w:val="bottom"/>
            <w:tcBorders>
              <w:right w:val="single" w:sz="8" w:color="007CBA"/>
            </w:tcBorders>
            <w:vMerge w:val="continue"/>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62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color w:val="auto"/>
              </w:rPr>
              <w:t>53</w:t>
            </w:r>
          </w:p>
        </w:tc>
        <w:tc>
          <w:tcPr>
            <w:tcW w:w="120" w:type="dxa"/>
            <w:vAlign w:val="bottom"/>
            <w:tcBorders>
              <w:right w:val="single" w:sz="8" w:color="007CBA"/>
            </w:tcBorders>
            <w:shd w:val="clear" w:color="auto" w:fill="B6D2E2"/>
          </w:tcPr>
          <w:p>
            <w:pPr>
              <w:spacing w:after="0"/>
              <w:rPr>
                <w:sz w:val="6"/>
                <w:szCs w:val="6"/>
                <w:color w:val="auto"/>
              </w:rPr>
            </w:pPr>
          </w:p>
        </w:tc>
        <w:tc>
          <w:tcPr>
            <w:tcW w:w="120" w:type="dxa"/>
            <w:vAlign w:val="bottom"/>
            <w:shd w:val="clear" w:color="auto" w:fill="B6D2E2"/>
          </w:tcPr>
          <w:p>
            <w:pPr>
              <w:spacing w:after="0"/>
              <w:rPr>
                <w:sz w:val="6"/>
                <w:szCs w:val="6"/>
                <w:color w:val="auto"/>
              </w:rPr>
            </w:pPr>
          </w:p>
        </w:tc>
        <w:tc>
          <w:tcPr>
            <w:tcW w:w="120" w:type="dxa"/>
            <w:vAlign w:val="bottom"/>
            <w:shd w:val="clear" w:color="auto" w:fill="B6D2E2"/>
          </w:tcPr>
          <w:p>
            <w:pPr>
              <w:spacing w:after="0"/>
              <w:rPr>
                <w:sz w:val="6"/>
                <w:szCs w:val="6"/>
                <w:color w:val="auto"/>
              </w:rPr>
            </w:pP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color w:val="auto"/>
              </w:rPr>
              <w:t>0.6</w:t>
            </w:r>
          </w:p>
        </w:tc>
        <w:tc>
          <w:tcPr>
            <w:tcW w:w="120" w:type="dxa"/>
            <w:vAlign w:val="bottom"/>
            <w:tcBorders>
              <w:right w:val="single" w:sz="8" w:color="007CBA"/>
            </w:tcBorders>
            <w:shd w:val="clear" w:color="auto" w:fill="B6D2E2"/>
          </w:tcPr>
          <w:p>
            <w:pPr>
              <w:spacing w:after="0"/>
              <w:rPr>
                <w:sz w:val="6"/>
                <w:szCs w:val="6"/>
                <w:color w:val="auto"/>
              </w:rPr>
            </w:pPr>
          </w:p>
        </w:tc>
        <w:tc>
          <w:tcPr>
            <w:tcW w:w="120" w:type="dxa"/>
            <w:vAlign w:val="bottom"/>
            <w:shd w:val="clear" w:color="auto" w:fill="B6D2E2"/>
          </w:tcPr>
          <w:p>
            <w:pPr>
              <w:spacing w:after="0"/>
              <w:rPr>
                <w:sz w:val="6"/>
                <w:szCs w:val="6"/>
                <w:color w:val="auto"/>
              </w:rPr>
            </w:pPr>
          </w:p>
        </w:tc>
        <w:tc>
          <w:tcPr>
            <w:tcW w:w="80" w:type="dxa"/>
            <w:vAlign w:val="bottom"/>
            <w:shd w:val="clear" w:color="auto" w:fill="B6D2E2"/>
          </w:tcPr>
          <w:p>
            <w:pPr>
              <w:spacing w:after="0"/>
              <w:rPr>
                <w:sz w:val="6"/>
                <w:szCs w:val="6"/>
                <w:color w:val="auto"/>
              </w:rPr>
            </w:pPr>
          </w:p>
        </w:tc>
        <w:tc>
          <w:tcPr>
            <w:tcW w:w="740" w:type="dxa"/>
            <w:vAlign w:val="bottom"/>
            <w:gridSpan w:val="2"/>
            <w:vMerge w:val="restart"/>
            <w:shd w:val="clear" w:color="auto" w:fill="B6D2E2"/>
          </w:tcPr>
          <w:p>
            <w:pPr>
              <w:jc w:val="right"/>
              <w:spacing w:after="0"/>
              <w:rPr>
                <w:sz w:val="20"/>
                <w:szCs w:val="20"/>
                <w:color w:val="auto"/>
              </w:rPr>
            </w:pPr>
            <w:r>
              <w:rPr>
                <w:rFonts w:ascii="Calibri" w:cs="Calibri" w:eastAsia="Calibri" w:hAnsi="Calibri"/>
                <w:sz w:val="14"/>
                <w:szCs w:val="14"/>
                <w:color w:val="auto"/>
              </w:rPr>
              <w:t>3,489.0</w:t>
            </w:r>
          </w:p>
        </w:tc>
        <w:tc>
          <w:tcPr>
            <w:tcW w:w="140" w:type="dxa"/>
            <w:vAlign w:val="bottom"/>
            <w:tcBorders>
              <w:right w:val="single" w:sz="8" w:color="007CBA"/>
            </w:tcBorders>
            <w:shd w:val="clear" w:color="auto" w:fill="B6D2E2"/>
          </w:tcPr>
          <w:p>
            <w:pPr>
              <w:spacing w:after="0"/>
              <w:rPr>
                <w:sz w:val="6"/>
                <w:szCs w:val="6"/>
                <w:color w:val="auto"/>
              </w:rPr>
            </w:pPr>
          </w:p>
        </w:tc>
        <w:tc>
          <w:tcPr>
            <w:tcW w:w="120" w:type="dxa"/>
            <w:vAlign w:val="bottom"/>
            <w:shd w:val="clear" w:color="auto" w:fill="B6D2E2"/>
          </w:tcPr>
          <w:p>
            <w:pPr>
              <w:spacing w:after="0"/>
              <w:rPr>
                <w:sz w:val="6"/>
                <w:szCs w:val="6"/>
                <w:color w:val="auto"/>
              </w:rPr>
            </w:pPr>
          </w:p>
        </w:tc>
        <w:tc>
          <w:tcPr>
            <w:tcW w:w="120" w:type="dxa"/>
            <w:vAlign w:val="bottom"/>
            <w:shd w:val="clear" w:color="auto" w:fill="B6D2E2"/>
          </w:tcPr>
          <w:p>
            <w:pPr>
              <w:spacing w:after="0"/>
              <w:rPr>
                <w:sz w:val="6"/>
                <w:szCs w:val="6"/>
                <w:color w:val="auto"/>
              </w:rPr>
            </w:pPr>
          </w:p>
        </w:tc>
        <w:tc>
          <w:tcPr>
            <w:tcW w:w="920" w:type="dxa"/>
            <w:vAlign w:val="bottom"/>
            <w:tcBorders>
              <w:right w:val="single" w:sz="8" w:color="007CBA"/>
            </w:tcBorders>
            <w:gridSpan w:val="2"/>
            <w:vMerge w:val="restart"/>
            <w:shd w:val="clear" w:color="auto" w:fill="B6D2E2"/>
          </w:tcPr>
          <w:p>
            <w:pPr>
              <w:jc w:val="right"/>
              <w:spacing w:after="0"/>
              <w:rPr>
                <w:sz w:val="20"/>
                <w:szCs w:val="20"/>
                <w:color w:val="auto"/>
              </w:rPr>
            </w:pPr>
            <w:r>
              <w:rPr>
                <w:rFonts w:ascii="Calibri" w:cs="Calibri" w:eastAsia="Calibri" w:hAnsi="Calibri"/>
                <w:sz w:val="14"/>
                <w:szCs w:val="14"/>
                <w:color w:val="auto"/>
              </w:rPr>
              <w:t>(38.5 )</w:t>
            </w:r>
          </w:p>
        </w:tc>
        <w:tc>
          <w:tcPr>
            <w:tcW w:w="100" w:type="dxa"/>
            <w:vAlign w:val="bottom"/>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color w:val="auto"/>
              </w:rPr>
              <w:t>3,719.4</w:t>
            </w:r>
          </w:p>
        </w:tc>
        <w:tc>
          <w:tcPr>
            <w:tcW w:w="100" w:type="dxa"/>
            <w:vAlign w:val="bottom"/>
            <w:tcBorders>
              <w:right w:val="single" w:sz="8" w:color="007CBA"/>
            </w:tcBorders>
            <w:shd w:val="clear" w:color="auto" w:fill="B6D2E2"/>
          </w:tcPr>
          <w:p>
            <w:pPr>
              <w:spacing w:after="0"/>
              <w:rPr>
                <w:sz w:val="6"/>
                <w:szCs w:val="6"/>
                <w:color w:val="auto"/>
              </w:rPr>
            </w:pPr>
          </w:p>
        </w:tc>
        <w:tc>
          <w:tcPr>
            <w:tcW w:w="120" w:type="dxa"/>
            <w:vAlign w:val="bottom"/>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68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color w:val="auto"/>
              </w:rPr>
              <w:t>7,170.5</w:t>
            </w:r>
          </w:p>
        </w:tc>
        <w:tc>
          <w:tcPr>
            <w:tcW w:w="120" w:type="dxa"/>
            <w:vAlign w:val="bottom"/>
            <w:tcBorders>
              <w:right w:val="single" w:sz="8" w:color="007CBA"/>
            </w:tcBorders>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120" w:type="dxa"/>
            <w:vAlign w:val="bottom"/>
            <w:shd w:val="clear" w:color="auto" w:fill="B6D2E2"/>
          </w:tcPr>
          <w:p>
            <w:pPr>
              <w:spacing w:after="0"/>
              <w:rPr>
                <w:sz w:val="6"/>
                <w:szCs w:val="6"/>
                <w:color w:val="auto"/>
              </w:rPr>
            </w:pPr>
          </w:p>
        </w:tc>
        <w:tc>
          <w:tcPr>
            <w:tcW w:w="68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color w:val="auto"/>
              </w:rPr>
              <w:t>2.3</w:t>
            </w:r>
          </w:p>
        </w:tc>
        <w:tc>
          <w:tcPr>
            <w:tcW w:w="120" w:type="dxa"/>
            <w:vAlign w:val="bottom"/>
            <w:tcBorders>
              <w:right w:val="single" w:sz="8" w:color="007CBA"/>
            </w:tcBorders>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color w:val="auto"/>
              </w:rPr>
              <w:t>7,172.8</w:t>
            </w:r>
          </w:p>
        </w:tc>
        <w:tc>
          <w:tcPr>
            <w:tcW w:w="100" w:type="dxa"/>
            <w:vAlign w:val="bottom"/>
            <w:tcBorders>
              <w:right w:val="single" w:sz="8" w:color="007CBA"/>
            </w:tcBorders>
            <w:shd w:val="clear" w:color="auto" w:fill="B6D2E2"/>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060" w:type="dxa"/>
            <w:vAlign w:val="bottom"/>
            <w:tcBorders>
              <w:right w:val="single" w:sz="8" w:color="007CBA"/>
            </w:tcBorders>
          </w:tcPr>
          <w:p>
            <w:pPr>
              <w:spacing w:after="0"/>
              <w:rPr>
                <w:sz w:val="9"/>
                <w:szCs w:val="9"/>
                <w:color w:val="auto"/>
              </w:rPr>
            </w:pPr>
          </w:p>
        </w:tc>
        <w:tc>
          <w:tcPr>
            <w:tcW w:w="100" w:type="dxa"/>
            <w:vAlign w:val="bottom"/>
            <w:tcBorders>
              <w:bottom w:val="single" w:sz="8" w:color="B6D2E2"/>
            </w:tcBorders>
            <w:shd w:val="clear" w:color="auto" w:fill="B6D2E2"/>
          </w:tcPr>
          <w:p>
            <w:pPr>
              <w:spacing w:after="0"/>
              <w:rPr>
                <w:sz w:val="9"/>
                <w:szCs w:val="9"/>
                <w:color w:val="auto"/>
              </w:rPr>
            </w:pPr>
          </w:p>
        </w:tc>
        <w:tc>
          <w:tcPr>
            <w:tcW w:w="620" w:type="dxa"/>
            <w:vAlign w:val="bottom"/>
            <w:tcBorders>
              <w:bottom w:val="single" w:sz="8" w:color="B6D2E2"/>
            </w:tcBorders>
            <w:vMerge w:val="continue"/>
            <w:shd w:val="clear" w:color="auto" w:fill="B6D2E2"/>
          </w:tcPr>
          <w:p>
            <w:pPr>
              <w:spacing w:after="0"/>
              <w:rPr>
                <w:sz w:val="9"/>
                <w:szCs w:val="9"/>
                <w:color w:val="auto"/>
              </w:rPr>
            </w:pPr>
          </w:p>
        </w:tc>
        <w:tc>
          <w:tcPr>
            <w:tcW w:w="120" w:type="dxa"/>
            <w:vAlign w:val="bottom"/>
            <w:tcBorders>
              <w:bottom w:val="single" w:sz="8" w:color="B6D2E2"/>
              <w:right w:val="single" w:sz="8" w:color="007CBA"/>
            </w:tcBorders>
            <w:shd w:val="clear" w:color="auto" w:fill="B6D2E2"/>
          </w:tcPr>
          <w:p>
            <w:pPr>
              <w:spacing w:after="0"/>
              <w:rPr>
                <w:sz w:val="9"/>
                <w:szCs w:val="9"/>
                <w:color w:val="auto"/>
              </w:rPr>
            </w:pPr>
          </w:p>
        </w:tc>
        <w:tc>
          <w:tcPr>
            <w:tcW w:w="120" w:type="dxa"/>
            <w:vAlign w:val="bottom"/>
            <w:tcBorders>
              <w:bottom w:val="single" w:sz="8" w:color="B6D2E2"/>
            </w:tcBorders>
            <w:shd w:val="clear" w:color="auto" w:fill="B6D2E2"/>
          </w:tcPr>
          <w:p>
            <w:pPr>
              <w:spacing w:after="0"/>
              <w:rPr>
                <w:sz w:val="9"/>
                <w:szCs w:val="9"/>
                <w:color w:val="auto"/>
              </w:rPr>
            </w:pPr>
          </w:p>
        </w:tc>
        <w:tc>
          <w:tcPr>
            <w:tcW w:w="120" w:type="dxa"/>
            <w:vAlign w:val="bottom"/>
            <w:tcBorders>
              <w:bottom w:val="single" w:sz="8" w:color="B6D2E2"/>
            </w:tcBorders>
            <w:shd w:val="clear" w:color="auto" w:fill="B6D2E2"/>
          </w:tcPr>
          <w:p>
            <w:pPr>
              <w:spacing w:after="0"/>
              <w:rPr>
                <w:sz w:val="9"/>
                <w:szCs w:val="9"/>
                <w:color w:val="auto"/>
              </w:rPr>
            </w:pPr>
          </w:p>
        </w:tc>
        <w:tc>
          <w:tcPr>
            <w:tcW w:w="700" w:type="dxa"/>
            <w:vAlign w:val="bottom"/>
            <w:tcBorders>
              <w:bottom w:val="single" w:sz="8" w:color="B6D2E2"/>
            </w:tcBorders>
            <w:vMerge w:val="continue"/>
            <w:shd w:val="clear" w:color="auto" w:fill="B6D2E2"/>
          </w:tcPr>
          <w:p>
            <w:pPr>
              <w:spacing w:after="0"/>
              <w:rPr>
                <w:sz w:val="9"/>
                <w:szCs w:val="9"/>
                <w:color w:val="auto"/>
              </w:rPr>
            </w:pPr>
          </w:p>
        </w:tc>
        <w:tc>
          <w:tcPr>
            <w:tcW w:w="120" w:type="dxa"/>
            <w:vAlign w:val="bottom"/>
            <w:tcBorders>
              <w:bottom w:val="single" w:sz="8" w:color="B6D2E2"/>
              <w:right w:val="single" w:sz="8" w:color="007CBA"/>
            </w:tcBorders>
            <w:shd w:val="clear" w:color="auto" w:fill="B6D2E2"/>
          </w:tcPr>
          <w:p>
            <w:pPr>
              <w:spacing w:after="0"/>
              <w:rPr>
                <w:sz w:val="9"/>
                <w:szCs w:val="9"/>
                <w:color w:val="auto"/>
              </w:rPr>
            </w:pPr>
          </w:p>
        </w:tc>
        <w:tc>
          <w:tcPr>
            <w:tcW w:w="120" w:type="dxa"/>
            <w:vAlign w:val="bottom"/>
            <w:tcBorders>
              <w:bottom w:val="single" w:sz="8" w:color="B6D2E2"/>
            </w:tcBorders>
            <w:shd w:val="clear" w:color="auto" w:fill="B6D2E2"/>
          </w:tcPr>
          <w:p>
            <w:pPr>
              <w:spacing w:after="0"/>
              <w:rPr>
                <w:sz w:val="9"/>
                <w:szCs w:val="9"/>
                <w:color w:val="auto"/>
              </w:rPr>
            </w:pPr>
          </w:p>
        </w:tc>
        <w:tc>
          <w:tcPr>
            <w:tcW w:w="80" w:type="dxa"/>
            <w:vAlign w:val="bottom"/>
            <w:tcBorders>
              <w:bottom w:val="single" w:sz="8" w:color="B6D2E2"/>
            </w:tcBorders>
            <w:shd w:val="clear" w:color="auto" w:fill="B6D2E2"/>
          </w:tcPr>
          <w:p>
            <w:pPr>
              <w:spacing w:after="0"/>
              <w:rPr>
                <w:sz w:val="9"/>
                <w:szCs w:val="9"/>
                <w:color w:val="auto"/>
              </w:rPr>
            </w:pPr>
          </w:p>
        </w:tc>
        <w:tc>
          <w:tcPr>
            <w:tcW w:w="740" w:type="dxa"/>
            <w:vAlign w:val="bottom"/>
            <w:tcBorders>
              <w:bottom w:val="single" w:sz="8" w:color="B6D2E2"/>
            </w:tcBorders>
            <w:gridSpan w:val="2"/>
            <w:vMerge w:val="continue"/>
            <w:shd w:val="clear" w:color="auto" w:fill="B6D2E2"/>
          </w:tcPr>
          <w:p>
            <w:pPr>
              <w:spacing w:after="0"/>
              <w:rPr>
                <w:sz w:val="9"/>
                <w:szCs w:val="9"/>
                <w:color w:val="auto"/>
              </w:rPr>
            </w:pPr>
          </w:p>
        </w:tc>
        <w:tc>
          <w:tcPr>
            <w:tcW w:w="140" w:type="dxa"/>
            <w:vAlign w:val="bottom"/>
            <w:tcBorders>
              <w:bottom w:val="single" w:sz="8" w:color="B6D2E2"/>
              <w:right w:val="single" w:sz="8" w:color="007CBA"/>
            </w:tcBorders>
            <w:shd w:val="clear" w:color="auto" w:fill="B6D2E2"/>
          </w:tcPr>
          <w:p>
            <w:pPr>
              <w:spacing w:after="0"/>
              <w:rPr>
                <w:sz w:val="9"/>
                <w:szCs w:val="9"/>
                <w:color w:val="auto"/>
              </w:rPr>
            </w:pPr>
          </w:p>
        </w:tc>
        <w:tc>
          <w:tcPr>
            <w:tcW w:w="120" w:type="dxa"/>
            <w:vAlign w:val="bottom"/>
            <w:tcBorders>
              <w:bottom w:val="single" w:sz="8" w:color="B6D2E2"/>
            </w:tcBorders>
            <w:shd w:val="clear" w:color="auto" w:fill="B6D2E2"/>
          </w:tcPr>
          <w:p>
            <w:pPr>
              <w:spacing w:after="0"/>
              <w:rPr>
                <w:sz w:val="9"/>
                <w:szCs w:val="9"/>
                <w:color w:val="auto"/>
              </w:rPr>
            </w:pPr>
          </w:p>
        </w:tc>
        <w:tc>
          <w:tcPr>
            <w:tcW w:w="120" w:type="dxa"/>
            <w:vAlign w:val="bottom"/>
            <w:tcBorders>
              <w:bottom w:val="single" w:sz="8" w:color="B6D2E2"/>
            </w:tcBorders>
            <w:shd w:val="clear" w:color="auto" w:fill="B6D2E2"/>
          </w:tcPr>
          <w:p>
            <w:pPr>
              <w:spacing w:after="0"/>
              <w:rPr>
                <w:sz w:val="9"/>
                <w:szCs w:val="9"/>
                <w:color w:val="auto"/>
              </w:rPr>
            </w:pPr>
          </w:p>
        </w:tc>
        <w:tc>
          <w:tcPr>
            <w:tcW w:w="920" w:type="dxa"/>
            <w:vAlign w:val="bottom"/>
            <w:tcBorders>
              <w:bottom w:val="single" w:sz="8" w:color="B6D2E2"/>
              <w:right w:val="single" w:sz="8" w:color="007CBA"/>
            </w:tcBorders>
            <w:gridSpan w:val="2"/>
            <w:vMerge w:val="continue"/>
            <w:shd w:val="clear" w:color="auto" w:fill="B6D2E2"/>
          </w:tcPr>
          <w:p>
            <w:pPr>
              <w:spacing w:after="0"/>
              <w:rPr>
                <w:sz w:val="9"/>
                <w:szCs w:val="9"/>
                <w:color w:val="auto"/>
              </w:rPr>
            </w:pPr>
          </w:p>
        </w:tc>
        <w:tc>
          <w:tcPr>
            <w:tcW w:w="100" w:type="dxa"/>
            <w:vAlign w:val="bottom"/>
            <w:tcBorders>
              <w:bottom w:val="single" w:sz="8" w:color="B6D2E2"/>
            </w:tcBorders>
            <w:shd w:val="clear" w:color="auto" w:fill="B6D2E2"/>
          </w:tcPr>
          <w:p>
            <w:pPr>
              <w:spacing w:after="0"/>
              <w:rPr>
                <w:sz w:val="9"/>
                <w:szCs w:val="9"/>
                <w:color w:val="auto"/>
              </w:rPr>
            </w:pPr>
          </w:p>
        </w:tc>
        <w:tc>
          <w:tcPr>
            <w:tcW w:w="100" w:type="dxa"/>
            <w:vAlign w:val="bottom"/>
            <w:tcBorders>
              <w:bottom w:val="single" w:sz="8" w:color="B6D2E2"/>
            </w:tcBorders>
            <w:shd w:val="clear" w:color="auto" w:fill="B6D2E2"/>
          </w:tcPr>
          <w:p>
            <w:pPr>
              <w:spacing w:after="0"/>
              <w:rPr>
                <w:sz w:val="9"/>
                <w:szCs w:val="9"/>
                <w:color w:val="auto"/>
              </w:rPr>
            </w:pPr>
          </w:p>
        </w:tc>
        <w:tc>
          <w:tcPr>
            <w:tcW w:w="700" w:type="dxa"/>
            <w:vAlign w:val="bottom"/>
            <w:tcBorders>
              <w:bottom w:val="single" w:sz="8" w:color="B6D2E2"/>
            </w:tcBorders>
            <w:vMerge w:val="continue"/>
            <w:shd w:val="clear" w:color="auto" w:fill="B6D2E2"/>
          </w:tcPr>
          <w:p>
            <w:pPr>
              <w:spacing w:after="0"/>
              <w:rPr>
                <w:sz w:val="9"/>
                <w:szCs w:val="9"/>
                <w:color w:val="auto"/>
              </w:rPr>
            </w:pPr>
          </w:p>
        </w:tc>
        <w:tc>
          <w:tcPr>
            <w:tcW w:w="100" w:type="dxa"/>
            <w:vAlign w:val="bottom"/>
            <w:tcBorders>
              <w:bottom w:val="single" w:sz="8" w:color="B6D2E2"/>
              <w:right w:val="single" w:sz="8" w:color="007CBA"/>
            </w:tcBorders>
            <w:shd w:val="clear" w:color="auto" w:fill="B6D2E2"/>
          </w:tcPr>
          <w:p>
            <w:pPr>
              <w:spacing w:after="0"/>
              <w:rPr>
                <w:sz w:val="9"/>
                <w:szCs w:val="9"/>
                <w:color w:val="auto"/>
              </w:rPr>
            </w:pPr>
          </w:p>
        </w:tc>
        <w:tc>
          <w:tcPr>
            <w:tcW w:w="120" w:type="dxa"/>
            <w:vAlign w:val="bottom"/>
            <w:tcBorders>
              <w:bottom w:val="single" w:sz="8" w:color="B6D2E2"/>
            </w:tcBorders>
            <w:shd w:val="clear" w:color="auto" w:fill="B6D2E2"/>
          </w:tcPr>
          <w:p>
            <w:pPr>
              <w:spacing w:after="0"/>
              <w:rPr>
                <w:sz w:val="9"/>
                <w:szCs w:val="9"/>
                <w:color w:val="auto"/>
              </w:rPr>
            </w:pPr>
          </w:p>
        </w:tc>
        <w:tc>
          <w:tcPr>
            <w:tcW w:w="100" w:type="dxa"/>
            <w:vAlign w:val="bottom"/>
            <w:tcBorders>
              <w:bottom w:val="single" w:sz="8" w:color="B6D2E2"/>
            </w:tcBorders>
            <w:shd w:val="clear" w:color="auto" w:fill="B6D2E2"/>
          </w:tcPr>
          <w:p>
            <w:pPr>
              <w:spacing w:after="0"/>
              <w:rPr>
                <w:sz w:val="9"/>
                <w:szCs w:val="9"/>
                <w:color w:val="auto"/>
              </w:rPr>
            </w:pPr>
          </w:p>
        </w:tc>
        <w:tc>
          <w:tcPr>
            <w:tcW w:w="680" w:type="dxa"/>
            <w:vAlign w:val="bottom"/>
            <w:tcBorders>
              <w:bottom w:val="single" w:sz="8" w:color="B6D2E2"/>
            </w:tcBorders>
            <w:vMerge w:val="continue"/>
            <w:shd w:val="clear" w:color="auto" w:fill="B6D2E2"/>
          </w:tcPr>
          <w:p>
            <w:pPr>
              <w:spacing w:after="0"/>
              <w:rPr>
                <w:sz w:val="9"/>
                <w:szCs w:val="9"/>
                <w:color w:val="auto"/>
              </w:rPr>
            </w:pPr>
          </w:p>
        </w:tc>
        <w:tc>
          <w:tcPr>
            <w:tcW w:w="120" w:type="dxa"/>
            <w:vAlign w:val="bottom"/>
            <w:tcBorders>
              <w:bottom w:val="single" w:sz="8" w:color="B6D2E2"/>
              <w:right w:val="single" w:sz="8" w:color="007CBA"/>
            </w:tcBorders>
            <w:shd w:val="clear" w:color="auto" w:fill="B6D2E2"/>
          </w:tcPr>
          <w:p>
            <w:pPr>
              <w:spacing w:after="0"/>
              <w:rPr>
                <w:sz w:val="9"/>
                <w:szCs w:val="9"/>
                <w:color w:val="auto"/>
              </w:rPr>
            </w:pPr>
          </w:p>
        </w:tc>
        <w:tc>
          <w:tcPr>
            <w:tcW w:w="100" w:type="dxa"/>
            <w:vAlign w:val="bottom"/>
            <w:tcBorders>
              <w:bottom w:val="single" w:sz="8" w:color="B6D2E2"/>
            </w:tcBorders>
            <w:shd w:val="clear" w:color="auto" w:fill="B6D2E2"/>
          </w:tcPr>
          <w:p>
            <w:pPr>
              <w:spacing w:after="0"/>
              <w:rPr>
                <w:sz w:val="9"/>
                <w:szCs w:val="9"/>
                <w:color w:val="auto"/>
              </w:rPr>
            </w:pPr>
          </w:p>
        </w:tc>
        <w:tc>
          <w:tcPr>
            <w:tcW w:w="120" w:type="dxa"/>
            <w:vAlign w:val="bottom"/>
            <w:tcBorders>
              <w:bottom w:val="single" w:sz="8" w:color="B6D2E2"/>
            </w:tcBorders>
            <w:shd w:val="clear" w:color="auto" w:fill="B6D2E2"/>
          </w:tcPr>
          <w:p>
            <w:pPr>
              <w:spacing w:after="0"/>
              <w:rPr>
                <w:sz w:val="9"/>
                <w:szCs w:val="9"/>
                <w:color w:val="auto"/>
              </w:rPr>
            </w:pPr>
          </w:p>
        </w:tc>
        <w:tc>
          <w:tcPr>
            <w:tcW w:w="680" w:type="dxa"/>
            <w:vAlign w:val="bottom"/>
            <w:tcBorders>
              <w:bottom w:val="single" w:sz="8" w:color="B6D2E2"/>
            </w:tcBorders>
            <w:vMerge w:val="continue"/>
            <w:shd w:val="clear" w:color="auto" w:fill="B6D2E2"/>
          </w:tcPr>
          <w:p>
            <w:pPr>
              <w:spacing w:after="0"/>
              <w:rPr>
                <w:sz w:val="9"/>
                <w:szCs w:val="9"/>
                <w:color w:val="auto"/>
              </w:rPr>
            </w:pPr>
          </w:p>
        </w:tc>
        <w:tc>
          <w:tcPr>
            <w:tcW w:w="120" w:type="dxa"/>
            <w:vAlign w:val="bottom"/>
            <w:tcBorders>
              <w:bottom w:val="single" w:sz="8" w:color="B6D2E2"/>
              <w:right w:val="single" w:sz="8" w:color="007CBA"/>
            </w:tcBorders>
            <w:shd w:val="clear" w:color="auto" w:fill="B6D2E2"/>
          </w:tcPr>
          <w:p>
            <w:pPr>
              <w:spacing w:after="0"/>
              <w:rPr>
                <w:sz w:val="9"/>
                <w:szCs w:val="9"/>
                <w:color w:val="auto"/>
              </w:rPr>
            </w:pPr>
          </w:p>
        </w:tc>
        <w:tc>
          <w:tcPr>
            <w:tcW w:w="100" w:type="dxa"/>
            <w:vAlign w:val="bottom"/>
            <w:tcBorders>
              <w:bottom w:val="single" w:sz="8" w:color="B6D2E2"/>
            </w:tcBorders>
            <w:shd w:val="clear" w:color="auto" w:fill="B6D2E2"/>
          </w:tcPr>
          <w:p>
            <w:pPr>
              <w:spacing w:after="0"/>
              <w:rPr>
                <w:sz w:val="9"/>
                <w:szCs w:val="9"/>
                <w:color w:val="auto"/>
              </w:rPr>
            </w:pPr>
          </w:p>
        </w:tc>
        <w:tc>
          <w:tcPr>
            <w:tcW w:w="100" w:type="dxa"/>
            <w:vAlign w:val="bottom"/>
            <w:tcBorders>
              <w:bottom w:val="single" w:sz="8" w:color="B6D2E2"/>
            </w:tcBorders>
            <w:shd w:val="clear" w:color="auto" w:fill="B6D2E2"/>
          </w:tcPr>
          <w:p>
            <w:pPr>
              <w:spacing w:after="0"/>
              <w:rPr>
                <w:sz w:val="9"/>
                <w:szCs w:val="9"/>
                <w:color w:val="auto"/>
              </w:rPr>
            </w:pPr>
          </w:p>
        </w:tc>
        <w:tc>
          <w:tcPr>
            <w:tcW w:w="700" w:type="dxa"/>
            <w:vAlign w:val="bottom"/>
            <w:tcBorders>
              <w:bottom w:val="single" w:sz="8" w:color="B6D2E2"/>
            </w:tcBorders>
            <w:vMerge w:val="continue"/>
            <w:shd w:val="clear" w:color="auto" w:fill="B6D2E2"/>
          </w:tcPr>
          <w:p>
            <w:pPr>
              <w:spacing w:after="0"/>
              <w:rPr>
                <w:sz w:val="9"/>
                <w:szCs w:val="9"/>
                <w:color w:val="auto"/>
              </w:rPr>
            </w:pPr>
          </w:p>
        </w:tc>
        <w:tc>
          <w:tcPr>
            <w:tcW w:w="100" w:type="dxa"/>
            <w:vAlign w:val="bottom"/>
            <w:tcBorders>
              <w:bottom w:val="single" w:sz="8" w:color="B6D2E2"/>
              <w:right w:val="single" w:sz="8" w:color="007CBA"/>
            </w:tcBorders>
            <w:shd w:val="clear" w:color="auto" w:fill="B6D2E2"/>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060" w:type="dxa"/>
            <w:vAlign w:val="bottom"/>
            <w:tcBorders>
              <w:right w:val="single" w:sz="8" w:color="007CBA"/>
            </w:tcBorders>
          </w:tcPr>
          <w:p>
            <w:pPr>
              <w:ind w:left="160"/>
              <w:spacing w:after="0" w:line="169" w:lineRule="exact"/>
              <w:rPr>
                <w:sz w:val="20"/>
                <w:szCs w:val="20"/>
                <w:color w:val="auto"/>
              </w:rPr>
            </w:pPr>
            <w:r>
              <w:rPr>
                <w:rFonts w:ascii="Calibri" w:cs="Calibri" w:eastAsia="Calibri" w:hAnsi="Calibri"/>
                <w:sz w:val="14"/>
                <w:szCs w:val="14"/>
                <w:b w:val="1"/>
                <w:bCs w:val="1"/>
                <w:color w:val="auto"/>
              </w:rPr>
              <w:t>Consolidated net earnings</w:t>
            </w:r>
          </w:p>
        </w:tc>
        <w:tc>
          <w:tcPr>
            <w:tcW w:w="100" w:type="dxa"/>
            <w:vAlign w:val="bottom"/>
            <w:shd w:val="clear" w:color="auto" w:fill="B6D2E2"/>
          </w:tcPr>
          <w:p>
            <w:pPr>
              <w:spacing w:after="0"/>
              <w:rPr>
                <w:sz w:val="14"/>
                <w:szCs w:val="14"/>
                <w:color w:val="auto"/>
              </w:rPr>
            </w:pPr>
          </w:p>
        </w:tc>
        <w:tc>
          <w:tcPr>
            <w:tcW w:w="62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20" w:type="dxa"/>
            <w:vAlign w:val="bottom"/>
            <w:tcBorders>
              <w:right w:val="single" w:sz="8" w:color="007CBA"/>
            </w:tcBorders>
            <w:gridSpan w:val="2"/>
            <w:shd w:val="clear" w:color="auto" w:fill="B6D2E2"/>
          </w:tcPr>
          <w:p>
            <w:pPr>
              <w:jc w:val="right"/>
              <w:ind w:right="140"/>
              <w:spacing w:after="0" w:line="169" w:lineRule="exact"/>
              <w:rPr>
                <w:sz w:val="20"/>
                <w:szCs w:val="20"/>
                <w:color w:val="auto"/>
              </w:rPr>
            </w:pPr>
            <w:r>
              <w:rPr>
                <w:rFonts w:ascii="Calibri" w:cs="Calibri" w:eastAsia="Calibri" w:hAnsi="Calibri"/>
                <w:sz w:val="14"/>
                <w:szCs w:val="14"/>
                <w:b w:val="1"/>
                <w:bCs w:val="1"/>
                <w:color w:val="auto"/>
              </w:rPr>
              <w:t>—</w:t>
            </w:r>
          </w:p>
        </w:tc>
        <w:tc>
          <w:tcPr>
            <w:tcW w:w="120" w:type="dxa"/>
            <w:vAlign w:val="bottom"/>
            <w:shd w:val="clear" w:color="auto" w:fill="B6D2E2"/>
          </w:tcPr>
          <w:p>
            <w:pPr>
              <w:spacing w:after="0"/>
              <w:rPr>
                <w:sz w:val="14"/>
                <w:szCs w:val="14"/>
                <w:color w:val="auto"/>
              </w:rPr>
            </w:pPr>
          </w:p>
        </w:tc>
        <w:tc>
          <w:tcPr>
            <w:tcW w:w="80" w:type="dxa"/>
            <w:vAlign w:val="bottom"/>
            <w:shd w:val="clear" w:color="auto" w:fill="B6D2E2"/>
          </w:tcPr>
          <w:p>
            <w:pPr>
              <w:spacing w:after="0"/>
              <w:rPr>
                <w:sz w:val="14"/>
                <w:szCs w:val="14"/>
                <w:color w:val="auto"/>
              </w:rPr>
            </w:pPr>
          </w:p>
        </w:tc>
        <w:tc>
          <w:tcPr>
            <w:tcW w:w="40" w:type="dxa"/>
            <w:vAlign w:val="bottom"/>
            <w:shd w:val="clear" w:color="auto" w:fill="B6D2E2"/>
          </w:tcPr>
          <w:p>
            <w:pPr>
              <w:spacing w:after="0"/>
              <w:rPr>
                <w:sz w:val="14"/>
                <w:szCs w:val="14"/>
                <w:color w:val="auto"/>
              </w:rPr>
            </w:pPr>
          </w:p>
        </w:tc>
        <w:tc>
          <w:tcPr>
            <w:tcW w:w="840" w:type="dxa"/>
            <w:vAlign w:val="bottom"/>
            <w:tcBorders>
              <w:right w:val="single" w:sz="8" w:color="007CBA"/>
            </w:tcBorders>
            <w:gridSpan w:val="2"/>
            <w:shd w:val="clear" w:color="auto" w:fill="B6D2E2"/>
          </w:tcPr>
          <w:p>
            <w:pPr>
              <w:jc w:val="right"/>
              <w:ind w:right="68"/>
              <w:spacing w:after="0" w:line="169" w:lineRule="exact"/>
              <w:rPr>
                <w:sz w:val="20"/>
                <w:szCs w:val="20"/>
                <w:color w:val="auto"/>
              </w:rPr>
            </w:pPr>
            <w:r>
              <w:rPr>
                <w:rFonts w:ascii="Calibri" w:cs="Calibri" w:eastAsia="Calibri" w:hAnsi="Calibri"/>
                <w:sz w:val="14"/>
                <w:szCs w:val="14"/>
                <w:b w:val="1"/>
                <w:bCs w:val="1"/>
                <w:color w:val="auto"/>
              </w:rPr>
              <w:t>—</w:t>
            </w:r>
          </w:p>
        </w:tc>
        <w:tc>
          <w:tcPr>
            <w:tcW w:w="12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920" w:type="dxa"/>
            <w:vAlign w:val="bottom"/>
            <w:tcBorders>
              <w:right w:val="single" w:sz="8" w:color="007CBA"/>
            </w:tcBorders>
            <w:gridSpan w:val="2"/>
            <w:shd w:val="clear" w:color="auto" w:fill="B6D2E2"/>
          </w:tcPr>
          <w:p>
            <w:pPr>
              <w:jc w:val="right"/>
              <w:ind w:right="68"/>
              <w:spacing w:after="0" w:line="169" w:lineRule="exact"/>
              <w:rPr>
                <w:sz w:val="20"/>
                <w:szCs w:val="20"/>
                <w:color w:val="auto"/>
              </w:rPr>
            </w:pPr>
            <w:r>
              <w:rPr>
                <w:rFonts w:ascii="Calibri" w:cs="Calibri" w:eastAsia="Calibri" w:hAnsi="Calibri"/>
                <w:sz w:val="14"/>
                <w:szCs w:val="14"/>
                <w:b w:val="1"/>
                <w:bCs w:val="1"/>
                <w:color w:val="auto"/>
              </w:rPr>
              <w:t>—</w:t>
            </w: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line="169" w:lineRule="exact"/>
              <w:rPr>
                <w:sz w:val="20"/>
                <w:szCs w:val="20"/>
                <w:color w:val="auto"/>
              </w:rPr>
            </w:pPr>
            <w:r>
              <w:rPr>
                <w:rFonts w:ascii="Calibri" w:cs="Calibri" w:eastAsia="Calibri" w:hAnsi="Calibri"/>
                <w:sz w:val="14"/>
                <w:szCs w:val="14"/>
                <w:b w:val="1"/>
                <w:bCs w:val="1"/>
                <w:color w:val="auto"/>
              </w:rPr>
              <w:t>1,168.9</w:t>
            </w:r>
          </w:p>
        </w:tc>
        <w:tc>
          <w:tcPr>
            <w:tcW w:w="100" w:type="dxa"/>
            <w:vAlign w:val="bottom"/>
            <w:tcBorders>
              <w:right w:val="single" w:sz="8" w:color="007CBA"/>
            </w:tcBorders>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680" w:type="dxa"/>
            <w:vAlign w:val="bottom"/>
            <w:shd w:val="clear" w:color="auto" w:fill="B6D2E2"/>
          </w:tcPr>
          <w:p>
            <w:pPr>
              <w:jc w:val="right"/>
              <w:spacing w:after="0" w:line="169" w:lineRule="exact"/>
              <w:rPr>
                <w:sz w:val="20"/>
                <w:szCs w:val="20"/>
                <w:color w:val="auto"/>
              </w:rPr>
            </w:pPr>
            <w:r>
              <w:rPr>
                <w:rFonts w:ascii="Calibri" w:cs="Calibri" w:eastAsia="Calibri" w:hAnsi="Calibri"/>
                <w:sz w:val="14"/>
                <w:szCs w:val="14"/>
                <w:b w:val="1"/>
                <w:bCs w:val="1"/>
                <w:color w:val="auto"/>
              </w:rPr>
              <w:t>1,168.9</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680" w:type="dxa"/>
            <w:vAlign w:val="bottom"/>
            <w:shd w:val="clear" w:color="auto" w:fill="B6D2E2"/>
          </w:tcPr>
          <w:p>
            <w:pPr>
              <w:jc w:val="right"/>
              <w:spacing w:after="0" w:line="169" w:lineRule="exact"/>
              <w:rPr>
                <w:sz w:val="20"/>
                <w:szCs w:val="20"/>
                <w:color w:val="auto"/>
              </w:rPr>
            </w:pPr>
            <w:r>
              <w:rPr>
                <w:rFonts w:ascii="Calibri" w:cs="Calibri" w:eastAsia="Calibri" w:hAnsi="Calibri"/>
                <w:sz w:val="14"/>
                <w:szCs w:val="14"/>
                <w:b w:val="1"/>
                <w:bCs w:val="1"/>
                <w:color w:val="auto"/>
              </w:rPr>
              <w:t>0.5</w:t>
            </w:r>
          </w:p>
        </w:tc>
        <w:tc>
          <w:tcPr>
            <w:tcW w:w="120" w:type="dxa"/>
            <w:vAlign w:val="bottom"/>
            <w:tcBorders>
              <w:right w:val="single" w:sz="8" w:color="007CBA"/>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jc w:val="right"/>
              <w:spacing w:after="0" w:line="169" w:lineRule="exact"/>
              <w:rPr>
                <w:sz w:val="20"/>
                <w:szCs w:val="20"/>
                <w:color w:val="auto"/>
              </w:rPr>
            </w:pPr>
            <w:r>
              <w:rPr>
                <w:rFonts w:ascii="Calibri" w:cs="Calibri" w:eastAsia="Calibri" w:hAnsi="Calibri"/>
                <w:sz w:val="14"/>
                <w:szCs w:val="14"/>
                <w:b w:val="1"/>
                <w:bCs w:val="1"/>
                <w:color w:val="auto"/>
              </w:rPr>
              <w:t>1,169.4</w:t>
            </w:r>
          </w:p>
        </w:tc>
        <w:tc>
          <w:tcPr>
            <w:tcW w:w="100" w:type="dxa"/>
            <w:vAlign w:val="bottom"/>
            <w:tcBorders>
              <w:right w:val="single" w:sz="8" w:color="B6D2E2"/>
            </w:tcBorders>
            <w:shd w:val="clear" w:color="auto" w:fill="B6D2E2"/>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Other comprehensive loss</w:t>
            </w:r>
          </w:p>
        </w:tc>
        <w:tc>
          <w:tcPr>
            <w:tcW w:w="100" w:type="dxa"/>
            <w:vAlign w:val="bottom"/>
            <w:shd w:val="clear" w:color="auto" w:fill="B6D2E2"/>
          </w:tcPr>
          <w:p>
            <w:pPr>
              <w:spacing w:after="0"/>
              <w:rPr>
                <w:sz w:val="17"/>
                <w:szCs w:val="17"/>
                <w:color w:val="auto"/>
              </w:rPr>
            </w:pPr>
          </w:p>
        </w:tc>
        <w:tc>
          <w:tcPr>
            <w:tcW w:w="62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80" w:type="dxa"/>
            <w:vAlign w:val="bottom"/>
            <w:shd w:val="clear" w:color="auto" w:fill="B6D2E2"/>
          </w:tcPr>
          <w:p>
            <w:pPr>
              <w:spacing w:after="0"/>
              <w:rPr>
                <w:sz w:val="17"/>
                <w:szCs w:val="17"/>
                <w:color w:val="auto"/>
              </w:rPr>
            </w:pPr>
          </w:p>
        </w:tc>
        <w:tc>
          <w:tcPr>
            <w:tcW w:w="4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4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8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(10.7</w:t>
            </w:r>
          </w:p>
        </w:tc>
        <w:tc>
          <w:tcPr>
            <w:tcW w:w="12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0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(10.7</w:t>
            </w:r>
          </w:p>
        </w:tc>
        <w:tc>
          <w:tcPr>
            <w:tcW w:w="12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0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(10.7</w:t>
            </w:r>
          </w:p>
        </w:tc>
        <w:tc>
          <w:tcPr>
            <w:tcW w:w="100" w:type="dxa"/>
            <w:vAlign w:val="bottom"/>
            <w:tcBorders>
              <w:right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0" w:type="dxa"/>
            <w:vAlign w:val="bottom"/>
          </w:tcPr>
          <w:p>
            <w:pPr>
              <w:spacing w:after="0"/>
              <w:rPr>
                <w:sz w:val="1"/>
                <w:szCs w:val="1"/>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Dividends declared ($2.80 per common share)</w:t>
            </w:r>
          </w:p>
        </w:tc>
        <w:tc>
          <w:tcPr>
            <w:tcW w:w="100" w:type="dxa"/>
            <w:vAlign w:val="bottom"/>
            <w:shd w:val="clear" w:color="auto" w:fill="B6D2E2"/>
          </w:tcPr>
          <w:p>
            <w:pPr>
              <w:spacing w:after="0"/>
              <w:rPr>
                <w:sz w:val="17"/>
                <w:szCs w:val="17"/>
                <w:color w:val="auto"/>
              </w:rPr>
            </w:pPr>
          </w:p>
        </w:tc>
        <w:tc>
          <w:tcPr>
            <w:tcW w:w="62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80" w:type="dxa"/>
            <w:vAlign w:val="bottom"/>
            <w:shd w:val="clear" w:color="auto" w:fill="B6D2E2"/>
          </w:tcPr>
          <w:p>
            <w:pPr>
              <w:spacing w:after="0"/>
              <w:rPr>
                <w:sz w:val="17"/>
                <w:szCs w:val="17"/>
                <w:color w:val="auto"/>
              </w:rPr>
            </w:pPr>
          </w:p>
        </w:tc>
        <w:tc>
          <w:tcPr>
            <w:tcW w:w="4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4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8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(174.5</w:t>
            </w:r>
          </w:p>
        </w:tc>
        <w:tc>
          <w:tcPr>
            <w:tcW w:w="10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2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(174.5</w:t>
            </w:r>
          </w:p>
        </w:tc>
        <w:tc>
          <w:tcPr>
            <w:tcW w:w="12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0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(174.5</w:t>
            </w:r>
          </w:p>
        </w:tc>
        <w:tc>
          <w:tcPr>
            <w:tcW w:w="100" w:type="dxa"/>
            <w:vAlign w:val="bottom"/>
            <w:tcBorders>
              <w:right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0" w:type="dxa"/>
            <w:vAlign w:val="bottom"/>
          </w:tcPr>
          <w:p>
            <w:pPr>
              <w:spacing w:after="0"/>
              <w:rPr>
                <w:sz w:val="1"/>
                <w:szCs w:val="1"/>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Issuances of common stock for stock award</w:t>
            </w:r>
          </w:p>
        </w:tc>
        <w:tc>
          <w:tcPr>
            <w:tcW w:w="100" w:type="dxa"/>
            <w:vAlign w:val="bottom"/>
            <w:shd w:val="clear" w:color="auto" w:fill="B6D2E2"/>
          </w:tcPr>
          <w:p>
            <w:pPr>
              <w:spacing w:after="0"/>
              <w:rPr>
                <w:sz w:val="17"/>
                <w:szCs w:val="17"/>
                <w:color w:val="auto"/>
              </w:rPr>
            </w:pPr>
          </w:p>
        </w:tc>
        <w:tc>
          <w:tcPr>
            <w:tcW w:w="62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80" w:type="dxa"/>
            <w:vAlign w:val="bottom"/>
            <w:shd w:val="clear" w:color="auto" w:fill="B6D2E2"/>
          </w:tcPr>
          <w:p>
            <w:pPr>
              <w:spacing w:after="0"/>
              <w:rPr>
                <w:sz w:val="17"/>
                <w:szCs w:val="17"/>
                <w:color w:val="auto"/>
              </w:rPr>
            </w:pPr>
          </w:p>
        </w:tc>
        <w:tc>
          <w:tcPr>
            <w:tcW w:w="4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4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80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0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68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68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00" w:type="dxa"/>
            <w:vAlign w:val="bottom"/>
            <w:tcBorders>
              <w:right w:val="single" w:sz="8" w:color="B6D2E2"/>
            </w:tcBorders>
            <w:shd w:val="clear" w:color="auto" w:fill="B6D2E2"/>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plans</w:t>
            </w:r>
          </w:p>
        </w:tc>
        <w:tc>
          <w:tcPr>
            <w:tcW w:w="100" w:type="dxa"/>
            <w:vAlign w:val="bottom"/>
            <w:shd w:val="clear" w:color="auto" w:fill="B6D2E2"/>
          </w:tcPr>
          <w:p>
            <w:pPr>
              <w:spacing w:after="0"/>
              <w:rPr>
                <w:sz w:val="15"/>
                <w:szCs w:val="15"/>
                <w:color w:val="auto"/>
              </w:rPr>
            </w:pPr>
          </w:p>
        </w:tc>
        <w:tc>
          <w:tcPr>
            <w:tcW w:w="62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100,588</w:t>
            </w:r>
          </w:p>
        </w:tc>
        <w:tc>
          <w:tcPr>
            <w:tcW w:w="120" w:type="dxa"/>
            <w:vAlign w:val="bottom"/>
            <w:tcBorders>
              <w:right w:val="single" w:sz="8" w:color="007CBA"/>
            </w:tcBorders>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80" w:type="dxa"/>
            <w:vAlign w:val="bottom"/>
            <w:shd w:val="clear" w:color="auto" w:fill="B6D2E2"/>
          </w:tcPr>
          <w:p>
            <w:pPr>
              <w:spacing w:after="0"/>
              <w:rPr>
                <w:sz w:val="15"/>
                <w:szCs w:val="15"/>
                <w:color w:val="auto"/>
              </w:rPr>
            </w:pPr>
          </w:p>
        </w:tc>
        <w:tc>
          <w:tcPr>
            <w:tcW w:w="4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2.3</w:t>
            </w:r>
          </w:p>
        </w:tc>
        <w:tc>
          <w:tcPr>
            <w:tcW w:w="140" w:type="dxa"/>
            <w:vAlign w:val="bottom"/>
            <w:tcBorders>
              <w:right w:val="single" w:sz="8" w:color="007CBA"/>
            </w:tcBorders>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8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2.3</w:t>
            </w: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2.3</w:t>
            </w:r>
          </w:p>
        </w:tc>
        <w:tc>
          <w:tcPr>
            <w:tcW w:w="100" w:type="dxa"/>
            <w:vAlign w:val="bottom"/>
            <w:tcBorders>
              <w:right w:val="single" w:sz="8" w:color="B6D2E2"/>
            </w:tcBorders>
            <w:shd w:val="clear" w:color="auto" w:fill="B6D2E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Shares withheld for employees’ income tax</w:t>
            </w:r>
          </w:p>
        </w:tc>
        <w:tc>
          <w:tcPr>
            <w:tcW w:w="100" w:type="dxa"/>
            <w:vAlign w:val="bottom"/>
            <w:shd w:val="clear" w:color="auto" w:fill="B6D2E2"/>
          </w:tcPr>
          <w:p>
            <w:pPr>
              <w:spacing w:after="0"/>
              <w:rPr>
                <w:sz w:val="17"/>
                <w:szCs w:val="17"/>
                <w:color w:val="auto"/>
              </w:rPr>
            </w:pPr>
          </w:p>
        </w:tc>
        <w:tc>
          <w:tcPr>
            <w:tcW w:w="62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80" w:type="dxa"/>
            <w:vAlign w:val="bottom"/>
            <w:shd w:val="clear" w:color="auto" w:fill="B6D2E2"/>
          </w:tcPr>
          <w:p>
            <w:pPr>
              <w:spacing w:after="0"/>
              <w:rPr>
                <w:sz w:val="17"/>
                <w:szCs w:val="17"/>
                <w:color w:val="auto"/>
              </w:rPr>
            </w:pPr>
          </w:p>
        </w:tc>
        <w:tc>
          <w:tcPr>
            <w:tcW w:w="4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4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80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0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68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68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00" w:type="dxa"/>
            <w:vAlign w:val="bottom"/>
            <w:tcBorders>
              <w:right w:val="single" w:sz="8" w:color="B6D2E2"/>
            </w:tcBorders>
            <w:shd w:val="clear" w:color="auto" w:fill="B6D2E2"/>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60" w:type="dxa"/>
            <w:vAlign w:val="bottom"/>
            <w:tcBorders>
              <w:right w:val="single" w:sz="8" w:color="007CBA"/>
            </w:tcBorders>
          </w:tcPr>
          <w:p>
            <w:pPr>
              <w:ind w:left="260"/>
              <w:spacing w:after="0"/>
              <w:rPr>
                <w:sz w:val="20"/>
                <w:szCs w:val="20"/>
                <w:color w:val="auto"/>
              </w:rPr>
            </w:pPr>
            <w:r>
              <w:rPr>
                <w:rFonts w:ascii="Calibri" w:cs="Calibri" w:eastAsia="Calibri" w:hAnsi="Calibri"/>
                <w:sz w:val="14"/>
                <w:szCs w:val="14"/>
                <w:b w:val="1"/>
                <w:bCs w:val="1"/>
                <w:color w:val="auto"/>
              </w:rPr>
              <w:t>obligatons</w:t>
            </w:r>
          </w:p>
        </w:tc>
        <w:tc>
          <w:tcPr>
            <w:tcW w:w="100" w:type="dxa"/>
            <w:vAlign w:val="bottom"/>
            <w:shd w:val="clear" w:color="auto" w:fill="B6D2E2"/>
          </w:tcPr>
          <w:p>
            <w:pPr>
              <w:spacing w:after="0"/>
              <w:rPr>
                <w:sz w:val="15"/>
                <w:szCs w:val="15"/>
                <w:color w:val="auto"/>
              </w:rPr>
            </w:pPr>
          </w:p>
        </w:tc>
        <w:tc>
          <w:tcPr>
            <w:tcW w:w="62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80" w:type="dxa"/>
            <w:vAlign w:val="bottom"/>
            <w:shd w:val="clear" w:color="auto" w:fill="B6D2E2"/>
          </w:tcPr>
          <w:p>
            <w:pPr>
              <w:spacing w:after="0"/>
              <w:rPr>
                <w:sz w:val="15"/>
                <w:szCs w:val="15"/>
                <w:color w:val="auto"/>
              </w:rPr>
            </w:pPr>
          </w:p>
        </w:tc>
        <w:tc>
          <w:tcPr>
            <w:tcW w:w="4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(22.1</w:t>
            </w:r>
          </w:p>
        </w:tc>
        <w:tc>
          <w:tcPr>
            <w:tcW w:w="140" w:type="dxa"/>
            <w:vAlign w:val="bottom"/>
            <w:tcBorders>
              <w:right w:val="single" w:sz="8" w:color="007CBA"/>
            </w:tcBorders>
            <w:shd w:val="clear" w:color="auto" w:fill="B6D2E2"/>
          </w:tcPr>
          <w:p>
            <w:pPr>
              <w:jc w:val="right"/>
              <w:ind w:right="8"/>
              <w:spacing w:after="0"/>
              <w:rPr>
                <w:sz w:val="20"/>
                <w:szCs w:val="20"/>
                <w:color w:val="auto"/>
              </w:rPr>
            </w:pPr>
            <w:r>
              <w:rPr>
                <w:rFonts w:ascii="Calibri" w:cs="Calibri" w:eastAsia="Calibri" w:hAnsi="Calibri"/>
                <w:sz w:val="14"/>
                <w:szCs w:val="14"/>
                <w:b w:val="1"/>
                <w:bCs w:val="1"/>
                <w:color w:val="auto"/>
                <w:w w:val="90"/>
              </w:rPr>
              <w:t>)</w:t>
            </w:r>
          </w:p>
        </w:tc>
        <w:tc>
          <w:tcPr>
            <w:tcW w:w="12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8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(22.1</w:t>
            </w:r>
          </w:p>
        </w:tc>
        <w:tc>
          <w:tcPr>
            <w:tcW w:w="12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00" w:type="dxa"/>
            <w:vAlign w:val="bottom"/>
            <w:shd w:val="clear" w:color="auto" w:fill="B6D2E2"/>
          </w:tcPr>
          <w:p>
            <w:pPr>
              <w:spacing w:after="0"/>
              <w:rPr>
                <w:sz w:val="15"/>
                <w:szCs w:val="15"/>
                <w:color w:val="auto"/>
              </w:rPr>
            </w:pPr>
          </w:p>
        </w:tc>
        <w:tc>
          <w:tcPr>
            <w:tcW w:w="120" w:type="dxa"/>
            <w:vAlign w:val="bottom"/>
            <w:shd w:val="clear" w:color="auto" w:fill="B6D2E2"/>
          </w:tcPr>
          <w:p>
            <w:pPr>
              <w:spacing w:after="0"/>
              <w:rPr>
                <w:sz w:val="15"/>
                <w:szCs w:val="15"/>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100" w:type="dxa"/>
            <w:vAlign w:val="bottom"/>
            <w:shd w:val="clear" w:color="auto" w:fill="B6D2E2"/>
          </w:tcPr>
          <w:p>
            <w:pPr>
              <w:spacing w:after="0"/>
              <w:rPr>
                <w:sz w:val="15"/>
                <w:szCs w:val="15"/>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(22.1</w:t>
            </w:r>
          </w:p>
        </w:tc>
        <w:tc>
          <w:tcPr>
            <w:tcW w:w="100" w:type="dxa"/>
            <w:vAlign w:val="bottom"/>
            <w:tcBorders>
              <w:right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0" w:type="dxa"/>
            <w:vAlign w:val="bottom"/>
          </w:tcPr>
          <w:p>
            <w:pPr>
              <w:spacing w:after="0"/>
              <w:rPr>
                <w:sz w:val="1"/>
                <w:szCs w:val="1"/>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Repurchases of common stock</w:t>
            </w:r>
          </w:p>
        </w:tc>
        <w:tc>
          <w:tcPr>
            <w:tcW w:w="100" w:type="dxa"/>
            <w:vAlign w:val="bottom"/>
            <w:shd w:val="clear" w:color="auto" w:fill="B6D2E2"/>
          </w:tcPr>
          <w:p>
            <w:pPr>
              <w:spacing w:after="0"/>
              <w:rPr>
                <w:sz w:val="17"/>
                <w:szCs w:val="17"/>
                <w:color w:val="auto"/>
              </w:rPr>
            </w:pPr>
          </w:p>
        </w:tc>
        <w:tc>
          <w:tcPr>
            <w:tcW w:w="62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(381,520</w:t>
            </w:r>
          </w:p>
        </w:tc>
        <w:tc>
          <w:tcPr>
            <w:tcW w:w="12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2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80" w:type="dxa"/>
            <w:vAlign w:val="bottom"/>
            <w:shd w:val="clear" w:color="auto" w:fill="B6D2E2"/>
          </w:tcPr>
          <w:p>
            <w:pPr>
              <w:spacing w:after="0"/>
              <w:rPr>
                <w:sz w:val="17"/>
                <w:szCs w:val="17"/>
                <w:color w:val="auto"/>
              </w:rPr>
            </w:pPr>
          </w:p>
        </w:tc>
        <w:tc>
          <w:tcPr>
            <w:tcW w:w="4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4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8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(151.2</w:t>
            </w:r>
          </w:p>
        </w:tc>
        <w:tc>
          <w:tcPr>
            <w:tcW w:w="10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2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(151.2</w:t>
            </w:r>
          </w:p>
        </w:tc>
        <w:tc>
          <w:tcPr>
            <w:tcW w:w="120" w:type="dxa"/>
            <w:vAlign w:val="bottom"/>
            <w:tcBorders>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0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(151.2</w:t>
            </w:r>
          </w:p>
        </w:tc>
        <w:tc>
          <w:tcPr>
            <w:tcW w:w="100" w:type="dxa"/>
            <w:vAlign w:val="bottom"/>
            <w:tcBorders>
              <w:right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0" w:type="dxa"/>
            <w:vAlign w:val="bottom"/>
          </w:tcPr>
          <w:p>
            <w:pPr>
              <w:spacing w:after="0"/>
              <w:rPr>
                <w:sz w:val="1"/>
                <w:szCs w:val="1"/>
                <w:color w:val="auto"/>
              </w:rPr>
            </w:pPr>
          </w:p>
        </w:tc>
      </w:tr>
      <w:tr>
        <w:trPr>
          <w:trHeight w:val="203"/>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Stock-based compensaton expense</w:t>
            </w:r>
          </w:p>
        </w:tc>
        <w:tc>
          <w:tcPr>
            <w:tcW w:w="100" w:type="dxa"/>
            <w:vAlign w:val="bottom"/>
            <w:shd w:val="clear" w:color="auto" w:fill="B6D2E2"/>
          </w:tcPr>
          <w:p>
            <w:pPr>
              <w:spacing w:after="0"/>
              <w:rPr>
                <w:sz w:val="17"/>
                <w:szCs w:val="17"/>
                <w:color w:val="auto"/>
              </w:rPr>
            </w:pPr>
          </w:p>
        </w:tc>
        <w:tc>
          <w:tcPr>
            <w:tcW w:w="62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80" w:type="dxa"/>
            <w:vAlign w:val="bottom"/>
            <w:shd w:val="clear" w:color="auto" w:fill="B6D2E2"/>
          </w:tcPr>
          <w:p>
            <w:pPr>
              <w:spacing w:after="0"/>
              <w:rPr>
                <w:sz w:val="17"/>
                <w:szCs w:val="17"/>
                <w:color w:val="auto"/>
              </w:rPr>
            </w:pPr>
          </w:p>
        </w:tc>
        <w:tc>
          <w:tcPr>
            <w:tcW w:w="4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50.0</w:t>
            </w:r>
          </w:p>
        </w:tc>
        <w:tc>
          <w:tcPr>
            <w:tcW w:w="14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8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50.0</w:t>
            </w: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68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700" w:type="dxa"/>
            <w:vAlign w:val="bottom"/>
            <w:shd w:val="clear" w:color="auto" w:fill="B6D2E2"/>
          </w:tcPr>
          <w:p>
            <w:pPr>
              <w:jc w:val="right"/>
              <w:spacing w:after="0"/>
              <w:rPr>
                <w:sz w:val="20"/>
                <w:szCs w:val="20"/>
                <w:color w:val="auto"/>
              </w:rPr>
            </w:pPr>
            <w:r>
              <w:rPr>
                <w:rFonts w:ascii="Calibri" w:cs="Calibri" w:eastAsia="Calibri" w:hAnsi="Calibri"/>
                <w:sz w:val="14"/>
                <w:szCs w:val="14"/>
                <w:b w:val="1"/>
                <w:bCs w:val="1"/>
                <w:color w:val="auto"/>
              </w:rPr>
              <w:t>50.0</w:t>
            </w:r>
          </w:p>
        </w:tc>
        <w:tc>
          <w:tcPr>
            <w:tcW w:w="100" w:type="dxa"/>
            <w:vAlign w:val="bottom"/>
            <w:tcBorders>
              <w:right w:val="single" w:sz="8" w:color="B6D2E2"/>
            </w:tcBorders>
            <w:shd w:val="clear" w:color="auto" w:fill="B6D2E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Distributon to owners of noncontrolling</w:t>
            </w:r>
          </w:p>
        </w:tc>
        <w:tc>
          <w:tcPr>
            <w:tcW w:w="100" w:type="dxa"/>
            <w:vAlign w:val="bottom"/>
            <w:shd w:val="clear" w:color="auto" w:fill="B6D2E2"/>
          </w:tcPr>
          <w:p>
            <w:pPr>
              <w:spacing w:after="0"/>
              <w:rPr>
                <w:sz w:val="17"/>
                <w:szCs w:val="17"/>
                <w:color w:val="auto"/>
              </w:rPr>
            </w:pPr>
          </w:p>
        </w:tc>
        <w:tc>
          <w:tcPr>
            <w:tcW w:w="62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80" w:type="dxa"/>
            <w:vAlign w:val="bottom"/>
            <w:shd w:val="clear" w:color="auto" w:fill="B6D2E2"/>
          </w:tcPr>
          <w:p>
            <w:pPr>
              <w:spacing w:after="0"/>
              <w:rPr>
                <w:sz w:val="17"/>
                <w:szCs w:val="17"/>
                <w:color w:val="auto"/>
              </w:rPr>
            </w:pPr>
          </w:p>
        </w:tc>
        <w:tc>
          <w:tcPr>
            <w:tcW w:w="4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4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80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00" w:type="dxa"/>
            <w:vAlign w:val="bottom"/>
            <w:tcBorders>
              <w:right w:val="single" w:sz="8" w:color="007CBA"/>
            </w:tcBorders>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68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20" w:type="dxa"/>
            <w:vAlign w:val="bottom"/>
            <w:shd w:val="clear" w:color="auto" w:fill="B6D2E2"/>
          </w:tcPr>
          <w:p>
            <w:pPr>
              <w:spacing w:after="0"/>
              <w:rPr>
                <w:sz w:val="17"/>
                <w:szCs w:val="17"/>
                <w:color w:val="auto"/>
              </w:rPr>
            </w:pPr>
          </w:p>
        </w:tc>
        <w:tc>
          <w:tcPr>
            <w:tcW w:w="680" w:type="dxa"/>
            <w:vAlign w:val="bottom"/>
            <w:shd w:val="clear" w:color="auto" w:fill="B6D2E2"/>
          </w:tcPr>
          <w:p>
            <w:pPr>
              <w:spacing w:after="0"/>
              <w:rPr>
                <w:sz w:val="17"/>
                <w:szCs w:val="17"/>
                <w:color w:val="auto"/>
              </w:rPr>
            </w:pPr>
          </w:p>
        </w:tc>
        <w:tc>
          <w:tcPr>
            <w:tcW w:w="120" w:type="dxa"/>
            <w:vAlign w:val="bottom"/>
            <w:tcBorders>
              <w:right w:val="single" w:sz="8" w:color="007CBA"/>
            </w:tcBorders>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100" w:type="dxa"/>
            <w:vAlign w:val="bottom"/>
            <w:shd w:val="clear" w:color="auto" w:fill="B6D2E2"/>
          </w:tcPr>
          <w:p>
            <w:pPr>
              <w:spacing w:after="0"/>
              <w:rPr>
                <w:sz w:val="17"/>
                <w:szCs w:val="17"/>
                <w:color w:val="auto"/>
              </w:rPr>
            </w:pPr>
          </w:p>
        </w:tc>
        <w:tc>
          <w:tcPr>
            <w:tcW w:w="700" w:type="dxa"/>
            <w:vAlign w:val="bottom"/>
            <w:shd w:val="clear" w:color="auto" w:fill="B6D2E2"/>
          </w:tcPr>
          <w:p>
            <w:pPr>
              <w:spacing w:after="0"/>
              <w:rPr>
                <w:sz w:val="17"/>
                <w:szCs w:val="17"/>
                <w:color w:val="auto"/>
              </w:rPr>
            </w:pPr>
          </w:p>
        </w:tc>
        <w:tc>
          <w:tcPr>
            <w:tcW w:w="100" w:type="dxa"/>
            <w:vAlign w:val="bottom"/>
            <w:tcBorders>
              <w:right w:val="single" w:sz="8" w:color="B6D2E2"/>
            </w:tcBorders>
            <w:shd w:val="clear" w:color="auto" w:fill="B6D2E2"/>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60" w:type="dxa"/>
            <w:vAlign w:val="bottom"/>
            <w:tcBorders>
              <w:right w:val="single" w:sz="8" w:color="007CBA"/>
            </w:tcBorders>
          </w:tcPr>
          <w:p>
            <w:pPr>
              <w:ind w:left="160"/>
              <w:spacing w:after="0"/>
              <w:rPr>
                <w:sz w:val="20"/>
                <w:szCs w:val="20"/>
                <w:color w:val="auto"/>
              </w:rPr>
            </w:pPr>
            <w:r>
              <w:rPr>
                <w:rFonts w:ascii="Calibri" w:cs="Calibri" w:eastAsia="Calibri" w:hAnsi="Calibri"/>
                <w:sz w:val="14"/>
                <w:szCs w:val="14"/>
                <w:b w:val="1"/>
                <w:bCs w:val="1"/>
                <w:color w:val="auto"/>
              </w:rPr>
              <w:t>interest</w:t>
            </w:r>
          </w:p>
        </w:tc>
        <w:tc>
          <w:tcPr>
            <w:tcW w:w="100" w:type="dxa"/>
            <w:vAlign w:val="bottom"/>
            <w:tcBorders>
              <w:bottom w:val="single" w:sz="8" w:color="B6D2E2"/>
            </w:tcBorders>
            <w:shd w:val="clear" w:color="auto" w:fill="B6D2E2"/>
          </w:tcPr>
          <w:p>
            <w:pPr>
              <w:spacing w:after="0"/>
              <w:rPr>
                <w:sz w:val="16"/>
                <w:szCs w:val="16"/>
                <w:color w:val="auto"/>
              </w:rPr>
            </w:pPr>
          </w:p>
        </w:tc>
        <w:tc>
          <w:tcPr>
            <w:tcW w:w="62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bottom w:val="single" w:sz="8" w:color="B6D2E2"/>
              <w:right w:val="single" w:sz="8" w:color="007CBA"/>
            </w:tcBorders>
            <w:shd w:val="clear" w:color="auto" w:fill="B6D2E2"/>
          </w:tcPr>
          <w:p>
            <w:pPr>
              <w:spacing w:after="0"/>
              <w:rPr>
                <w:sz w:val="16"/>
                <w:szCs w:val="16"/>
                <w:color w:val="auto"/>
              </w:rPr>
            </w:pPr>
          </w:p>
        </w:tc>
        <w:tc>
          <w:tcPr>
            <w:tcW w:w="120" w:type="dxa"/>
            <w:vAlign w:val="bottom"/>
            <w:tcBorders>
              <w:bottom w:val="single" w:sz="8" w:color="B6D2E2"/>
            </w:tcBorders>
            <w:shd w:val="clear" w:color="auto" w:fill="B6D2E2"/>
          </w:tcPr>
          <w:p>
            <w:pPr>
              <w:spacing w:after="0"/>
              <w:rPr>
                <w:sz w:val="16"/>
                <w:szCs w:val="16"/>
                <w:color w:val="auto"/>
              </w:rPr>
            </w:pPr>
          </w:p>
        </w:tc>
        <w:tc>
          <w:tcPr>
            <w:tcW w:w="120" w:type="dxa"/>
            <w:vAlign w:val="bottom"/>
            <w:tcBorders>
              <w:bottom w:val="single" w:sz="8" w:color="B6D2E2"/>
            </w:tcBorders>
            <w:shd w:val="clear" w:color="auto" w:fill="B6D2E2"/>
          </w:tcPr>
          <w:p>
            <w:pPr>
              <w:spacing w:after="0"/>
              <w:rPr>
                <w:sz w:val="16"/>
                <w:szCs w:val="16"/>
                <w:color w:val="auto"/>
              </w:rPr>
            </w:pPr>
          </w:p>
        </w:tc>
        <w:tc>
          <w:tcPr>
            <w:tcW w:w="70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bottom w:val="single" w:sz="8" w:color="B6D2E2"/>
              <w:right w:val="single" w:sz="8" w:color="007CBA"/>
            </w:tcBorders>
            <w:shd w:val="clear" w:color="auto" w:fill="B6D2E2"/>
          </w:tcPr>
          <w:p>
            <w:pPr>
              <w:spacing w:after="0"/>
              <w:rPr>
                <w:sz w:val="16"/>
                <w:szCs w:val="16"/>
                <w:color w:val="auto"/>
              </w:rPr>
            </w:pPr>
          </w:p>
        </w:tc>
        <w:tc>
          <w:tcPr>
            <w:tcW w:w="120" w:type="dxa"/>
            <w:vAlign w:val="bottom"/>
            <w:tcBorders>
              <w:bottom w:val="single" w:sz="8" w:color="B6D2E2"/>
            </w:tcBorders>
            <w:shd w:val="clear" w:color="auto" w:fill="B6D2E2"/>
          </w:tcPr>
          <w:p>
            <w:pPr>
              <w:spacing w:after="0"/>
              <w:rPr>
                <w:sz w:val="16"/>
                <w:szCs w:val="16"/>
                <w:color w:val="auto"/>
              </w:rPr>
            </w:pPr>
          </w:p>
        </w:tc>
        <w:tc>
          <w:tcPr>
            <w:tcW w:w="80" w:type="dxa"/>
            <w:vAlign w:val="bottom"/>
            <w:tcBorders>
              <w:bottom w:val="single" w:sz="8" w:color="B6D2E2"/>
            </w:tcBorders>
            <w:shd w:val="clear" w:color="auto" w:fill="B6D2E2"/>
          </w:tcPr>
          <w:p>
            <w:pPr>
              <w:spacing w:after="0"/>
              <w:rPr>
                <w:sz w:val="16"/>
                <w:szCs w:val="16"/>
                <w:color w:val="auto"/>
              </w:rPr>
            </w:pPr>
          </w:p>
        </w:tc>
        <w:tc>
          <w:tcPr>
            <w:tcW w:w="40" w:type="dxa"/>
            <w:vAlign w:val="bottom"/>
            <w:tcBorders>
              <w:bottom w:val="single" w:sz="8" w:color="B6D2E2"/>
            </w:tcBorders>
            <w:shd w:val="clear" w:color="auto" w:fill="B6D2E2"/>
          </w:tcPr>
          <w:p>
            <w:pPr>
              <w:spacing w:after="0"/>
              <w:rPr>
                <w:sz w:val="16"/>
                <w:szCs w:val="16"/>
                <w:color w:val="auto"/>
              </w:rPr>
            </w:pPr>
          </w:p>
        </w:tc>
        <w:tc>
          <w:tcPr>
            <w:tcW w:w="70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40" w:type="dxa"/>
            <w:vAlign w:val="bottom"/>
            <w:tcBorders>
              <w:bottom w:val="single" w:sz="8" w:color="B6D2E2"/>
              <w:right w:val="single" w:sz="8" w:color="007CBA"/>
            </w:tcBorders>
            <w:shd w:val="clear" w:color="auto" w:fill="B6D2E2"/>
          </w:tcPr>
          <w:p>
            <w:pPr>
              <w:spacing w:after="0"/>
              <w:rPr>
                <w:sz w:val="16"/>
                <w:szCs w:val="16"/>
                <w:color w:val="auto"/>
              </w:rPr>
            </w:pPr>
          </w:p>
        </w:tc>
        <w:tc>
          <w:tcPr>
            <w:tcW w:w="120" w:type="dxa"/>
            <w:vAlign w:val="bottom"/>
            <w:tcBorders>
              <w:bottom w:val="single" w:sz="8" w:color="B6D2E2"/>
            </w:tcBorders>
            <w:shd w:val="clear" w:color="auto" w:fill="B6D2E2"/>
          </w:tcPr>
          <w:p>
            <w:pPr>
              <w:spacing w:after="0"/>
              <w:rPr>
                <w:sz w:val="16"/>
                <w:szCs w:val="16"/>
                <w:color w:val="auto"/>
              </w:rPr>
            </w:pPr>
          </w:p>
        </w:tc>
        <w:tc>
          <w:tcPr>
            <w:tcW w:w="120" w:type="dxa"/>
            <w:vAlign w:val="bottom"/>
            <w:tcBorders>
              <w:bottom w:val="single" w:sz="8" w:color="B6D2E2"/>
            </w:tcBorders>
            <w:shd w:val="clear" w:color="auto" w:fill="B6D2E2"/>
          </w:tcPr>
          <w:p>
            <w:pPr>
              <w:spacing w:after="0"/>
              <w:rPr>
                <w:sz w:val="16"/>
                <w:szCs w:val="16"/>
                <w:color w:val="auto"/>
              </w:rPr>
            </w:pPr>
          </w:p>
        </w:tc>
        <w:tc>
          <w:tcPr>
            <w:tcW w:w="80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bottom w:val="single" w:sz="8" w:color="B6D2E2"/>
              <w:right w:val="single" w:sz="8" w:color="007CBA"/>
            </w:tcBorders>
            <w:shd w:val="clear" w:color="auto" w:fill="B6D2E2"/>
          </w:tcPr>
          <w:p>
            <w:pPr>
              <w:spacing w:after="0"/>
              <w:rPr>
                <w:sz w:val="16"/>
                <w:szCs w:val="16"/>
                <w:color w:val="auto"/>
              </w:rPr>
            </w:pPr>
          </w:p>
        </w:tc>
        <w:tc>
          <w:tcPr>
            <w:tcW w:w="100" w:type="dxa"/>
            <w:vAlign w:val="bottom"/>
            <w:tcBorders>
              <w:bottom w:val="single" w:sz="8" w:color="B6D2E2"/>
            </w:tcBorders>
            <w:shd w:val="clear" w:color="auto" w:fill="B6D2E2"/>
          </w:tcPr>
          <w:p>
            <w:pPr>
              <w:spacing w:after="0"/>
              <w:rPr>
                <w:sz w:val="16"/>
                <w:szCs w:val="16"/>
                <w:color w:val="auto"/>
              </w:rPr>
            </w:pPr>
          </w:p>
        </w:tc>
        <w:tc>
          <w:tcPr>
            <w:tcW w:w="100" w:type="dxa"/>
            <w:vAlign w:val="bottom"/>
            <w:tcBorders>
              <w:bottom w:val="single" w:sz="8" w:color="B6D2E2"/>
            </w:tcBorders>
            <w:shd w:val="clear" w:color="auto" w:fill="B6D2E2"/>
          </w:tcPr>
          <w:p>
            <w:pPr>
              <w:spacing w:after="0"/>
              <w:rPr>
                <w:sz w:val="16"/>
                <w:szCs w:val="16"/>
                <w:color w:val="auto"/>
              </w:rPr>
            </w:pPr>
          </w:p>
        </w:tc>
        <w:tc>
          <w:tcPr>
            <w:tcW w:w="70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bottom w:val="single" w:sz="8" w:color="B6D2E2"/>
              <w:right w:val="single" w:sz="8" w:color="007CBA"/>
            </w:tcBorders>
            <w:shd w:val="clear" w:color="auto" w:fill="B6D2E2"/>
          </w:tcPr>
          <w:p>
            <w:pPr>
              <w:spacing w:after="0"/>
              <w:rPr>
                <w:sz w:val="16"/>
                <w:szCs w:val="16"/>
                <w:color w:val="auto"/>
              </w:rPr>
            </w:pPr>
          </w:p>
        </w:tc>
        <w:tc>
          <w:tcPr>
            <w:tcW w:w="120" w:type="dxa"/>
            <w:vAlign w:val="bottom"/>
            <w:tcBorders>
              <w:bottom w:val="single" w:sz="8" w:color="B6D2E2"/>
            </w:tcBorders>
            <w:shd w:val="clear" w:color="auto" w:fill="B6D2E2"/>
          </w:tcPr>
          <w:p>
            <w:pPr>
              <w:spacing w:after="0"/>
              <w:rPr>
                <w:sz w:val="16"/>
                <w:szCs w:val="16"/>
                <w:color w:val="auto"/>
              </w:rPr>
            </w:pPr>
          </w:p>
        </w:tc>
        <w:tc>
          <w:tcPr>
            <w:tcW w:w="100" w:type="dxa"/>
            <w:vAlign w:val="bottom"/>
            <w:tcBorders>
              <w:bottom w:val="single" w:sz="8" w:color="B6D2E2"/>
            </w:tcBorders>
            <w:shd w:val="clear" w:color="auto" w:fill="B6D2E2"/>
          </w:tcPr>
          <w:p>
            <w:pPr>
              <w:spacing w:after="0"/>
              <w:rPr>
                <w:sz w:val="16"/>
                <w:szCs w:val="16"/>
                <w:color w:val="auto"/>
              </w:rPr>
            </w:pPr>
          </w:p>
        </w:tc>
        <w:tc>
          <w:tcPr>
            <w:tcW w:w="6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bottom w:val="single" w:sz="8" w:color="B6D2E2"/>
              <w:right w:val="single" w:sz="8" w:color="007CBA"/>
            </w:tcBorders>
            <w:shd w:val="clear" w:color="auto" w:fill="B6D2E2"/>
          </w:tcPr>
          <w:p>
            <w:pPr>
              <w:spacing w:after="0"/>
              <w:rPr>
                <w:sz w:val="16"/>
                <w:szCs w:val="16"/>
                <w:color w:val="auto"/>
              </w:rPr>
            </w:pPr>
          </w:p>
        </w:tc>
        <w:tc>
          <w:tcPr>
            <w:tcW w:w="100" w:type="dxa"/>
            <w:vAlign w:val="bottom"/>
            <w:tcBorders>
              <w:bottom w:val="single" w:sz="8" w:color="B6D2E2"/>
            </w:tcBorders>
            <w:shd w:val="clear" w:color="auto" w:fill="B6D2E2"/>
          </w:tcPr>
          <w:p>
            <w:pPr>
              <w:spacing w:after="0"/>
              <w:rPr>
                <w:sz w:val="16"/>
                <w:szCs w:val="16"/>
                <w:color w:val="auto"/>
              </w:rPr>
            </w:pPr>
          </w:p>
        </w:tc>
        <w:tc>
          <w:tcPr>
            <w:tcW w:w="120" w:type="dxa"/>
            <w:vAlign w:val="bottom"/>
            <w:tcBorders>
              <w:bottom w:val="single" w:sz="8" w:color="B6D2E2"/>
            </w:tcBorders>
            <w:shd w:val="clear" w:color="auto" w:fill="B6D2E2"/>
          </w:tcPr>
          <w:p>
            <w:pPr>
              <w:spacing w:after="0"/>
              <w:rPr>
                <w:sz w:val="16"/>
                <w:szCs w:val="16"/>
                <w:color w:val="auto"/>
              </w:rPr>
            </w:pPr>
          </w:p>
        </w:tc>
        <w:tc>
          <w:tcPr>
            <w:tcW w:w="6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(0.5</w:t>
            </w:r>
          </w:p>
        </w:tc>
        <w:tc>
          <w:tcPr>
            <w:tcW w:w="120" w:type="dxa"/>
            <w:vAlign w:val="bottom"/>
            <w:tcBorders>
              <w:bottom w:val="single" w:sz="8" w:color="B6D2E2"/>
              <w:right w:val="single" w:sz="8" w:color="007CBA"/>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00" w:type="dxa"/>
            <w:vAlign w:val="bottom"/>
            <w:tcBorders>
              <w:bottom w:val="single" w:sz="8" w:color="B6D2E2"/>
            </w:tcBorders>
            <w:shd w:val="clear" w:color="auto" w:fill="B6D2E2"/>
          </w:tcPr>
          <w:p>
            <w:pPr>
              <w:spacing w:after="0"/>
              <w:rPr>
                <w:sz w:val="16"/>
                <w:szCs w:val="16"/>
                <w:color w:val="auto"/>
              </w:rPr>
            </w:pPr>
          </w:p>
        </w:tc>
        <w:tc>
          <w:tcPr>
            <w:tcW w:w="100" w:type="dxa"/>
            <w:vAlign w:val="bottom"/>
            <w:tcBorders>
              <w:bottom w:val="single" w:sz="8" w:color="B6D2E2"/>
            </w:tcBorders>
            <w:shd w:val="clear" w:color="auto" w:fill="B6D2E2"/>
          </w:tcPr>
          <w:p>
            <w:pPr>
              <w:spacing w:after="0"/>
              <w:rPr>
                <w:sz w:val="16"/>
                <w:szCs w:val="16"/>
                <w:color w:val="auto"/>
              </w:rPr>
            </w:pPr>
          </w:p>
        </w:tc>
        <w:tc>
          <w:tcPr>
            <w:tcW w:w="70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(0.5</w:t>
            </w:r>
          </w:p>
        </w:tc>
        <w:tc>
          <w:tcPr>
            <w:tcW w:w="100" w:type="dxa"/>
            <w:vAlign w:val="bottom"/>
            <w:tcBorders>
              <w:bottom w:val="single" w:sz="8" w:color="B6D2E2"/>
              <w:right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0" w:type="dxa"/>
            <w:vAlign w:val="bottom"/>
          </w:tcPr>
          <w:p>
            <w:pPr>
              <w:spacing w:after="0"/>
              <w:rPr>
                <w:sz w:val="1"/>
                <w:szCs w:val="1"/>
                <w:color w:val="auto"/>
              </w:rPr>
            </w:pPr>
          </w:p>
        </w:tc>
      </w:tr>
      <w:tr>
        <w:trPr>
          <w:trHeight w:val="169"/>
        </w:trPr>
        <w:tc>
          <w:tcPr>
            <w:tcW w:w="3060" w:type="dxa"/>
            <w:vAlign w:val="bottom"/>
          </w:tcPr>
          <w:p>
            <w:pPr>
              <w:ind w:left="160"/>
              <w:spacing w:after="0" w:line="169" w:lineRule="exact"/>
              <w:rPr>
                <w:sz w:val="20"/>
                <w:szCs w:val="20"/>
                <w:color w:val="auto"/>
              </w:rPr>
            </w:pPr>
            <w:r>
              <w:rPr>
                <w:rFonts w:ascii="Calibri" w:cs="Calibri" w:eastAsia="Calibri" w:hAnsi="Calibri"/>
                <w:sz w:val="14"/>
                <w:szCs w:val="14"/>
                <w:b w:val="1"/>
                <w:bCs w:val="1"/>
                <w:color w:val="auto"/>
              </w:rPr>
              <w:t>Contributon from owners of noncontrolling</w:t>
            </w:r>
          </w:p>
        </w:tc>
        <w:tc>
          <w:tcPr>
            <w:tcW w:w="100" w:type="dxa"/>
            <w:vAlign w:val="bottom"/>
            <w:shd w:val="clear" w:color="auto" w:fill="B6D2E2"/>
          </w:tcPr>
          <w:p>
            <w:pPr>
              <w:spacing w:after="0"/>
              <w:rPr>
                <w:sz w:val="14"/>
                <w:szCs w:val="14"/>
                <w:color w:val="auto"/>
              </w:rPr>
            </w:pPr>
          </w:p>
        </w:tc>
        <w:tc>
          <w:tcPr>
            <w:tcW w:w="620" w:type="dxa"/>
            <w:vAlign w:val="bottom"/>
            <w:shd w:val="clear" w:color="auto" w:fill="B6D2E2"/>
          </w:tcPr>
          <w:p>
            <w:pPr>
              <w:spacing w:after="0"/>
              <w:rPr>
                <w:sz w:val="14"/>
                <w:szCs w:val="14"/>
                <w:color w:val="auto"/>
              </w:rPr>
            </w:pPr>
          </w:p>
        </w:tc>
        <w:tc>
          <w:tcPr>
            <w:tcW w:w="120" w:type="dxa"/>
            <w:vAlign w:val="bottom"/>
            <w:tcBorders>
              <w:right w:val="single" w:sz="8" w:color="B6D2E2"/>
            </w:tcBorders>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20" w:type="dxa"/>
            <w:vAlign w:val="bottom"/>
            <w:tcBorders>
              <w:right w:val="single" w:sz="8" w:color="B6D2E2"/>
            </w:tcBorders>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0" w:type="dxa"/>
            <w:vAlign w:val="bottom"/>
            <w:shd w:val="clear" w:color="auto" w:fill="B6D2E2"/>
          </w:tcPr>
          <w:p>
            <w:pPr>
              <w:spacing w:after="0"/>
              <w:rPr>
                <w:sz w:val="14"/>
                <w:szCs w:val="14"/>
                <w:color w:val="auto"/>
              </w:rPr>
            </w:pPr>
          </w:p>
        </w:tc>
        <w:tc>
          <w:tcPr>
            <w:tcW w:w="4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40" w:type="dxa"/>
            <w:vAlign w:val="bottom"/>
            <w:tcBorders>
              <w:right w:val="single" w:sz="8" w:color="B6D2E2"/>
            </w:tcBorders>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800" w:type="dxa"/>
            <w:vAlign w:val="bottom"/>
            <w:shd w:val="clear" w:color="auto" w:fill="B6D2E2"/>
          </w:tcPr>
          <w:p>
            <w:pPr>
              <w:spacing w:after="0"/>
              <w:rPr>
                <w:sz w:val="14"/>
                <w:szCs w:val="14"/>
                <w:color w:val="auto"/>
              </w:rPr>
            </w:pPr>
          </w:p>
        </w:tc>
        <w:tc>
          <w:tcPr>
            <w:tcW w:w="12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00" w:type="dxa"/>
            <w:vAlign w:val="bottom"/>
            <w:tcBorders>
              <w:right w:val="single" w:sz="8" w:color="B6D2E2"/>
            </w:tcBorders>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680" w:type="dxa"/>
            <w:vAlign w:val="bottom"/>
            <w:shd w:val="clear" w:color="auto" w:fill="B6D2E2"/>
          </w:tcPr>
          <w:p>
            <w:pPr>
              <w:spacing w:after="0"/>
              <w:rPr>
                <w:sz w:val="14"/>
                <w:szCs w:val="14"/>
                <w:color w:val="auto"/>
              </w:rPr>
            </w:pPr>
          </w:p>
        </w:tc>
        <w:tc>
          <w:tcPr>
            <w:tcW w:w="12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20" w:type="dxa"/>
            <w:vAlign w:val="bottom"/>
            <w:shd w:val="clear" w:color="auto" w:fill="B6D2E2"/>
          </w:tcPr>
          <w:p>
            <w:pPr>
              <w:spacing w:after="0"/>
              <w:rPr>
                <w:sz w:val="14"/>
                <w:szCs w:val="14"/>
                <w:color w:val="auto"/>
              </w:rPr>
            </w:pPr>
          </w:p>
        </w:tc>
        <w:tc>
          <w:tcPr>
            <w:tcW w:w="680" w:type="dxa"/>
            <w:vAlign w:val="bottom"/>
            <w:shd w:val="clear" w:color="auto" w:fill="B6D2E2"/>
          </w:tcPr>
          <w:p>
            <w:pPr>
              <w:spacing w:after="0"/>
              <w:rPr>
                <w:sz w:val="14"/>
                <w:szCs w:val="14"/>
                <w:color w:val="auto"/>
              </w:rPr>
            </w:pPr>
          </w:p>
        </w:tc>
        <w:tc>
          <w:tcPr>
            <w:tcW w:w="120" w:type="dxa"/>
            <w:vAlign w:val="bottom"/>
            <w:tcBorders>
              <w:right w:val="single" w:sz="8" w:color="B6D2E2"/>
            </w:tcBorders>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100" w:type="dxa"/>
            <w:vAlign w:val="bottom"/>
            <w:shd w:val="clear" w:color="auto" w:fill="B6D2E2"/>
          </w:tcPr>
          <w:p>
            <w:pPr>
              <w:spacing w:after="0"/>
              <w:rPr>
                <w:sz w:val="14"/>
                <w:szCs w:val="14"/>
                <w:color w:val="auto"/>
              </w:rPr>
            </w:pPr>
          </w:p>
        </w:tc>
        <w:tc>
          <w:tcPr>
            <w:tcW w:w="700" w:type="dxa"/>
            <w:vAlign w:val="bottom"/>
            <w:shd w:val="clear" w:color="auto" w:fill="B6D2E2"/>
          </w:tcPr>
          <w:p>
            <w:pPr>
              <w:spacing w:after="0"/>
              <w:rPr>
                <w:sz w:val="14"/>
                <w:szCs w:val="14"/>
                <w:color w:val="auto"/>
              </w:rPr>
            </w:pPr>
          </w:p>
        </w:tc>
        <w:tc>
          <w:tcPr>
            <w:tcW w:w="100" w:type="dxa"/>
            <w:vAlign w:val="bottom"/>
            <w:tcBorders>
              <w:right w:val="single" w:sz="8" w:color="B6D2E2"/>
            </w:tcBorders>
            <w:shd w:val="clear" w:color="auto" w:fill="B6D2E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60" w:type="dxa"/>
            <w:vAlign w:val="bottom"/>
          </w:tcPr>
          <w:p>
            <w:pPr>
              <w:ind w:left="160"/>
              <w:spacing w:after="0"/>
              <w:rPr>
                <w:sz w:val="20"/>
                <w:szCs w:val="20"/>
                <w:color w:val="auto"/>
              </w:rPr>
            </w:pPr>
            <w:r>
              <w:rPr>
                <w:rFonts w:ascii="Calibri" w:cs="Calibri" w:eastAsia="Calibri" w:hAnsi="Calibri"/>
                <w:sz w:val="14"/>
                <w:szCs w:val="14"/>
                <w:b w:val="1"/>
                <w:bCs w:val="1"/>
                <w:color w:val="auto"/>
              </w:rPr>
              <w:t>interest</w:t>
            </w:r>
          </w:p>
        </w:tc>
        <w:tc>
          <w:tcPr>
            <w:tcW w:w="100" w:type="dxa"/>
            <w:vAlign w:val="bottom"/>
            <w:tcBorders>
              <w:bottom w:val="single" w:sz="8" w:color="B6D2E2"/>
            </w:tcBorders>
            <w:shd w:val="clear" w:color="auto" w:fill="B6D2E2"/>
          </w:tcPr>
          <w:p>
            <w:pPr>
              <w:spacing w:after="0"/>
              <w:rPr>
                <w:sz w:val="18"/>
                <w:szCs w:val="18"/>
                <w:color w:val="auto"/>
              </w:rPr>
            </w:pPr>
          </w:p>
        </w:tc>
        <w:tc>
          <w:tcPr>
            <w:tcW w:w="62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bottom w:val="single" w:sz="8" w:color="B6D2E2"/>
              <w:right w:val="single" w:sz="8" w:color="B6D2E2"/>
            </w:tcBorders>
            <w:shd w:val="clear" w:color="auto" w:fill="B6D2E2"/>
          </w:tcPr>
          <w:p>
            <w:pPr>
              <w:spacing w:after="0"/>
              <w:rPr>
                <w:sz w:val="18"/>
                <w:szCs w:val="18"/>
                <w:color w:val="auto"/>
              </w:rPr>
            </w:pPr>
          </w:p>
        </w:tc>
        <w:tc>
          <w:tcPr>
            <w:tcW w:w="120" w:type="dxa"/>
            <w:vAlign w:val="bottom"/>
            <w:tcBorders>
              <w:bottom w:val="single" w:sz="8" w:color="B6D2E2"/>
            </w:tcBorders>
            <w:shd w:val="clear" w:color="auto" w:fill="B6D2E2"/>
          </w:tcPr>
          <w:p>
            <w:pPr>
              <w:spacing w:after="0"/>
              <w:rPr>
                <w:sz w:val="18"/>
                <w:szCs w:val="18"/>
                <w:color w:val="auto"/>
              </w:rPr>
            </w:pPr>
          </w:p>
        </w:tc>
        <w:tc>
          <w:tcPr>
            <w:tcW w:w="120" w:type="dxa"/>
            <w:vAlign w:val="bottom"/>
            <w:tcBorders>
              <w:bottom w:val="single" w:sz="8" w:color="B6D2E2"/>
            </w:tcBorders>
            <w:shd w:val="clear" w:color="auto" w:fill="B6D2E2"/>
          </w:tcPr>
          <w:p>
            <w:pPr>
              <w:spacing w:after="0"/>
              <w:rPr>
                <w:sz w:val="18"/>
                <w:szCs w:val="18"/>
                <w:color w:val="auto"/>
              </w:rPr>
            </w:pPr>
          </w:p>
        </w:tc>
        <w:tc>
          <w:tcPr>
            <w:tcW w:w="70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bottom w:val="single" w:sz="8" w:color="B6D2E2"/>
              <w:right w:val="single" w:sz="8" w:color="B6D2E2"/>
            </w:tcBorders>
            <w:shd w:val="clear" w:color="auto" w:fill="B6D2E2"/>
          </w:tcPr>
          <w:p>
            <w:pPr>
              <w:spacing w:after="0"/>
              <w:rPr>
                <w:sz w:val="18"/>
                <w:szCs w:val="18"/>
                <w:color w:val="auto"/>
              </w:rPr>
            </w:pPr>
          </w:p>
        </w:tc>
        <w:tc>
          <w:tcPr>
            <w:tcW w:w="120" w:type="dxa"/>
            <w:vAlign w:val="bottom"/>
            <w:tcBorders>
              <w:bottom w:val="single" w:sz="8" w:color="B6D2E2"/>
            </w:tcBorders>
            <w:shd w:val="clear" w:color="auto" w:fill="B6D2E2"/>
          </w:tcPr>
          <w:p>
            <w:pPr>
              <w:spacing w:after="0"/>
              <w:rPr>
                <w:sz w:val="18"/>
                <w:szCs w:val="18"/>
                <w:color w:val="auto"/>
              </w:rPr>
            </w:pPr>
          </w:p>
        </w:tc>
        <w:tc>
          <w:tcPr>
            <w:tcW w:w="80" w:type="dxa"/>
            <w:vAlign w:val="bottom"/>
            <w:tcBorders>
              <w:bottom w:val="single" w:sz="8" w:color="B6D2E2"/>
            </w:tcBorders>
            <w:shd w:val="clear" w:color="auto" w:fill="B6D2E2"/>
          </w:tcPr>
          <w:p>
            <w:pPr>
              <w:spacing w:after="0"/>
              <w:rPr>
                <w:sz w:val="18"/>
                <w:szCs w:val="18"/>
                <w:color w:val="auto"/>
              </w:rPr>
            </w:pPr>
          </w:p>
        </w:tc>
        <w:tc>
          <w:tcPr>
            <w:tcW w:w="40" w:type="dxa"/>
            <w:vAlign w:val="bottom"/>
            <w:tcBorders>
              <w:bottom w:val="single" w:sz="8" w:color="B6D2E2"/>
            </w:tcBorders>
            <w:shd w:val="clear" w:color="auto" w:fill="B6D2E2"/>
          </w:tcPr>
          <w:p>
            <w:pPr>
              <w:spacing w:after="0"/>
              <w:rPr>
                <w:sz w:val="18"/>
                <w:szCs w:val="18"/>
                <w:color w:val="auto"/>
              </w:rPr>
            </w:pPr>
          </w:p>
        </w:tc>
        <w:tc>
          <w:tcPr>
            <w:tcW w:w="70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40" w:type="dxa"/>
            <w:vAlign w:val="bottom"/>
            <w:tcBorders>
              <w:bottom w:val="single" w:sz="8" w:color="B6D2E2"/>
              <w:right w:val="single" w:sz="8" w:color="B6D2E2"/>
            </w:tcBorders>
            <w:shd w:val="clear" w:color="auto" w:fill="B6D2E2"/>
          </w:tcPr>
          <w:p>
            <w:pPr>
              <w:spacing w:after="0"/>
              <w:rPr>
                <w:sz w:val="18"/>
                <w:szCs w:val="18"/>
                <w:color w:val="auto"/>
              </w:rPr>
            </w:pPr>
          </w:p>
        </w:tc>
        <w:tc>
          <w:tcPr>
            <w:tcW w:w="120" w:type="dxa"/>
            <w:vAlign w:val="bottom"/>
            <w:tcBorders>
              <w:bottom w:val="single" w:sz="8" w:color="B6D2E2"/>
            </w:tcBorders>
            <w:shd w:val="clear" w:color="auto" w:fill="B6D2E2"/>
          </w:tcPr>
          <w:p>
            <w:pPr>
              <w:spacing w:after="0"/>
              <w:rPr>
                <w:sz w:val="18"/>
                <w:szCs w:val="18"/>
                <w:color w:val="auto"/>
              </w:rPr>
            </w:pPr>
          </w:p>
        </w:tc>
        <w:tc>
          <w:tcPr>
            <w:tcW w:w="120" w:type="dxa"/>
            <w:vAlign w:val="bottom"/>
            <w:tcBorders>
              <w:bottom w:val="single" w:sz="8" w:color="B6D2E2"/>
            </w:tcBorders>
            <w:shd w:val="clear" w:color="auto" w:fill="B6D2E2"/>
          </w:tcPr>
          <w:p>
            <w:pPr>
              <w:spacing w:after="0"/>
              <w:rPr>
                <w:sz w:val="18"/>
                <w:szCs w:val="18"/>
                <w:color w:val="auto"/>
              </w:rPr>
            </w:pPr>
          </w:p>
        </w:tc>
        <w:tc>
          <w:tcPr>
            <w:tcW w:w="80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bottom w:val="single" w:sz="8" w:color="B6D2E2"/>
              <w:right w:val="single" w:sz="8" w:color="B6D2E2"/>
            </w:tcBorders>
            <w:shd w:val="clear" w:color="auto" w:fill="B6D2E2"/>
          </w:tcPr>
          <w:p>
            <w:pPr>
              <w:spacing w:after="0"/>
              <w:rPr>
                <w:sz w:val="18"/>
                <w:szCs w:val="18"/>
                <w:color w:val="auto"/>
              </w:rPr>
            </w:pPr>
          </w:p>
        </w:tc>
        <w:tc>
          <w:tcPr>
            <w:tcW w:w="100" w:type="dxa"/>
            <w:vAlign w:val="bottom"/>
            <w:tcBorders>
              <w:bottom w:val="single" w:sz="8" w:color="B6D2E2"/>
            </w:tcBorders>
            <w:shd w:val="clear" w:color="auto" w:fill="B6D2E2"/>
          </w:tcPr>
          <w:p>
            <w:pPr>
              <w:spacing w:after="0"/>
              <w:rPr>
                <w:sz w:val="18"/>
                <w:szCs w:val="18"/>
                <w:color w:val="auto"/>
              </w:rPr>
            </w:pPr>
          </w:p>
        </w:tc>
        <w:tc>
          <w:tcPr>
            <w:tcW w:w="100" w:type="dxa"/>
            <w:vAlign w:val="bottom"/>
            <w:tcBorders>
              <w:bottom w:val="single" w:sz="8" w:color="B6D2E2"/>
            </w:tcBorders>
            <w:shd w:val="clear" w:color="auto" w:fill="B6D2E2"/>
          </w:tcPr>
          <w:p>
            <w:pPr>
              <w:spacing w:after="0"/>
              <w:rPr>
                <w:sz w:val="18"/>
                <w:szCs w:val="18"/>
                <w:color w:val="auto"/>
              </w:rPr>
            </w:pPr>
          </w:p>
        </w:tc>
        <w:tc>
          <w:tcPr>
            <w:tcW w:w="70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00" w:type="dxa"/>
            <w:vAlign w:val="bottom"/>
            <w:tcBorders>
              <w:bottom w:val="single" w:sz="8" w:color="B6D2E2"/>
              <w:right w:val="single" w:sz="8" w:color="B6D2E2"/>
            </w:tcBorders>
            <w:shd w:val="clear" w:color="auto" w:fill="B6D2E2"/>
          </w:tcPr>
          <w:p>
            <w:pPr>
              <w:spacing w:after="0"/>
              <w:rPr>
                <w:sz w:val="18"/>
                <w:szCs w:val="18"/>
                <w:color w:val="auto"/>
              </w:rPr>
            </w:pPr>
          </w:p>
        </w:tc>
        <w:tc>
          <w:tcPr>
            <w:tcW w:w="120" w:type="dxa"/>
            <w:vAlign w:val="bottom"/>
            <w:tcBorders>
              <w:bottom w:val="single" w:sz="8" w:color="B6D2E2"/>
            </w:tcBorders>
            <w:shd w:val="clear" w:color="auto" w:fill="B6D2E2"/>
          </w:tcPr>
          <w:p>
            <w:pPr>
              <w:spacing w:after="0"/>
              <w:rPr>
                <w:sz w:val="18"/>
                <w:szCs w:val="18"/>
                <w:color w:val="auto"/>
              </w:rPr>
            </w:pPr>
          </w:p>
        </w:tc>
        <w:tc>
          <w:tcPr>
            <w:tcW w:w="100" w:type="dxa"/>
            <w:vAlign w:val="bottom"/>
            <w:tcBorders>
              <w:bottom w:val="single" w:sz="8" w:color="B6D2E2"/>
            </w:tcBorders>
            <w:shd w:val="clear" w:color="auto" w:fill="B6D2E2"/>
          </w:tcPr>
          <w:p>
            <w:pPr>
              <w:spacing w:after="0"/>
              <w:rPr>
                <w:sz w:val="18"/>
                <w:szCs w:val="18"/>
                <w:color w:val="auto"/>
              </w:rPr>
            </w:pPr>
          </w:p>
        </w:tc>
        <w:tc>
          <w:tcPr>
            <w:tcW w:w="6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w:t>
            </w:r>
          </w:p>
        </w:tc>
        <w:tc>
          <w:tcPr>
            <w:tcW w:w="120" w:type="dxa"/>
            <w:vAlign w:val="bottom"/>
            <w:tcBorders>
              <w:bottom w:val="single" w:sz="8" w:color="B6D2E2"/>
              <w:right w:val="single" w:sz="8" w:color="B6D2E2"/>
            </w:tcBorders>
            <w:shd w:val="clear" w:color="auto" w:fill="B6D2E2"/>
          </w:tcPr>
          <w:p>
            <w:pPr>
              <w:spacing w:after="0"/>
              <w:rPr>
                <w:sz w:val="18"/>
                <w:szCs w:val="18"/>
                <w:color w:val="auto"/>
              </w:rPr>
            </w:pPr>
          </w:p>
        </w:tc>
        <w:tc>
          <w:tcPr>
            <w:tcW w:w="100" w:type="dxa"/>
            <w:vAlign w:val="bottom"/>
            <w:tcBorders>
              <w:bottom w:val="single" w:sz="8" w:color="B6D2E2"/>
            </w:tcBorders>
            <w:shd w:val="clear" w:color="auto" w:fill="B6D2E2"/>
          </w:tcPr>
          <w:p>
            <w:pPr>
              <w:spacing w:after="0"/>
              <w:rPr>
                <w:sz w:val="18"/>
                <w:szCs w:val="18"/>
                <w:color w:val="auto"/>
              </w:rPr>
            </w:pPr>
          </w:p>
        </w:tc>
        <w:tc>
          <w:tcPr>
            <w:tcW w:w="120" w:type="dxa"/>
            <w:vAlign w:val="bottom"/>
            <w:tcBorders>
              <w:bottom w:val="single" w:sz="8" w:color="B6D2E2"/>
            </w:tcBorders>
            <w:shd w:val="clear" w:color="auto" w:fill="B6D2E2"/>
          </w:tcPr>
          <w:p>
            <w:pPr>
              <w:spacing w:after="0"/>
              <w:rPr>
                <w:sz w:val="18"/>
                <w:szCs w:val="18"/>
                <w:color w:val="auto"/>
              </w:rPr>
            </w:pPr>
          </w:p>
        </w:tc>
        <w:tc>
          <w:tcPr>
            <w:tcW w:w="68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0.1</w:t>
            </w:r>
          </w:p>
        </w:tc>
        <w:tc>
          <w:tcPr>
            <w:tcW w:w="120" w:type="dxa"/>
            <w:vAlign w:val="bottom"/>
            <w:tcBorders>
              <w:bottom w:val="single" w:sz="8" w:color="B6D2E2"/>
              <w:right w:val="single" w:sz="8" w:color="B6D2E2"/>
            </w:tcBorders>
            <w:shd w:val="clear" w:color="auto" w:fill="B6D2E2"/>
          </w:tcPr>
          <w:p>
            <w:pPr>
              <w:spacing w:after="0"/>
              <w:rPr>
                <w:sz w:val="18"/>
                <w:szCs w:val="18"/>
                <w:color w:val="auto"/>
              </w:rPr>
            </w:pPr>
          </w:p>
        </w:tc>
        <w:tc>
          <w:tcPr>
            <w:tcW w:w="100" w:type="dxa"/>
            <w:vAlign w:val="bottom"/>
            <w:tcBorders>
              <w:bottom w:val="single" w:sz="8" w:color="B6D2E2"/>
            </w:tcBorders>
            <w:shd w:val="clear" w:color="auto" w:fill="B6D2E2"/>
          </w:tcPr>
          <w:p>
            <w:pPr>
              <w:spacing w:after="0"/>
              <w:rPr>
                <w:sz w:val="18"/>
                <w:szCs w:val="18"/>
                <w:color w:val="auto"/>
              </w:rPr>
            </w:pPr>
          </w:p>
        </w:tc>
        <w:tc>
          <w:tcPr>
            <w:tcW w:w="100" w:type="dxa"/>
            <w:vAlign w:val="bottom"/>
            <w:tcBorders>
              <w:bottom w:val="single" w:sz="8" w:color="B6D2E2"/>
            </w:tcBorders>
            <w:shd w:val="clear" w:color="auto" w:fill="B6D2E2"/>
          </w:tcPr>
          <w:p>
            <w:pPr>
              <w:spacing w:after="0"/>
              <w:rPr>
                <w:sz w:val="18"/>
                <w:szCs w:val="18"/>
                <w:color w:val="auto"/>
              </w:rPr>
            </w:pPr>
          </w:p>
        </w:tc>
        <w:tc>
          <w:tcPr>
            <w:tcW w:w="700" w:type="dxa"/>
            <w:vAlign w:val="bottom"/>
            <w:tcBorders>
              <w:bottom w:val="single" w:sz="8" w:color="B6D2E2"/>
            </w:tcBorders>
            <w:shd w:val="clear" w:color="auto" w:fill="B6D2E2"/>
          </w:tcPr>
          <w:p>
            <w:pPr>
              <w:jc w:val="right"/>
              <w:spacing w:after="0"/>
              <w:rPr>
                <w:sz w:val="20"/>
                <w:szCs w:val="20"/>
                <w:color w:val="auto"/>
              </w:rPr>
            </w:pPr>
            <w:r>
              <w:rPr>
                <w:rFonts w:ascii="Calibri" w:cs="Calibri" w:eastAsia="Calibri" w:hAnsi="Calibri"/>
                <w:sz w:val="14"/>
                <w:szCs w:val="14"/>
                <w:b w:val="1"/>
                <w:bCs w:val="1"/>
                <w:color w:val="auto"/>
              </w:rPr>
              <w:t>0.1</w:t>
            </w:r>
          </w:p>
        </w:tc>
        <w:tc>
          <w:tcPr>
            <w:tcW w:w="100" w:type="dxa"/>
            <w:vAlign w:val="bottom"/>
            <w:tcBorders>
              <w:bottom w:val="single" w:sz="8" w:color="B6D2E2"/>
              <w:right w:val="single" w:sz="8" w:color="B6D2E2"/>
            </w:tcBorders>
            <w:shd w:val="clear" w:color="auto" w:fill="B6D2E2"/>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060" w:type="dxa"/>
            <w:vAlign w:val="bottom"/>
            <w:tcBorders>
              <w:top w:val="single" w:sz="8" w:color="auto"/>
            </w:tcBorders>
            <w:vMerge w:val="restart"/>
          </w:tcPr>
          <w:p>
            <w:pPr>
              <w:ind w:left="20"/>
              <w:spacing w:after="0"/>
              <w:rPr>
                <w:sz w:val="20"/>
                <w:szCs w:val="20"/>
                <w:color w:val="auto"/>
              </w:rPr>
            </w:pPr>
            <w:r>
              <w:rPr>
                <w:rFonts w:ascii="Calibri" w:cs="Calibri" w:eastAsia="Calibri" w:hAnsi="Calibri"/>
                <w:sz w:val="14"/>
                <w:szCs w:val="14"/>
                <w:b w:val="1"/>
                <w:bCs w:val="1"/>
                <w:color w:val="auto"/>
              </w:rPr>
              <w:t>Balance at December 31, 2023</w:t>
            </w:r>
          </w:p>
        </w:tc>
        <w:tc>
          <w:tcPr>
            <w:tcW w:w="100" w:type="dxa"/>
            <w:vAlign w:val="bottom"/>
            <w:tcBorders>
              <w:top w:val="single" w:sz="8" w:color="auto"/>
            </w:tcBorders>
            <w:shd w:val="clear" w:color="auto" w:fill="B6D2E2"/>
          </w:tcPr>
          <w:p>
            <w:pPr>
              <w:spacing w:after="0"/>
              <w:rPr>
                <w:sz w:val="14"/>
                <w:szCs w:val="14"/>
                <w:color w:val="auto"/>
              </w:rPr>
            </w:pPr>
          </w:p>
        </w:tc>
        <w:tc>
          <w:tcPr>
            <w:tcW w:w="620" w:type="dxa"/>
            <w:vAlign w:val="bottom"/>
            <w:tcBorders>
              <w:top w:val="single" w:sz="8" w:color="auto"/>
            </w:tcBorders>
            <w:shd w:val="clear" w:color="auto" w:fill="B6D2E2"/>
          </w:tcPr>
          <w:p>
            <w:pPr>
              <w:jc w:val="right"/>
              <w:spacing w:after="0" w:line="164" w:lineRule="exact"/>
              <w:rPr>
                <w:sz w:val="20"/>
                <w:szCs w:val="20"/>
                <w:color w:val="auto"/>
              </w:rPr>
            </w:pPr>
            <w:r>
              <w:rPr>
                <w:rFonts w:ascii="Calibri" w:cs="Calibri" w:eastAsia="Calibri" w:hAnsi="Calibri"/>
                <w:sz w:val="14"/>
                <w:szCs w:val="14"/>
                <w:b w:val="1"/>
                <w:bCs w:val="1"/>
                <w:color w:val="auto"/>
              </w:rPr>
              <w:t>61,821,4</w:t>
            </w:r>
          </w:p>
        </w:tc>
        <w:tc>
          <w:tcPr>
            <w:tcW w:w="120" w:type="dxa"/>
            <w:vAlign w:val="bottom"/>
            <w:tcBorders>
              <w:top w:val="single" w:sz="8" w:color="auto"/>
              <w:right w:val="single" w:sz="8" w:color="B6D2E2"/>
            </w:tcBorders>
            <w:shd w:val="clear" w:color="auto" w:fill="B6D2E2"/>
          </w:tcPr>
          <w:p>
            <w:pPr>
              <w:spacing w:after="0"/>
              <w:rPr>
                <w:sz w:val="14"/>
                <w:szCs w:val="14"/>
                <w:color w:val="auto"/>
              </w:rPr>
            </w:pPr>
          </w:p>
        </w:tc>
        <w:tc>
          <w:tcPr>
            <w:tcW w:w="120" w:type="dxa"/>
            <w:vAlign w:val="bottom"/>
            <w:tcBorders>
              <w:top w:val="single" w:sz="8" w:color="auto"/>
            </w:tcBorders>
            <w:shd w:val="clear" w:color="auto" w:fill="B6D2E2"/>
          </w:tcPr>
          <w:p>
            <w:pPr>
              <w:spacing w:after="0"/>
              <w:rPr>
                <w:sz w:val="14"/>
                <w:szCs w:val="14"/>
                <w:color w:val="auto"/>
              </w:rPr>
            </w:pPr>
          </w:p>
        </w:tc>
        <w:tc>
          <w:tcPr>
            <w:tcW w:w="120" w:type="dxa"/>
            <w:vAlign w:val="bottom"/>
            <w:tcBorders>
              <w:top w:val="single" w:sz="8" w:color="auto"/>
            </w:tcBorders>
            <w:shd w:val="clear" w:color="auto" w:fill="B6D2E2"/>
          </w:tcPr>
          <w:p>
            <w:pPr>
              <w:spacing w:after="0"/>
              <w:rPr>
                <w:sz w:val="14"/>
                <w:szCs w:val="14"/>
                <w:color w:val="auto"/>
              </w:rPr>
            </w:pPr>
          </w:p>
        </w:tc>
        <w:tc>
          <w:tcPr>
            <w:tcW w:w="700" w:type="dxa"/>
            <w:vAlign w:val="bottom"/>
            <w:tcBorders>
              <w:top w:val="single" w:sz="8" w:color="auto"/>
            </w:tcBorders>
            <w:shd w:val="clear" w:color="auto" w:fill="B6D2E2"/>
          </w:tcPr>
          <w:p>
            <w:pPr>
              <w:spacing w:after="0"/>
              <w:rPr>
                <w:sz w:val="14"/>
                <w:szCs w:val="14"/>
                <w:color w:val="auto"/>
              </w:rPr>
            </w:pPr>
          </w:p>
        </w:tc>
        <w:tc>
          <w:tcPr>
            <w:tcW w:w="120" w:type="dxa"/>
            <w:vAlign w:val="bottom"/>
            <w:tcBorders>
              <w:top w:val="single" w:sz="8" w:color="auto"/>
              <w:right w:val="single" w:sz="8" w:color="B6D2E2"/>
            </w:tcBorders>
            <w:shd w:val="clear" w:color="auto" w:fill="B6D2E2"/>
          </w:tcPr>
          <w:p>
            <w:pPr>
              <w:spacing w:after="0"/>
              <w:rPr>
                <w:sz w:val="14"/>
                <w:szCs w:val="14"/>
                <w:color w:val="auto"/>
              </w:rPr>
            </w:pPr>
          </w:p>
        </w:tc>
        <w:tc>
          <w:tcPr>
            <w:tcW w:w="120" w:type="dxa"/>
            <w:vAlign w:val="bottom"/>
            <w:tcBorders>
              <w:top w:val="single" w:sz="8" w:color="auto"/>
            </w:tcBorders>
            <w:shd w:val="clear" w:color="auto" w:fill="B6D2E2"/>
          </w:tcPr>
          <w:p>
            <w:pPr>
              <w:spacing w:after="0"/>
              <w:rPr>
                <w:sz w:val="14"/>
                <w:szCs w:val="14"/>
                <w:color w:val="auto"/>
              </w:rPr>
            </w:pPr>
          </w:p>
        </w:tc>
        <w:tc>
          <w:tcPr>
            <w:tcW w:w="80" w:type="dxa"/>
            <w:vAlign w:val="bottom"/>
            <w:tcBorders>
              <w:top w:val="single" w:sz="8" w:color="auto"/>
            </w:tcBorders>
            <w:shd w:val="clear" w:color="auto" w:fill="B6D2E2"/>
          </w:tcPr>
          <w:p>
            <w:pPr>
              <w:spacing w:after="0"/>
              <w:rPr>
                <w:sz w:val="14"/>
                <w:szCs w:val="14"/>
                <w:color w:val="auto"/>
              </w:rPr>
            </w:pPr>
          </w:p>
        </w:tc>
        <w:tc>
          <w:tcPr>
            <w:tcW w:w="40" w:type="dxa"/>
            <w:vAlign w:val="bottom"/>
            <w:tcBorders>
              <w:top w:val="single" w:sz="8" w:color="auto"/>
            </w:tcBorders>
            <w:shd w:val="clear" w:color="auto" w:fill="B6D2E2"/>
          </w:tcPr>
          <w:p>
            <w:pPr>
              <w:spacing w:after="0"/>
              <w:rPr>
                <w:sz w:val="14"/>
                <w:szCs w:val="14"/>
                <w:color w:val="auto"/>
              </w:rPr>
            </w:pPr>
          </w:p>
        </w:tc>
        <w:tc>
          <w:tcPr>
            <w:tcW w:w="700" w:type="dxa"/>
            <w:vAlign w:val="bottom"/>
            <w:tcBorders>
              <w:top w:val="single" w:sz="8" w:color="auto"/>
            </w:tcBorders>
            <w:shd w:val="clear" w:color="auto" w:fill="B6D2E2"/>
          </w:tcPr>
          <w:p>
            <w:pPr>
              <w:spacing w:after="0"/>
              <w:rPr>
                <w:sz w:val="14"/>
                <w:szCs w:val="14"/>
                <w:color w:val="auto"/>
              </w:rPr>
            </w:pPr>
          </w:p>
        </w:tc>
        <w:tc>
          <w:tcPr>
            <w:tcW w:w="140" w:type="dxa"/>
            <w:vAlign w:val="bottom"/>
            <w:tcBorders>
              <w:top w:val="single" w:sz="8" w:color="auto"/>
              <w:right w:val="single" w:sz="8" w:color="B6D2E2"/>
            </w:tcBorders>
            <w:shd w:val="clear" w:color="auto" w:fill="B6D2E2"/>
          </w:tcPr>
          <w:p>
            <w:pPr>
              <w:spacing w:after="0"/>
              <w:rPr>
                <w:sz w:val="14"/>
                <w:szCs w:val="14"/>
                <w:color w:val="auto"/>
              </w:rPr>
            </w:pPr>
          </w:p>
        </w:tc>
        <w:tc>
          <w:tcPr>
            <w:tcW w:w="120" w:type="dxa"/>
            <w:vAlign w:val="bottom"/>
            <w:tcBorders>
              <w:top w:val="single" w:sz="8" w:color="auto"/>
            </w:tcBorders>
            <w:shd w:val="clear" w:color="auto" w:fill="B6D2E2"/>
          </w:tcPr>
          <w:p>
            <w:pPr>
              <w:spacing w:after="0"/>
              <w:rPr>
                <w:sz w:val="14"/>
                <w:szCs w:val="14"/>
                <w:color w:val="auto"/>
              </w:rPr>
            </w:pPr>
          </w:p>
        </w:tc>
        <w:tc>
          <w:tcPr>
            <w:tcW w:w="120" w:type="dxa"/>
            <w:vAlign w:val="bottom"/>
            <w:tcBorders>
              <w:top w:val="single" w:sz="8" w:color="auto"/>
            </w:tcBorders>
            <w:shd w:val="clear" w:color="auto" w:fill="B6D2E2"/>
          </w:tcPr>
          <w:p>
            <w:pPr>
              <w:spacing w:after="0"/>
              <w:rPr>
                <w:sz w:val="14"/>
                <w:szCs w:val="14"/>
                <w:color w:val="auto"/>
              </w:rPr>
            </w:pPr>
          </w:p>
        </w:tc>
        <w:tc>
          <w:tcPr>
            <w:tcW w:w="800" w:type="dxa"/>
            <w:vAlign w:val="bottom"/>
            <w:tcBorders>
              <w:top w:val="single" w:sz="8" w:color="auto"/>
            </w:tcBorders>
            <w:shd w:val="clear" w:color="auto" w:fill="B6D2E2"/>
          </w:tcPr>
          <w:p>
            <w:pPr>
              <w:spacing w:after="0"/>
              <w:rPr>
                <w:sz w:val="14"/>
                <w:szCs w:val="14"/>
                <w:color w:val="auto"/>
              </w:rPr>
            </w:pPr>
          </w:p>
        </w:tc>
        <w:tc>
          <w:tcPr>
            <w:tcW w:w="120" w:type="dxa"/>
            <w:vAlign w:val="bottom"/>
            <w:tcBorders>
              <w:top w:val="single" w:sz="8" w:color="auto"/>
              <w:right w:val="single" w:sz="8" w:color="B6D2E2"/>
            </w:tcBorders>
            <w:shd w:val="clear" w:color="auto" w:fill="B6D2E2"/>
          </w:tcPr>
          <w:p>
            <w:pPr>
              <w:spacing w:after="0"/>
              <w:rPr>
                <w:sz w:val="14"/>
                <w:szCs w:val="14"/>
                <w:color w:val="auto"/>
              </w:rPr>
            </w:pPr>
          </w:p>
        </w:tc>
        <w:tc>
          <w:tcPr>
            <w:tcW w:w="100" w:type="dxa"/>
            <w:vAlign w:val="bottom"/>
            <w:tcBorders>
              <w:top w:val="single" w:sz="8" w:color="auto"/>
            </w:tcBorders>
            <w:shd w:val="clear" w:color="auto" w:fill="B6D2E2"/>
          </w:tcPr>
          <w:p>
            <w:pPr>
              <w:spacing w:after="0"/>
              <w:rPr>
                <w:sz w:val="14"/>
                <w:szCs w:val="14"/>
                <w:color w:val="auto"/>
              </w:rPr>
            </w:pPr>
          </w:p>
        </w:tc>
        <w:tc>
          <w:tcPr>
            <w:tcW w:w="100" w:type="dxa"/>
            <w:vAlign w:val="bottom"/>
            <w:tcBorders>
              <w:top w:val="single" w:sz="8" w:color="auto"/>
            </w:tcBorders>
            <w:shd w:val="clear" w:color="auto" w:fill="B6D2E2"/>
          </w:tcPr>
          <w:p>
            <w:pPr>
              <w:spacing w:after="0"/>
              <w:rPr>
                <w:sz w:val="14"/>
                <w:szCs w:val="14"/>
                <w:color w:val="auto"/>
              </w:rPr>
            </w:pPr>
          </w:p>
        </w:tc>
        <w:tc>
          <w:tcPr>
            <w:tcW w:w="700" w:type="dxa"/>
            <w:vAlign w:val="bottom"/>
            <w:tcBorders>
              <w:top w:val="single" w:sz="8" w:color="auto"/>
            </w:tcBorders>
            <w:shd w:val="clear" w:color="auto" w:fill="B6D2E2"/>
          </w:tcPr>
          <w:p>
            <w:pPr>
              <w:spacing w:after="0"/>
              <w:rPr>
                <w:sz w:val="14"/>
                <w:szCs w:val="14"/>
                <w:color w:val="auto"/>
              </w:rPr>
            </w:pPr>
          </w:p>
        </w:tc>
        <w:tc>
          <w:tcPr>
            <w:tcW w:w="100" w:type="dxa"/>
            <w:vAlign w:val="bottom"/>
            <w:tcBorders>
              <w:top w:val="single" w:sz="8" w:color="auto"/>
              <w:right w:val="single" w:sz="8" w:color="B6D2E2"/>
            </w:tcBorders>
            <w:shd w:val="clear" w:color="auto" w:fill="B6D2E2"/>
          </w:tcPr>
          <w:p>
            <w:pPr>
              <w:spacing w:after="0"/>
              <w:rPr>
                <w:sz w:val="14"/>
                <w:szCs w:val="14"/>
                <w:color w:val="auto"/>
              </w:rPr>
            </w:pPr>
          </w:p>
        </w:tc>
        <w:tc>
          <w:tcPr>
            <w:tcW w:w="120" w:type="dxa"/>
            <w:vAlign w:val="bottom"/>
            <w:tcBorders>
              <w:top w:val="single" w:sz="8" w:color="auto"/>
            </w:tcBorders>
            <w:shd w:val="clear" w:color="auto" w:fill="B6D2E2"/>
          </w:tcPr>
          <w:p>
            <w:pPr>
              <w:spacing w:after="0"/>
              <w:rPr>
                <w:sz w:val="14"/>
                <w:szCs w:val="14"/>
                <w:color w:val="auto"/>
              </w:rPr>
            </w:pPr>
          </w:p>
        </w:tc>
        <w:tc>
          <w:tcPr>
            <w:tcW w:w="100" w:type="dxa"/>
            <w:vAlign w:val="bottom"/>
            <w:tcBorders>
              <w:top w:val="single" w:sz="8" w:color="auto"/>
            </w:tcBorders>
            <w:shd w:val="clear" w:color="auto" w:fill="B6D2E2"/>
          </w:tcPr>
          <w:p>
            <w:pPr>
              <w:spacing w:after="0"/>
              <w:rPr>
                <w:sz w:val="14"/>
                <w:szCs w:val="14"/>
                <w:color w:val="auto"/>
              </w:rPr>
            </w:pPr>
          </w:p>
        </w:tc>
        <w:tc>
          <w:tcPr>
            <w:tcW w:w="680" w:type="dxa"/>
            <w:vAlign w:val="bottom"/>
            <w:tcBorders>
              <w:top w:val="single" w:sz="8" w:color="auto"/>
            </w:tcBorders>
            <w:shd w:val="clear" w:color="auto" w:fill="B6D2E2"/>
          </w:tcPr>
          <w:p>
            <w:pPr>
              <w:spacing w:after="0"/>
              <w:rPr>
                <w:sz w:val="14"/>
                <w:szCs w:val="14"/>
                <w:color w:val="auto"/>
              </w:rPr>
            </w:pPr>
          </w:p>
        </w:tc>
        <w:tc>
          <w:tcPr>
            <w:tcW w:w="120" w:type="dxa"/>
            <w:vAlign w:val="bottom"/>
            <w:tcBorders>
              <w:top w:val="single" w:sz="8" w:color="auto"/>
              <w:right w:val="single" w:sz="8" w:color="B6D2E2"/>
            </w:tcBorders>
            <w:shd w:val="clear" w:color="auto" w:fill="B6D2E2"/>
          </w:tcPr>
          <w:p>
            <w:pPr>
              <w:spacing w:after="0"/>
              <w:rPr>
                <w:sz w:val="14"/>
                <w:szCs w:val="14"/>
                <w:color w:val="auto"/>
              </w:rPr>
            </w:pPr>
          </w:p>
        </w:tc>
        <w:tc>
          <w:tcPr>
            <w:tcW w:w="100" w:type="dxa"/>
            <w:vAlign w:val="bottom"/>
            <w:tcBorders>
              <w:top w:val="single" w:sz="8" w:color="auto"/>
            </w:tcBorders>
            <w:shd w:val="clear" w:color="auto" w:fill="B6D2E2"/>
          </w:tcPr>
          <w:p>
            <w:pPr>
              <w:spacing w:after="0"/>
              <w:rPr>
                <w:sz w:val="14"/>
                <w:szCs w:val="14"/>
                <w:color w:val="auto"/>
              </w:rPr>
            </w:pPr>
          </w:p>
        </w:tc>
        <w:tc>
          <w:tcPr>
            <w:tcW w:w="120" w:type="dxa"/>
            <w:vAlign w:val="bottom"/>
            <w:tcBorders>
              <w:top w:val="single" w:sz="8" w:color="auto"/>
            </w:tcBorders>
            <w:shd w:val="clear" w:color="auto" w:fill="B6D2E2"/>
          </w:tcPr>
          <w:p>
            <w:pPr>
              <w:spacing w:after="0"/>
              <w:rPr>
                <w:sz w:val="14"/>
                <w:szCs w:val="14"/>
                <w:color w:val="auto"/>
              </w:rPr>
            </w:pPr>
          </w:p>
        </w:tc>
        <w:tc>
          <w:tcPr>
            <w:tcW w:w="680" w:type="dxa"/>
            <w:vAlign w:val="bottom"/>
            <w:tcBorders>
              <w:top w:val="single" w:sz="8" w:color="auto"/>
            </w:tcBorders>
            <w:shd w:val="clear" w:color="auto" w:fill="B6D2E2"/>
          </w:tcPr>
          <w:p>
            <w:pPr>
              <w:spacing w:after="0"/>
              <w:rPr>
                <w:sz w:val="14"/>
                <w:szCs w:val="14"/>
                <w:color w:val="auto"/>
              </w:rPr>
            </w:pPr>
          </w:p>
        </w:tc>
        <w:tc>
          <w:tcPr>
            <w:tcW w:w="120" w:type="dxa"/>
            <w:vAlign w:val="bottom"/>
            <w:tcBorders>
              <w:top w:val="single" w:sz="8" w:color="auto"/>
              <w:right w:val="single" w:sz="8" w:color="B6D2E2"/>
            </w:tcBorders>
            <w:shd w:val="clear" w:color="auto" w:fill="B6D2E2"/>
          </w:tcPr>
          <w:p>
            <w:pPr>
              <w:spacing w:after="0"/>
              <w:rPr>
                <w:sz w:val="14"/>
                <w:szCs w:val="14"/>
                <w:color w:val="auto"/>
              </w:rPr>
            </w:pPr>
          </w:p>
        </w:tc>
        <w:tc>
          <w:tcPr>
            <w:tcW w:w="100" w:type="dxa"/>
            <w:vAlign w:val="bottom"/>
            <w:tcBorders>
              <w:top w:val="single" w:sz="8" w:color="auto"/>
            </w:tcBorders>
            <w:shd w:val="clear" w:color="auto" w:fill="B6D2E2"/>
          </w:tcPr>
          <w:p>
            <w:pPr>
              <w:spacing w:after="0"/>
              <w:rPr>
                <w:sz w:val="14"/>
                <w:szCs w:val="14"/>
                <w:color w:val="auto"/>
              </w:rPr>
            </w:pPr>
          </w:p>
        </w:tc>
        <w:tc>
          <w:tcPr>
            <w:tcW w:w="100" w:type="dxa"/>
            <w:vAlign w:val="bottom"/>
            <w:tcBorders>
              <w:top w:val="single" w:sz="8" w:color="auto"/>
            </w:tcBorders>
            <w:shd w:val="clear" w:color="auto" w:fill="B6D2E2"/>
          </w:tcPr>
          <w:p>
            <w:pPr>
              <w:spacing w:after="0"/>
              <w:rPr>
                <w:sz w:val="14"/>
                <w:szCs w:val="14"/>
                <w:color w:val="auto"/>
              </w:rPr>
            </w:pPr>
          </w:p>
        </w:tc>
        <w:tc>
          <w:tcPr>
            <w:tcW w:w="700" w:type="dxa"/>
            <w:vAlign w:val="bottom"/>
            <w:tcBorders>
              <w:top w:val="single" w:sz="8" w:color="auto"/>
            </w:tcBorders>
            <w:shd w:val="clear" w:color="auto" w:fill="B6D2E2"/>
          </w:tcPr>
          <w:p>
            <w:pPr>
              <w:spacing w:after="0"/>
              <w:rPr>
                <w:sz w:val="14"/>
                <w:szCs w:val="14"/>
                <w:color w:val="auto"/>
              </w:rPr>
            </w:pPr>
          </w:p>
        </w:tc>
        <w:tc>
          <w:tcPr>
            <w:tcW w:w="100" w:type="dxa"/>
            <w:vAlign w:val="bottom"/>
            <w:tcBorders>
              <w:top w:val="single" w:sz="8" w:color="auto"/>
              <w:right w:val="single" w:sz="8" w:color="B6D2E2"/>
            </w:tcBorders>
            <w:shd w:val="clear" w:color="auto" w:fill="B6D2E2"/>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060" w:type="dxa"/>
            <w:vAlign w:val="bottom"/>
            <w:vMerge w:val="continue"/>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62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21</w:t>
            </w:r>
          </w:p>
        </w:tc>
        <w:tc>
          <w:tcPr>
            <w:tcW w:w="120" w:type="dxa"/>
            <w:vAlign w:val="bottom"/>
            <w:tcBorders>
              <w:right w:val="single" w:sz="8" w:color="B6D2E2"/>
            </w:tcBorders>
            <w:shd w:val="clear" w:color="auto" w:fill="B6D2E2"/>
          </w:tcPr>
          <w:p>
            <w:pPr>
              <w:spacing w:after="0"/>
              <w:rPr>
                <w:sz w:val="6"/>
                <w:szCs w:val="6"/>
                <w:color w:val="auto"/>
              </w:rPr>
            </w:pPr>
          </w:p>
        </w:tc>
        <w:tc>
          <w:tcPr>
            <w:tcW w:w="120" w:type="dxa"/>
            <w:vAlign w:val="bottom"/>
            <w:shd w:val="clear" w:color="auto" w:fill="B6D2E2"/>
          </w:tcPr>
          <w:p>
            <w:pPr>
              <w:spacing w:after="0"/>
              <w:rPr>
                <w:sz w:val="6"/>
                <w:szCs w:val="6"/>
                <w:color w:val="auto"/>
              </w:rPr>
            </w:pPr>
          </w:p>
        </w:tc>
        <w:tc>
          <w:tcPr>
            <w:tcW w:w="12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0.6</w:t>
            </w:r>
          </w:p>
        </w:tc>
        <w:tc>
          <w:tcPr>
            <w:tcW w:w="120" w:type="dxa"/>
            <w:vAlign w:val="bottom"/>
            <w:tcBorders>
              <w:right w:val="single" w:sz="8" w:color="B6D2E2"/>
            </w:tcBorders>
            <w:shd w:val="clear" w:color="auto" w:fill="B6D2E2"/>
          </w:tcPr>
          <w:p>
            <w:pPr>
              <w:spacing w:after="0"/>
              <w:rPr>
                <w:sz w:val="6"/>
                <w:szCs w:val="6"/>
                <w:color w:val="auto"/>
              </w:rPr>
            </w:pPr>
          </w:p>
        </w:tc>
        <w:tc>
          <w:tcPr>
            <w:tcW w:w="120" w:type="dxa"/>
            <w:vAlign w:val="bottom"/>
            <w:shd w:val="clear" w:color="auto" w:fill="B6D2E2"/>
          </w:tcPr>
          <w:p>
            <w:pPr>
              <w:spacing w:after="0"/>
              <w:rPr>
                <w:sz w:val="6"/>
                <w:szCs w:val="6"/>
                <w:color w:val="auto"/>
              </w:rPr>
            </w:pPr>
          </w:p>
        </w:tc>
        <w:tc>
          <w:tcPr>
            <w:tcW w:w="8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40" w:type="dxa"/>
            <w:vAlign w:val="bottom"/>
            <w:shd w:val="clear" w:color="auto" w:fill="B6D2E2"/>
          </w:tcPr>
          <w:p>
            <w:pPr>
              <w:spacing w:after="0"/>
              <w:rPr>
                <w:sz w:val="6"/>
                <w:szCs w:val="6"/>
                <w:color w:val="auto"/>
              </w:rPr>
            </w:pP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3,519.2</w:t>
            </w:r>
          </w:p>
        </w:tc>
        <w:tc>
          <w:tcPr>
            <w:tcW w:w="140" w:type="dxa"/>
            <w:vAlign w:val="bottom"/>
            <w:tcBorders>
              <w:right w:val="single" w:sz="8" w:color="B6D2E2"/>
            </w:tcBorders>
            <w:shd w:val="clear" w:color="auto" w:fill="B6D2E2"/>
          </w:tcPr>
          <w:p>
            <w:pPr>
              <w:spacing w:after="0"/>
              <w:rPr>
                <w:sz w:val="6"/>
                <w:szCs w:val="6"/>
                <w:color w:val="auto"/>
              </w:rPr>
            </w:pPr>
          </w:p>
        </w:tc>
        <w:tc>
          <w:tcPr>
            <w:tcW w:w="120" w:type="dxa"/>
            <w:vAlign w:val="bottom"/>
            <w:shd w:val="clear" w:color="auto" w:fill="B6D2E2"/>
          </w:tcPr>
          <w:p>
            <w:pPr>
              <w:spacing w:after="0"/>
              <w:rPr>
                <w:sz w:val="6"/>
                <w:szCs w:val="6"/>
                <w:color w:val="auto"/>
              </w:rPr>
            </w:pPr>
          </w:p>
        </w:tc>
        <w:tc>
          <w:tcPr>
            <w:tcW w:w="12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8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(49.2</w:t>
            </w:r>
          </w:p>
        </w:tc>
        <w:tc>
          <w:tcPr>
            <w:tcW w:w="120" w:type="dxa"/>
            <w:vAlign w:val="bottom"/>
            <w:tcBorders>
              <w:right w:val="single" w:sz="8" w:color="B6D2E2"/>
            </w:tcBorders>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w w:val="90"/>
              </w:rPr>
              <w:t>)</w:t>
            </w:r>
          </w:p>
        </w:tc>
        <w:tc>
          <w:tcPr>
            <w:tcW w:w="100" w:type="dxa"/>
            <w:vAlign w:val="bottom"/>
            <w:shd w:val="clear" w:color="auto" w:fill="B6D2E2"/>
          </w:tcPr>
          <w:p>
            <w:pPr>
              <w:spacing w:after="0"/>
              <w:rPr>
                <w:sz w:val="6"/>
                <w:szCs w:val="6"/>
                <w:color w:val="auto"/>
              </w:rPr>
            </w:pPr>
          </w:p>
        </w:tc>
        <w:tc>
          <w:tcPr>
            <w:tcW w:w="1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4,562.6</w:t>
            </w:r>
          </w:p>
        </w:tc>
        <w:tc>
          <w:tcPr>
            <w:tcW w:w="100" w:type="dxa"/>
            <w:vAlign w:val="bottom"/>
            <w:tcBorders>
              <w:right w:val="single" w:sz="8" w:color="B6D2E2"/>
            </w:tcBorders>
            <w:shd w:val="clear" w:color="auto" w:fill="B6D2E2"/>
          </w:tcPr>
          <w:p>
            <w:pPr>
              <w:spacing w:after="0"/>
              <w:rPr>
                <w:sz w:val="6"/>
                <w:szCs w:val="6"/>
                <w:color w:val="auto"/>
              </w:rPr>
            </w:pPr>
          </w:p>
        </w:tc>
        <w:tc>
          <w:tcPr>
            <w:tcW w:w="120" w:type="dxa"/>
            <w:vAlign w:val="bottom"/>
            <w:shd w:val="clear" w:color="auto" w:fill="B6D2E2"/>
          </w:tcPr>
          <w:p>
            <w:pPr>
              <w:spacing w:after="0"/>
              <w:rPr>
                <w:sz w:val="6"/>
                <w:szCs w:val="6"/>
                <w:color w:val="auto"/>
              </w:rPr>
            </w:pPr>
          </w:p>
        </w:tc>
        <w:tc>
          <w:tcPr>
            <w:tcW w:w="1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68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8,033.2</w:t>
            </w:r>
          </w:p>
        </w:tc>
        <w:tc>
          <w:tcPr>
            <w:tcW w:w="120" w:type="dxa"/>
            <w:vAlign w:val="bottom"/>
            <w:tcBorders>
              <w:right w:val="single" w:sz="8" w:color="B6D2E2"/>
            </w:tcBorders>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120" w:type="dxa"/>
            <w:vAlign w:val="bottom"/>
            <w:vMerge w:val="restart"/>
            <w:shd w:val="clear" w:color="auto" w:fill="B6D2E2"/>
          </w:tcPr>
          <w:p>
            <w:pPr>
              <w:ind w:left="20"/>
              <w:spacing w:after="0"/>
              <w:rPr>
                <w:sz w:val="20"/>
                <w:szCs w:val="20"/>
                <w:color w:val="auto"/>
              </w:rPr>
            </w:pPr>
            <w:r>
              <w:rPr>
                <w:rFonts w:ascii="Calibri" w:cs="Calibri" w:eastAsia="Calibri" w:hAnsi="Calibri"/>
                <w:sz w:val="14"/>
                <w:szCs w:val="14"/>
                <w:b w:val="1"/>
                <w:bCs w:val="1"/>
                <w:color w:val="auto"/>
              </w:rPr>
              <w:t>$</w:t>
            </w:r>
          </w:p>
        </w:tc>
        <w:tc>
          <w:tcPr>
            <w:tcW w:w="68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2.4</w:t>
            </w:r>
          </w:p>
        </w:tc>
        <w:tc>
          <w:tcPr>
            <w:tcW w:w="120" w:type="dxa"/>
            <w:vAlign w:val="bottom"/>
            <w:tcBorders>
              <w:right w:val="single" w:sz="8" w:color="B6D2E2"/>
            </w:tcBorders>
            <w:shd w:val="clear" w:color="auto" w:fill="B6D2E2"/>
          </w:tcPr>
          <w:p>
            <w:pPr>
              <w:spacing w:after="0"/>
              <w:rPr>
                <w:sz w:val="6"/>
                <w:szCs w:val="6"/>
                <w:color w:val="auto"/>
              </w:rPr>
            </w:pPr>
          </w:p>
        </w:tc>
        <w:tc>
          <w:tcPr>
            <w:tcW w:w="100" w:type="dxa"/>
            <w:vAlign w:val="bottom"/>
            <w:shd w:val="clear" w:color="auto" w:fill="B6D2E2"/>
          </w:tcPr>
          <w:p>
            <w:pPr>
              <w:spacing w:after="0"/>
              <w:rPr>
                <w:sz w:val="6"/>
                <w:szCs w:val="6"/>
                <w:color w:val="auto"/>
              </w:rPr>
            </w:pPr>
          </w:p>
        </w:tc>
        <w:tc>
          <w:tcPr>
            <w:tcW w:w="1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w w:val="83"/>
              </w:rPr>
              <w:t>$</w:t>
            </w:r>
          </w:p>
        </w:tc>
        <w:tc>
          <w:tcPr>
            <w:tcW w:w="700" w:type="dxa"/>
            <w:vAlign w:val="bottom"/>
            <w:vMerge w:val="restart"/>
            <w:shd w:val="clear" w:color="auto" w:fill="B6D2E2"/>
          </w:tcPr>
          <w:p>
            <w:pPr>
              <w:jc w:val="right"/>
              <w:spacing w:after="0"/>
              <w:rPr>
                <w:sz w:val="20"/>
                <w:szCs w:val="20"/>
                <w:color w:val="auto"/>
              </w:rPr>
            </w:pPr>
            <w:r>
              <w:rPr>
                <w:rFonts w:ascii="Calibri" w:cs="Calibri" w:eastAsia="Calibri" w:hAnsi="Calibri"/>
                <w:sz w:val="14"/>
                <w:szCs w:val="14"/>
                <w:b w:val="1"/>
                <w:bCs w:val="1"/>
                <w:color w:val="auto"/>
              </w:rPr>
              <w:t>8,035.6</w:t>
            </w:r>
          </w:p>
        </w:tc>
        <w:tc>
          <w:tcPr>
            <w:tcW w:w="100" w:type="dxa"/>
            <w:vAlign w:val="bottom"/>
            <w:tcBorders>
              <w:right w:val="single" w:sz="8" w:color="B6D2E2"/>
            </w:tcBorders>
            <w:shd w:val="clear" w:color="auto" w:fill="B6D2E2"/>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00" w:type="dxa"/>
            <w:vAlign w:val="bottom"/>
            <w:tcBorders>
              <w:bottom w:val="single" w:sz="8" w:color="B6D2E2"/>
            </w:tcBorders>
            <w:shd w:val="clear" w:color="auto" w:fill="B6D2E2"/>
          </w:tcPr>
          <w:p>
            <w:pPr>
              <w:spacing w:after="0"/>
              <w:rPr>
                <w:sz w:val="12"/>
                <w:szCs w:val="12"/>
                <w:color w:val="auto"/>
              </w:rPr>
            </w:pPr>
          </w:p>
        </w:tc>
        <w:tc>
          <w:tcPr>
            <w:tcW w:w="620" w:type="dxa"/>
            <w:vAlign w:val="bottom"/>
            <w:tcBorders>
              <w:bottom w:val="single" w:sz="8" w:color="B6D2E2"/>
            </w:tcBorders>
            <w:vMerge w:val="continue"/>
            <w:shd w:val="clear" w:color="auto" w:fill="B6D2E2"/>
          </w:tcPr>
          <w:p>
            <w:pPr>
              <w:spacing w:after="0"/>
              <w:rPr>
                <w:sz w:val="12"/>
                <w:szCs w:val="12"/>
                <w:color w:val="auto"/>
              </w:rPr>
            </w:pPr>
          </w:p>
        </w:tc>
        <w:tc>
          <w:tcPr>
            <w:tcW w:w="120" w:type="dxa"/>
            <w:vAlign w:val="bottom"/>
            <w:tcBorders>
              <w:bottom w:val="single" w:sz="8" w:color="B6D2E2"/>
              <w:right w:val="single" w:sz="8" w:color="B6D2E2"/>
            </w:tcBorders>
            <w:shd w:val="clear" w:color="auto" w:fill="B6D2E2"/>
          </w:tcPr>
          <w:p>
            <w:pPr>
              <w:spacing w:after="0"/>
              <w:rPr>
                <w:sz w:val="12"/>
                <w:szCs w:val="12"/>
                <w:color w:val="auto"/>
              </w:rPr>
            </w:pPr>
          </w:p>
        </w:tc>
        <w:tc>
          <w:tcPr>
            <w:tcW w:w="120" w:type="dxa"/>
            <w:vAlign w:val="bottom"/>
            <w:tcBorders>
              <w:bottom w:val="single" w:sz="8" w:color="B6D2E2"/>
            </w:tcBorders>
            <w:shd w:val="clear" w:color="auto" w:fill="B6D2E2"/>
          </w:tcPr>
          <w:p>
            <w:pPr>
              <w:spacing w:after="0"/>
              <w:rPr>
                <w:sz w:val="12"/>
                <w:szCs w:val="12"/>
                <w:color w:val="auto"/>
              </w:rPr>
            </w:pPr>
          </w:p>
        </w:tc>
        <w:tc>
          <w:tcPr>
            <w:tcW w:w="120" w:type="dxa"/>
            <w:vAlign w:val="bottom"/>
            <w:tcBorders>
              <w:bottom w:val="single" w:sz="8" w:color="B6D2E2"/>
            </w:tcBorders>
            <w:vMerge w:val="continue"/>
            <w:shd w:val="clear" w:color="auto" w:fill="B6D2E2"/>
          </w:tcPr>
          <w:p>
            <w:pPr>
              <w:spacing w:after="0"/>
              <w:rPr>
                <w:sz w:val="12"/>
                <w:szCs w:val="12"/>
                <w:color w:val="auto"/>
              </w:rPr>
            </w:pPr>
          </w:p>
        </w:tc>
        <w:tc>
          <w:tcPr>
            <w:tcW w:w="700" w:type="dxa"/>
            <w:vAlign w:val="bottom"/>
            <w:tcBorders>
              <w:bottom w:val="single" w:sz="8" w:color="B6D2E2"/>
            </w:tcBorders>
            <w:vMerge w:val="continue"/>
            <w:shd w:val="clear" w:color="auto" w:fill="B6D2E2"/>
          </w:tcPr>
          <w:p>
            <w:pPr>
              <w:spacing w:after="0"/>
              <w:rPr>
                <w:sz w:val="12"/>
                <w:szCs w:val="12"/>
                <w:color w:val="auto"/>
              </w:rPr>
            </w:pPr>
          </w:p>
        </w:tc>
        <w:tc>
          <w:tcPr>
            <w:tcW w:w="120" w:type="dxa"/>
            <w:vAlign w:val="bottom"/>
            <w:tcBorders>
              <w:bottom w:val="single" w:sz="8" w:color="B6D2E2"/>
              <w:right w:val="single" w:sz="8" w:color="B6D2E2"/>
            </w:tcBorders>
            <w:shd w:val="clear" w:color="auto" w:fill="B6D2E2"/>
          </w:tcPr>
          <w:p>
            <w:pPr>
              <w:spacing w:after="0"/>
              <w:rPr>
                <w:sz w:val="12"/>
                <w:szCs w:val="12"/>
                <w:color w:val="auto"/>
              </w:rPr>
            </w:pPr>
          </w:p>
        </w:tc>
        <w:tc>
          <w:tcPr>
            <w:tcW w:w="120" w:type="dxa"/>
            <w:vAlign w:val="bottom"/>
            <w:tcBorders>
              <w:bottom w:val="single" w:sz="8" w:color="B6D2E2"/>
            </w:tcBorders>
            <w:shd w:val="clear" w:color="auto" w:fill="B6D2E2"/>
          </w:tcPr>
          <w:p>
            <w:pPr>
              <w:spacing w:after="0"/>
              <w:rPr>
                <w:sz w:val="12"/>
                <w:szCs w:val="12"/>
                <w:color w:val="auto"/>
              </w:rPr>
            </w:pPr>
          </w:p>
        </w:tc>
        <w:tc>
          <w:tcPr>
            <w:tcW w:w="80" w:type="dxa"/>
            <w:vAlign w:val="bottom"/>
            <w:tcBorders>
              <w:bottom w:val="single" w:sz="8" w:color="B6D2E2"/>
            </w:tcBorders>
            <w:vMerge w:val="continue"/>
            <w:shd w:val="clear" w:color="auto" w:fill="B6D2E2"/>
          </w:tcPr>
          <w:p>
            <w:pPr>
              <w:spacing w:after="0"/>
              <w:rPr>
                <w:sz w:val="12"/>
                <w:szCs w:val="12"/>
                <w:color w:val="auto"/>
              </w:rPr>
            </w:pPr>
          </w:p>
        </w:tc>
        <w:tc>
          <w:tcPr>
            <w:tcW w:w="40" w:type="dxa"/>
            <w:vAlign w:val="bottom"/>
            <w:tcBorders>
              <w:bottom w:val="single" w:sz="8" w:color="B6D2E2"/>
            </w:tcBorders>
            <w:shd w:val="clear" w:color="auto" w:fill="B6D2E2"/>
          </w:tcPr>
          <w:p>
            <w:pPr>
              <w:spacing w:after="0"/>
              <w:rPr>
                <w:sz w:val="12"/>
                <w:szCs w:val="12"/>
                <w:color w:val="auto"/>
              </w:rPr>
            </w:pPr>
          </w:p>
        </w:tc>
        <w:tc>
          <w:tcPr>
            <w:tcW w:w="700" w:type="dxa"/>
            <w:vAlign w:val="bottom"/>
            <w:tcBorders>
              <w:bottom w:val="single" w:sz="8" w:color="B6D2E2"/>
            </w:tcBorders>
            <w:vMerge w:val="continue"/>
            <w:shd w:val="clear" w:color="auto" w:fill="B6D2E2"/>
          </w:tcPr>
          <w:p>
            <w:pPr>
              <w:spacing w:after="0"/>
              <w:rPr>
                <w:sz w:val="12"/>
                <w:szCs w:val="12"/>
                <w:color w:val="auto"/>
              </w:rPr>
            </w:pPr>
          </w:p>
        </w:tc>
        <w:tc>
          <w:tcPr>
            <w:tcW w:w="140" w:type="dxa"/>
            <w:vAlign w:val="bottom"/>
            <w:tcBorders>
              <w:bottom w:val="single" w:sz="8" w:color="B6D2E2"/>
              <w:right w:val="single" w:sz="8" w:color="B6D2E2"/>
            </w:tcBorders>
            <w:shd w:val="clear" w:color="auto" w:fill="B6D2E2"/>
          </w:tcPr>
          <w:p>
            <w:pPr>
              <w:spacing w:after="0"/>
              <w:rPr>
                <w:sz w:val="12"/>
                <w:szCs w:val="12"/>
                <w:color w:val="auto"/>
              </w:rPr>
            </w:pPr>
          </w:p>
        </w:tc>
        <w:tc>
          <w:tcPr>
            <w:tcW w:w="120" w:type="dxa"/>
            <w:vAlign w:val="bottom"/>
            <w:tcBorders>
              <w:bottom w:val="single" w:sz="8" w:color="B6D2E2"/>
            </w:tcBorders>
            <w:shd w:val="clear" w:color="auto" w:fill="B6D2E2"/>
          </w:tcPr>
          <w:p>
            <w:pPr>
              <w:spacing w:after="0"/>
              <w:rPr>
                <w:sz w:val="12"/>
                <w:szCs w:val="12"/>
                <w:color w:val="auto"/>
              </w:rPr>
            </w:pPr>
          </w:p>
        </w:tc>
        <w:tc>
          <w:tcPr>
            <w:tcW w:w="120" w:type="dxa"/>
            <w:vAlign w:val="bottom"/>
            <w:tcBorders>
              <w:bottom w:val="single" w:sz="8" w:color="B6D2E2"/>
            </w:tcBorders>
            <w:vMerge w:val="continue"/>
            <w:shd w:val="clear" w:color="auto" w:fill="B6D2E2"/>
          </w:tcPr>
          <w:p>
            <w:pPr>
              <w:spacing w:after="0"/>
              <w:rPr>
                <w:sz w:val="12"/>
                <w:szCs w:val="12"/>
                <w:color w:val="auto"/>
              </w:rPr>
            </w:pPr>
          </w:p>
        </w:tc>
        <w:tc>
          <w:tcPr>
            <w:tcW w:w="800" w:type="dxa"/>
            <w:vAlign w:val="bottom"/>
            <w:tcBorders>
              <w:bottom w:val="single" w:sz="8" w:color="B6D2E2"/>
            </w:tcBorders>
            <w:vMerge w:val="continue"/>
            <w:shd w:val="clear" w:color="auto" w:fill="B6D2E2"/>
          </w:tcPr>
          <w:p>
            <w:pPr>
              <w:spacing w:after="0"/>
              <w:rPr>
                <w:sz w:val="12"/>
                <w:szCs w:val="12"/>
                <w:color w:val="auto"/>
              </w:rPr>
            </w:pPr>
          </w:p>
        </w:tc>
        <w:tc>
          <w:tcPr>
            <w:tcW w:w="120" w:type="dxa"/>
            <w:vAlign w:val="bottom"/>
            <w:tcBorders>
              <w:bottom w:val="single" w:sz="8" w:color="B6D2E2"/>
              <w:right w:val="single" w:sz="8" w:color="B6D2E2"/>
            </w:tcBorders>
            <w:vMerge w:val="continue"/>
            <w:shd w:val="clear" w:color="auto" w:fill="B6D2E2"/>
          </w:tcPr>
          <w:p>
            <w:pPr>
              <w:spacing w:after="0"/>
              <w:rPr>
                <w:sz w:val="12"/>
                <w:szCs w:val="12"/>
                <w:color w:val="auto"/>
              </w:rPr>
            </w:pPr>
          </w:p>
        </w:tc>
        <w:tc>
          <w:tcPr>
            <w:tcW w:w="100" w:type="dxa"/>
            <w:vAlign w:val="bottom"/>
            <w:tcBorders>
              <w:bottom w:val="single" w:sz="8" w:color="B6D2E2"/>
            </w:tcBorders>
            <w:shd w:val="clear" w:color="auto" w:fill="B6D2E2"/>
          </w:tcPr>
          <w:p>
            <w:pPr>
              <w:spacing w:after="0"/>
              <w:rPr>
                <w:sz w:val="12"/>
                <w:szCs w:val="12"/>
                <w:color w:val="auto"/>
              </w:rPr>
            </w:pPr>
          </w:p>
        </w:tc>
        <w:tc>
          <w:tcPr>
            <w:tcW w:w="100" w:type="dxa"/>
            <w:vAlign w:val="bottom"/>
            <w:tcBorders>
              <w:bottom w:val="single" w:sz="8" w:color="B6D2E2"/>
            </w:tcBorders>
            <w:vMerge w:val="continue"/>
            <w:shd w:val="clear" w:color="auto" w:fill="B6D2E2"/>
          </w:tcPr>
          <w:p>
            <w:pPr>
              <w:spacing w:after="0"/>
              <w:rPr>
                <w:sz w:val="12"/>
                <w:szCs w:val="12"/>
                <w:color w:val="auto"/>
              </w:rPr>
            </w:pPr>
          </w:p>
        </w:tc>
        <w:tc>
          <w:tcPr>
            <w:tcW w:w="700" w:type="dxa"/>
            <w:vAlign w:val="bottom"/>
            <w:tcBorders>
              <w:bottom w:val="single" w:sz="8" w:color="B6D2E2"/>
            </w:tcBorders>
            <w:vMerge w:val="continue"/>
            <w:shd w:val="clear" w:color="auto" w:fill="B6D2E2"/>
          </w:tcPr>
          <w:p>
            <w:pPr>
              <w:spacing w:after="0"/>
              <w:rPr>
                <w:sz w:val="12"/>
                <w:szCs w:val="12"/>
                <w:color w:val="auto"/>
              </w:rPr>
            </w:pPr>
          </w:p>
        </w:tc>
        <w:tc>
          <w:tcPr>
            <w:tcW w:w="100" w:type="dxa"/>
            <w:vAlign w:val="bottom"/>
            <w:tcBorders>
              <w:bottom w:val="single" w:sz="8" w:color="B6D2E2"/>
              <w:right w:val="single" w:sz="8" w:color="B6D2E2"/>
            </w:tcBorders>
            <w:shd w:val="clear" w:color="auto" w:fill="B6D2E2"/>
          </w:tcPr>
          <w:p>
            <w:pPr>
              <w:spacing w:after="0"/>
              <w:rPr>
                <w:sz w:val="12"/>
                <w:szCs w:val="12"/>
                <w:color w:val="auto"/>
              </w:rPr>
            </w:pPr>
          </w:p>
        </w:tc>
        <w:tc>
          <w:tcPr>
            <w:tcW w:w="120" w:type="dxa"/>
            <w:vAlign w:val="bottom"/>
            <w:tcBorders>
              <w:bottom w:val="single" w:sz="8" w:color="B6D2E2"/>
            </w:tcBorders>
            <w:shd w:val="clear" w:color="auto" w:fill="B6D2E2"/>
          </w:tcPr>
          <w:p>
            <w:pPr>
              <w:spacing w:after="0"/>
              <w:rPr>
                <w:sz w:val="12"/>
                <w:szCs w:val="12"/>
                <w:color w:val="auto"/>
              </w:rPr>
            </w:pPr>
          </w:p>
        </w:tc>
        <w:tc>
          <w:tcPr>
            <w:tcW w:w="100" w:type="dxa"/>
            <w:vAlign w:val="bottom"/>
            <w:tcBorders>
              <w:bottom w:val="single" w:sz="8" w:color="B6D2E2"/>
            </w:tcBorders>
            <w:vMerge w:val="continue"/>
            <w:shd w:val="clear" w:color="auto" w:fill="B6D2E2"/>
          </w:tcPr>
          <w:p>
            <w:pPr>
              <w:spacing w:after="0"/>
              <w:rPr>
                <w:sz w:val="12"/>
                <w:szCs w:val="12"/>
                <w:color w:val="auto"/>
              </w:rPr>
            </w:pPr>
          </w:p>
        </w:tc>
        <w:tc>
          <w:tcPr>
            <w:tcW w:w="680" w:type="dxa"/>
            <w:vAlign w:val="bottom"/>
            <w:tcBorders>
              <w:bottom w:val="single" w:sz="8" w:color="B6D2E2"/>
            </w:tcBorders>
            <w:vMerge w:val="continue"/>
            <w:shd w:val="clear" w:color="auto" w:fill="B6D2E2"/>
          </w:tcPr>
          <w:p>
            <w:pPr>
              <w:spacing w:after="0"/>
              <w:rPr>
                <w:sz w:val="12"/>
                <w:szCs w:val="12"/>
                <w:color w:val="auto"/>
              </w:rPr>
            </w:pPr>
          </w:p>
        </w:tc>
        <w:tc>
          <w:tcPr>
            <w:tcW w:w="120" w:type="dxa"/>
            <w:vAlign w:val="bottom"/>
            <w:tcBorders>
              <w:bottom w:val="single" w:sz="8" w:color="B6D2E2"/>
              <w:right w:val="single" w:sz="8" w:color="B6D2E2"/>
            </w:tcBorders>
            <w:shd w:val="clear" w:color="auto" w:fill="B6D2E2"/>
          </w:tcPr>
          <w:p>
            <w:pPr>
              <w:spacing w:after="0"/>
              <w:rPr>
                <w:sz w:val="12"/>
                <w:szCs w:val="12"/>
                <w:color w:val="auto"/>
              </w:rPr>
            </w:pPr>
          </w:p>
        </w:tc>
        <w:tc>
          <w:tcPr>
            <w:tcW w:w="100" w:type="dxa"/>
            <w:vAlign w:val="bottom"/>
            <w:tcBorders>
              <w:bottom w:val="single" w:sz="8" w:color="B6D2E2"/>
            </w:tcBorders>
            <w:shd w:val="clear" w:color="auto" w:fill="B6D2E2"/>
          </w:tcPr>
          <w:p>
            <w:pPr>
              <w:spacing w:after="0"/>
              <w:rPr>
                <w:sz w:val="12"/>
                <w:szCs w:val="12"/>
                <w:color w:val="auto"/>
              </w:rPr>
            </w:pPr>
          </w:p>
        </w:tc>
        <w:tc>
          <w:tcPr>
            <w:tcW w:w="120" w:type="dxa"/>
            <w:vAlign w:val="bottom"/>
            <w:tcBorders>
              <w:bottom w:val="single" w:sz="8" w:color="B6D2E2"/>
            </w:tcBorders>
            <w:vMerge w:val="continue"/>
            <w:shd w:val="clear" w:color="auto" w:fill="B6D2E2"/>
          </w:tcPr>
          <w:p>
            <w:pPr>
              <w:spacing w:after="0"/>
              <w:rPr>
                <w:sz w:val="12"/>
                <w:szCs w:val="12"/>
                <w:color w:val="auto"/>
              </w:rPr>
            </w:pPr>
          </w:p>
        </w:tc>
        <w:tc>
          <w:tcPr>
            <w:tcW w:w="680" w:type="dxa"/>
            <w:vAlign w:val="bottom"/>
            <w:tcBorders>
              <w:bottom w:val="single" w:sz="8" w:color="B6D2E2"/>
            </w:tcBorders>
            <w:vMerge w:val="continue"/>
            <w:shd w:val="clear" w:color="auto" w:fill="B6D2E2"/>
          </w:tcPr>
          <w:p>
            <w:pPr>
              <w:spacing w:after="0"/>
              <w:rPr>
                <w:sz w:val="12"/>
                <w:szCs w:val="12"/>
                <w:color w:val="auto"/>
              </w:rPr>
            </w:pPr>
          </w:p>
        </w:tc>
        <w:tc>
          <w:tcPr>
            <w:tcW w:w="120" w:type="dxa"/>
            <w:vAlign w:val="bottom"/>
            <w:tcBorders>
              <w:bottom w:val="single" w:sz="8" w:color="B6D2E2"/>
              <w:right w:val="single" w:sz="8" w:color="B6D2E2"/>
            </w:tcBorders>
            <w:shd w:val="clear" w:color="auto" w:fill="B6D2E2"/>
          </w:tcPr>
          <w:p>
            <w:pPr>
              <w:spacing w:after="0"/>
              <w:rPr>
                <w:sz w:val="12"/>
                <w:szCs w:val="12"/>
                <w:color w:val="auto"/>
              </w:rPr>
            </w:pPr>
          </w:p>
        </w:tc>
        <w:tc>
          <w:tcPr>
            <w:tcW w:w="100" w:type="dxa"/>
            <w:vAlign w:val="bottom"/>
            <w:tcBorders>
              <w:bottom w:val="single" w:sz="8" w:color="B6D2E2"/>
            </w:tcBorders>
            <w:shd w:val="clear" w:color="auto" w:fill="B6D2E2"/>
          </w:tcPr>
          <w:p>
            <w:pPr>
              <w:spacing w:after="0"/>
              <w:rPr>
                <w:sz w:val="12"/>
                <w:szCs w:val="12"/>
                <w:color w:val="auto"/>
              </w:rPr>
            </w:pPr>
          </w:p>
        </w:tc>
        <w:tc>
          <w:tcPr>
            <w:tcW w:w="100" w:type="dxa"/>
            <w:vAlign w:val="bottom"/>
            <w:tcBorders>
              <w:bottom w:val="single" w:sz="8" w:color="B6D2E2"/>
            </w:tcBorders>
            <w:vMerge w:val="continue"/>
            <w:shd w:val="clear" w:color="auto" w:fill="B6D2E2"/>
          </w:tcPr>
          <w:p>
            <w:pPr>
              <w:spacing w:after="0"/>
              <w:rPr>
                <w:sz w:val="12"/>
                <w:szCs w:val="12"/>
                <w:color w:val="auto"/>
              </w:rPr>
            </w:pPr>
          </w:p>
        </w:tc>
        <w:tc>
          <w:tcPr>
            <w:tcW w:w="700" w:type="dxa"/>
            <w:vAlign w:val="bottom"/>
            <w:tcBorders>
              <w:bottom w:val="single" w:sz="8" w:color="B6D2E2"/>
            </w:tcBorders>
            <w:vMerge w:val="continue"/>
            <w:shd w:val="clear" w:color="auto" w:fill="B6D2E2"/>
          </w:tcPr>
          <w:p>
            <w:pPr>
              <w:spacing w:after="0"/>
              <w:rPr>
                <w:sz w:val="12"/>
                <w:szCs w:val="12"/>
                <w:color w:val="auto"/>
              </w:rPr>
            </w:pPr>
          </w:p>
        </w:tc>
        <w:tc>
          <w:tcPr>
            <w:tcW w:w="100" w:type="dxa"/>
            <w:vAlign w:val="bottom"/>
            <w:tcBorders>
              <w:bottom w:val="single" w:sz="8" w:color="B6D2E2"/>
              <w:right w:val="single" w:sz="8" w:color="B6D2E2"/>
            </w:tcBorders>
            <w:shd w:val="clear" w:color="auto" w:fill="B6D2E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-3749675</wp:posOffset>
            </wp:positionV>
            <wp:extent cx="6501765" cy="37630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6501765" cy="3763010"/>
                    </a:xfrm>
                    <a:prstGeom prst="rect">
                      <a:avLst/>
                    </a:prstGeom>
                    <a:noFill/>
                  </pic:spPr>
                </pic:pic>
              </a:graphicData>
            </a:graphic>
          </wp:anchor>
        </w:drawing>
      </w:r>
    </w:p>
    <w:p>
      <w:pPr>
        <w:spacing w:after="0" w:line="225" w:lineRule="auto"/>
        <w:rPr>
          <w:sz w:val="20"/>
          <w:szCs w:val="20"/>
          <w:color w:val="auto"/>
        </w:rPr>
      </w:pPr>
      <w:r>
        <w:rPr>
          <w:rFonts w:ascii="Calibri" w:cs="Calibri" w:eastAsia="Calibri" w:hAnsi="Calibri"/>
          <w:sz w:val="18"/>
          <w:szCs w:val="18"/>
          <w:i w:val="1"/>
          <w:iCs w:val="1"/>
          <w:color w:val="auto"/>
        </w:rPr>
        <w:t>The accompanying Notes to the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8" w:name="page79"/>
    <w:bookmarkEnd w:id="78"/>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786970"/>
        </w:rPr>
        <w:t>Notes to Financial Statements</w:t>
      </w:r>
    </w:p>
    <w:p>
      <w:pPr>
        <w:spacing w:after="0" w:line="5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A: Accountng Policies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Organizaton. </w:t>
      </w:r>
      <w:r>
        <w:rPr>
          <w:rFonts w:ascii="Calibri" w:cs="Calibri" w:eastAsia="Calibri" w:hAnsi="Calibri"/>
          <w:sz w:val="18"/>
          <w:szCs w:val="18"/>
          <w:color w:val="000000"/>
        </w:rPr>
        <w:t>Martn Marieta is a natural resource-based building materials company. The Company supplies aggregates (crushed stone, sand and gravel)</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through its network of approximately 360 quarries, mines and distributon yards in 28 states, Canada and The Bahamas. Martn Marieta also provides cement and downstream products and services, namely, ready mixed concrete, asphalt and paving, in vertcally-integrated structured markets where the Company also has a leading aggregates positon. Specifcally, the Company has two cement plants and several cement distributon facilites in Texas; ready mixed concrete plants in Arizona and Texas; and asphalt plants in Arizona, California, Colorado and Minnesota. Paving services are located in California and Colorado. As of December 31, 2023, the Company's South Texas cement business and 20 ready mixed concrete operatons that serve the Austn and San Antonio region are classifed as assets held for sale. The Company’s heavy-side building materials are used in infrastructure, nonresidental and residental constructon projects. Aggregates are also used in agricultural, utlity and environmental applicatons and as railroad ballast. The aggregates, cement, ready mixed concrete and asphalt and paving product lines are reported collectvely as the Building Materials business.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2023, the Building Materials business includes two reportable segments: East Group and West Group. The East Group consists of the East and Central divisions and operates in Alabama, Florida, Georgia, Indiana, Iowa, Kansas, Kentucky, Maryland, Minnesota, Missouri, Nebraska, North Carolina, Ohio, Pennsylvania, South Carolina, Tennessee, Virginia, West Virginia, Nova Scota and The Bahamas. The West Group is comprised of the Southwest and West divisions and operates in Arizona, Arkansas, California, Colorado, Louisiana, Oklahoma, Texas, Utah, Washington and Wyoming. The following states accounted for 82% of the Building Materials business’ 2023 total revenues: Texas, North Carolina, Colorado, California, Georgia, Minnesota, Arizona, Iowa, Florida and Indiana.</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also operates a Magnesia Specialtes business, which represents a separate reportable segment. The Magnesia Specialtes business produces magnesia-based chemical products used in industrial, agricultural and environmental applicatons, and dolomitc lime sold primarily to customers for steel producton and soil stabilizaton. Magnesia Specialtes’ producton facilites are located in Ohio and Michigan, and products are shipped to customers domestcally and worldwide.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Basis of Presentaton and Use of Estmates. </w:t>
      </w:r>
      <w:r>
        <w:rPr>
          <w:rFonts w:ascii="Calibri" w:cs="Calibri" w:eastAsia="Calibri" w:hAnsi="Calibri"/>
          <w:sz w:val="18"/>
          <w:szCs w:val="18"/>
          <w:color w:val="000000"/>
        </w:rPr>
        <w:t>The Company’s consolidated fnancial statements are presented in conformity with accountng principles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generally accepted in the United States, which require management to make certain estmates and assumptons about future events. These estmates and the underlying assumptons afect the amounts of assets and liabilites reported, disclosures about contngent assets and liabilites and reported amounts of revenues and expenses. Such estmates include the valuaton of investments, accounts receivable, inventories, goodwill, other intangible assets and other long-lived assets, as well as assumptons used in the calculaton of income tax expense, retrement and postemployment benefts, stock-based compensaton, the allocaton of the purchase price to the fair values of assets acquired and liabilites assumed as part of business combinatons and revenue recogniton for service contracts. These estmates and assumptons are based on management’s judgment. Management evaluates estmates and assumptons on an ongoing basis using historical experience and other factors, including the current economic environment, and adjusts such estmates and assumptons when facts and circumstances dictate. Changes in credit, equity and energy markets and changes in constructon actvity increase the uncertainty inherent in certain estmates and assumptons. As future events and their efects cannot be determined with precision, actual results could difer signifcantly from estmates. Changes in estmates, including those resultng from changes in the economic environment, are refected in the consolidated fnancial statements for the period in which the change in estmate occurs.</w:t>
      </w:r>
    </w:p>
    <w:p>
      <w:pPr>
        <w:spacing w:after="0" w:line="1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Basis of Consolidaton</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consolidated fnancial statements include the accounts of the Company and its wholly-owned and majority-owned subsidiaries.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Partally-owned afliates are either consolidated or accounted for using the cost method or the equity method, depending on the level of ownership interest or the Company’s ability to exercise control over the afliates’ operatons. Intercompany balances and transactons between subsidiaries have been eliminated in consolidaton.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Revenue Recogniton</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Total revenues include sales of products and services provided to customers, net of discounts or allowances, if any, and freight and</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delivery costs billed to customers. Product revenues are recognized when control of the promised good is transferred to unafliated customers, typically when fnished products are shipped. Intersegment and interproduct revenues are eliminated in consolidaton. Service revenues are derived from the paving business and are recognized using the percentage-of-completon method under the cost-to-cost approach. Under the cost-to-cost approach, recognized contract revenue is determined by multplying the total estmated contract revenue by the estmated percentage of completon. Contract costs are recognized as incurred. The percentage of completon is determined on a contract-by-contract basis using project costs incurred to date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94615</wp:posOffset>
            </wp:positionV>
            <wp:extent cx="325755" cy="1974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79" w:name="page80"/>
    <w:bookmarkEnd w:id="79"/>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percentage of total estmated project costs. The Company believes the cost-to-cost approach is appropriate, as the use of asphalt in a paving contract is relatvely consistent with the performance of the related paving services. When the Company arranges third-party freight to deliver products to customers, the Company has elected the delivery to be a fulfllment actvity rather than a separate performance obligaton. Further, the Company acts as a principal in the delivery arrangements and, as required by Accountng Standards Codifcaton 606, </w:t>
      </w:r>
      <w:r>
        <w:rPr>
          <w:rFonts w:ascii="Calibri" w:cs="Calibri" w:eastAsia="Calibri" w:hAnsi="Calibri"/>
          <w:sz w:val="17"/>
          <w:szCs w:val="17"/>
          <w:i w:val="1"/>
          <w:iCs w:val="1"/>
          <w:color w:val="auto"/>
        </w:rPr>
        <w:t>Revenues from Contracts with Customers</w:t>
      </w:r>
      <w:r>
        <w:rPr>
          <w:rFonts w:ascii="Calibri" w:cs="Calibri" w:eastAsia="Calibri" w:hAnsi="Calibri"/>
          <w:sz w:val="17"/>
          <w:szCs w:val="17"/>
          <w:color w:val="auto"/>
        </w:rPr>
        <w:t xml:space="preserve"> (ASC 606)</w:t>
      </w:r>
      <w:r>
        <w:rPr>
          <w:rFonts w:ascii="Calibri" w:cs="Calibri" w:eastAsia="Calibri" w:hAnsi="Calibri"/>
          <w:sz w:val="17"/>
          <w:szCs w:val="17"/>
          <w:i w:val="1"/>
          <w:iCs w:val="1"/>
          <w:color w:val="auto"/>
        </w:rPr>
        <w:t>,</w:t>
      </w:r>
      <w:r>
        <w:rPr>
          <w:rFonts w:ascii="Calibri" w:cs="Calibri" w:eastAsia="Calibri" w:hAnsi="Calibri"/>
          <w:sz w:val="17"/>
          <w:szCs w:val="17"/>
          <w:color w:val="auto"/>
        </w:rPr>
        <w:t xml:space="preserve"> the related revenues and costs are presented gross in the consolidated statements of earnings and are recognized consistently with the tming of the product revenues.</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Cash, Cash Equivalents and Restricted Cash</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Cash equivalents are comprised of highly-liquid instruments with original maturites of three months or less from</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date of purchase.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2023 and 2022, the Company had $10.5 million and $0.8 million, respectvely, of restricted cash, which was invested in an account designated for the purchase of like-kind exchange replacement assets under Secton 1031 of the Internal Revenue Code and related IRS procedures (Secton 1031). The Company is restricted from utlizing the cash for purposes other than the purchase of qualifed assets for 180 days from receipt of the proceeds from the sale of the exchanged property. Any unused cash at the end of the 180 days is transferred to unrestricted accounts of the Company and used for general corporate purposes.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statements of cash fows refect cash fow changes and balances for cash, cash equivalents and restricted cash on an aggregated basis. The following table reconciles cash, cash equivalents and restricted cash as reported on the consolidated balance sheets to the aggregated amounts presented on the consolidated statements of cash fows: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460" w:type="dxa"/>
            <w:vAlign w:val="bottom"/>
            <w:shd w:val="clear" w:color="auto" w:fill="007CBA"/>
          </w:tcPr>
          <w:p>
            <w:pPr>
              <w:spacing w:after="0"/>
              <w:rPr>
                <w:sz w:val="19"/>
                <w:szCs w:val="19"/>
                <w:color w:val="auto"/>
              </w:rPr>
            </w:pPr>
          </w:p>
        </w:tc>
        <w:tc>
          <w:tcPr>
            <w:tcW w:w="112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08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080" w:type="dxa"/>
            <w:vAlign w:val="bottom"/>
            <w:shd w:val="clear" w:color="auto" w:fill="007CBA"/>
          </w:tcPr>
          <w:p>
            <w:pPr>
              <w:spacing w:after="0"/>
              <w:rPr>
                <w:sz w:val="19"/>
                <w:szCs w:val="19"/>
                <w:color w:val="auto"/>
              </w:rPr>
            </w:pPr>
          </w:p>
        </w:tc>
      </w:tr>
      <w:tr>
        <w:trPr>
          <w:trHeight w:val="232"/>
        </w:trPr>
        <w:tc>
          <w:tcPr>
            <w:tcW w:w="658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60" w:type="dxa"/>
            <w:vAlign w:val="bottom"/>
            <w:tcBorders>
              <w:bottom w:val="single" w:sz="8" w:color="007CBA"/>
            </w:tcBorders>
            <w:shd w:val="clear" w:color="auto" w:fill="007CBA"/>
          </w:tcPr>
          <w:p>
            <w:pPr>
              <w:spacing w:after="0"/>
              <w:rPr>
                <w:sz w:val="20"/>
                <w:szCs w:val="20"/>
                <w:color w:val="auto"/>
              </w:rPr>
            </w:pPr>
          </w:p>
        </w:tc>
        <w:tc>
          <w:tcPr>
            <w:tcW w:w="1120" w:type="dxa"/>
            <w:vAlign w:val="bottom"/>
            <w:tcBorders>
              <w:bottom w:val="single" w:sz="8" w:color="007CBA"/>
              <w:right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b w:val="1"/>
                <w:bCs w:val="1"/>
                <w:color w:val="FFFFFF"/>
              </w:rPr>
              <w:t>2023</w:t>
            </w:r>
          </w:p>
        </w:tc>
        <w:tc>
          <w:tcPr>
            <w:tcW w:w="460" w:type="dxa"/>
            <w:vAlign w:val="bottom"/>
            <w:tcBorders>
              <w:bottom w:val="single" w:sz="8" w:color="007CBA"/>
            </w:tcBorders>
            <w:shd w:val="clear" w:color="auto" w:fill="007CBA"/>
          </w:tcPr>
          <w:p>
            <w:pPr>
              <w:spacing w:after="0"/>
              <w:rPr>
                <w:sz w:val="20"/>
                <w:szCs w:val="20"/>
                <w:color w:val="auto"/>
              </w:rPr>
            </w:pPr>
          </w:p>
        </w:tc>
        <w:tc>
          <w:tcPr>
            <w:tcW w:w="1080" w:type="dxa"/>
            <w:vAlign w:val="bottom"/>
            <w:tcBorders>
              <w:bottom w:val="single" w:sz="8" w:color="007CBA"/>
              <w:right w:val="single" w:sz="8" w:color="007CBA"/>
            </w:tcBorders>
            <w:shd w:val="clear" w:color="auto" w:fill="007CBA"/>
          </w:tcPr>
          <w:p>
            <w:pPr>
              <w:jc w:val="right"/>
              <w:ind w:right="470"/>
              <w:spacing w:after="0" w:line="215" w:lineRule="exact"/>
              <w:rPr>
                <w:sz w:val="20"/>
                <w:szCs w:val="20"/>
                <w:color w:val="auto"/>
              </w:rPr>
            </w:pPr>
            <w:r>
              <w:rPr>
                <w:rFonts w:ascii="Calibri" w:cs="Calibri" w:eastAsia="Calibri" w:hAnsi="Calibri"/>
                <w:sz w:val="18"/>
                <w:szCs w:val="18"/>
                <w:color w:val="FFFFFF"/>
              </w:rPr>
              <w:t>2022</w:t>
            </w:r>
          </w:p>
        </w:tc>
        <w:tc>
          <w:tcPr>
            <w:tcW w:w="460" w:type="dxa"/>
            <w:vAlign w:val="bottom"/>
            <w:tcBorders>
              <w:bottom w:val="single" w:sz="8" w:color="007CBA"/>
            </w:tcBorders>
            <w:shd w:val="clear" w:color="auto" w:fill="007CBA"/>
          </w:tcPr>
          <w:p>
            <w:pPr>
              <w:spacing w:after="0"/>
              <w:rPr>
                <w:sz w:val="20"/>
                <w:szCs w:val="20"/>
                <w:color w:val="auto"/>
              </w:rPr>
            </w:pPr>
          </w:p>
        </w:tc>
        <w:tc>
          <w:tcPr>
            <w:tcW w:w="1080" w:type="dxa"/>
            <w:vAlign w:val="bottom"/>
            <w:tcBorders>
              <w:bottom w:val="single" w:sz="8" w:color="007CBA"/>
            </w:tcBorders>
            <w:shd w:val="clear" w:color="auto" w:fill="007CBA"/>
          </w:tcPr>
          <w:p>
            <w:pPr>
              <w:jc w:val="right"/>
              <w:ind w:right="470"/>
              <w:spacing w:after="0" w:line="215" w:lineRule="exact"/>
              <w:rPr>
                <w:sz w:val="20"/>
                <w:szCs w:val="20"/>
                <w:color w:val="auto"/>
              </w:rPr>
            </w:pPr>
            <w:r>
              <w:rPr>
                <w:rFonts w:ascii="Calibri" w:cs="Calibri" w:eastAsia="Calibri" w:hAnsi="Calibri"/>
                <w:sz w:val="18"/>
                <w:szCs w:val="18"/>
                <w:color w:val="FFFFFF"/>
              </w:rPr>
              <w:t>2021</w:t>
            </w:r>
          </w:p>
        </w:tc>
      </w:tr>
      <w:tr>
        <w:trPr>
          <w:trHeight w:val="223"/>
        </w:trPr>
        <w:tc>
          <w:tcPr>
            <w:tcW w:w="65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Cash and cash equivalents</w:t>
            </w:r>
          </w:p>
        </w:tc>
        <w:tc>
          <w:tcPr>
            <w:tcW w:w="46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1,271.8</w:t>
            </w:r>
          </w:p>
        </w:tc>
        <w:tc>
          <w:tcPr>
            <w:tcW w:w="46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358.0</w:t>
            </w:r>
          </w:p>
        </w:tc>
        <w:tc>
          <w:tcPr>
            <w:tcW w:w="46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258.4</w:t>
            </w:r>
          </w:p>
        </w:tc>
      </w:tr>
      <w:tr>
        <w:trPr>
          <w:trHeight w:val="215"/>
        </w:trPr>
        <w:tc>
          <w:tcPr>
            <w:tcW w:w="6580" w:type="dxa"/>
            <w:vAlign w:val="bottom"/>
          </w:tcPr>
          <w:p>
            <w:pPr>
              <w:ind w:left="120"/>
              <w:spacing w:after="0" w:line="215" w:lineRule="exact"/>
              <w:rPr>
                <w:sz w:val="20"/>
                <w:szCs w:val="20"/>
                <w:color w:val="auto"/>
              </w:rPr>
            </w:pPr>
            <w:r>
              <w:rPr>
                <w:rFonts w:ascii="Calibri" w:cs="Calibri" w:eastAsia="Calibri" w:hAnsi="Calibri"/>
                <w:sz w:val="18"/>
                <w:szCs w:val="18"/>
                <w:color w:val="auto"/>
              </w:rPr>
              <w:t>Restricted cash</w:t>
            </w:r>
          </w:p>
        </w:tc>
        <w:tc>
          <w:tcPr>
            <w:tcW w:w="460" w:type="dxa"/>
            <w:vAlign w:val="bottom"/>
          </w:tcPr>
          <w:p>
            <w:pPr>
              <w:spacing w:after="0"/>
              <w:rPr>
                <w:sz w:val="18"/>
                <w:szCs w:val="18"/>
                <w:color w:val="auto"/>
              </w:rPr>
            </w:pPr>
          </w:p>
        </w:tc>
        <w:tc>
          <w:tcPr>
            <w:tcW w:w="112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10.5</w:t>
            </w:r>
          </w:p>
        </w:tc>
        <w:tc>
          <w:tcPr>
            <w:tcW w:w="460" w:type="dxa"/>
            <w:vAlign w:val="bottom"/>
          </w:tcPr>
          <w:p>
            <w:pPr>
              <w:spacing w:after="0"/>
              <w:rPr>
                <w:sz w:val="18"/>
                <w:szCs w:val="18"/>
                <w:color w:val="auto"/>
              </w:rPr>
            </w:pPr>
          </w:p>
        </w:tc>
        <w:tc>
          <w:tcPr>
            <w:tcW w:w="10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0.8</w:t>
            </w:r>
          </w:p>
        </w:tc>
        <w:tc>
          <w:tcPr>
            <w:tcW w:w="460" w:type="dxa"/>
            <w:vAlign w:val="bottom"/>
          </w:tcPr>
          <w:p>
            <w:pPr>
              <w:spacing w:after="0"/>
              <w:rPr>
                <w:sz w:val="18"/>
                <w:szCs w:val="18"/>
                <w:color w:val="auto"/>
              </w:rPr>
            </w:pPr>
          </w:p>
        </w:tc>
        <w:tc>
          <w:tcPr>
            <w:tcW w:w="10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0.5</w:t>
            </w:r>
          </w:p>
        </w:tc>
      </w:tr>
      <w:tr>
        <w:trPr>
          <w:trHeight w:val="28"/>
        </w:trPr>
        <w:tc>
          <w:tcPr>
            <w:tcW w:w="6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1"/>
        </w:trPr>
        <w:tc>
          <w:tcPr>
            <w:tcW w:w="6580" w:type="dxa"/>
            <w:vAlign w:val="bottom"/>
            <w:tcBorders>
              <w:right w:val="single" w:sz="8" w:color="E5F1F8"/>
            </w:tcBorders>
            <w:shd w:val="clear" w:color="auto" w:fill="E5F1F8"/>
          </w:tcPr>
          <w:p>
            <w:pPr>
              <w:ind w:left="120"/>
              <w:spacing w:after="0" w:line="201" w:lineRule="exact"/>
              <w:rPr>
                <w:sz w:val="20"/>
                <w:szCs w:val="20"/>
                <w:color w:val="auto"/>
              </w:rPr>
            </w:pPr>
            <w:r>
              <w:rPr>
                <w:rFonts w:ascii="Calibri" w:cs="Calibri" w:eastAsia="Calibri" w:hAnsi="Calibri"/>
                <w:sz w:val="18"/>
                <w:szCs w:val="18"/>
                <w:color w:val="auto"/>
              </w:rPr>
              <w:t>Total cash, cash equivalents and restricted cash</w:t>
            </w:r>
          </w:p>
        </w:tc>
        <w:tc>
          <w:tcPr>
            <w:tcW w:w="460" w:type="dxa"/>
            <w:vAlign w:val="bottom"/>
            <w:shd w:val="clear" w:color="auto" w:fill="E5F1F8"/>
          </w:tcPr>
          <w:p>
            <w:pPr>
              <w:spacing w:after="0"/>
              <w:rPr>
                <w:sz w:val="17"/>
                <w:szCs w:val="17"/>
                <w:color w:val="auto"/>
              </w:rPr>
            </w:pPr>
          </w:p>
        </w:tc>
        <w:tc>
          <w:tcPr>
            <w:tcW w:w="1120" w:type="dxa"/>
            <w:vAlign w:val="bottom"/>
            <w:tcBorders>
              <w:right w:val="single" w:sz="8" w:color="E5F1F8"/>
            </w:tcBorders>
            <w:shd w:val="clear" w:color="auto" w:fill="E5F1F8"/>
          </w:tcPr>
          <w:p>
            <w:pPr>
              <w:spacing w:after="0"/>
              <w:rPr>
                <w:sz w:val="17"/>
                <w:szCs w:val="17"/>
                <w:color w:val="auto"/>
              </w:rPr>
            </w:pPr>
          </w:p>
        </w:tc>
        <w:tc>
          <w:tcPr>
            <w:tcW w:w="460" w:type="dxa"/>
            <w:vAlign w:val="bottom"/>
            <w:shd w:val="clear" w:color="auto" w:fill="E5F1F8"/>
          </w:tcPr>
          <w:p>
            <w:pPr>
              <w:spacing w:after="0"/>
              <w:rPr>
                <w:sz w:val="17"/>
                <w:szCs w:val="17"/>
                <w:color w:val="auto"/>
              </w:rPr>
            </w:pPr>
          </w:p>
        </w:tc>
        <w:tc>
          <w:tcPr>
            <w:tcW w:w="1080" w:type="dxa"/>
            <w:vAlign w:val="bottom"/>
            <w:tcBorders>
              <w:right w:val="single" w:sz="8" w:color="E5F1F8"/>
            </w:tcBorders>
            <w:shd w:val="clear" w:color="auto" w:fill="E5F1F8"/>
          </w:tcPr>
          <w:p>
            <w:pPr>
              <w:spacing w:after="0"/>
              <w:rPr>
                <w:sz w:val="17"/>
                <w:szCs w:val="17"/>
                <w:color w:val="auto"/>
              </w:rPr>
            </w:pPr>
          </w:p>
        </w:tc>
        <w:tc>
          <w:tcPr>
            <w:tcW w:w="460" w:type="dxa"/>
            <w:vAlign w:val="bottom"/>
            <w:shd w:val="clear" w:color="auto" w:fill="E5F1F8"/>
          </w:tcPr>
          <w:p>
            <w:pPr>
              <w:spacing w:after="0"/>
              <w:rPr>
                <w:sz w:val="17"/>
                <w:szCs w:val="17"/>
                <w:color w:val="auto"/>
              </w:rPr>
            </w:pPr>
          </w:p>
        </w:tc>
        <w:tc>
          <w:tcPr>
            <w:tcW w:w="1080" w:type="dxa"/>
            <w:vAlign w:val="bottom"/>
            <w:shd w:val="clear" w:color="auto" w:fill="E5F1F8"/>
          </w:tcPr>
          <w:p>
            <w:pPr>
              <w:spacing w:after="0"/>
              <w:rPr>
                <w:sz w:val="17"/>
                <w:szCs w:val="17"/>
                <w:color w:val="auto"/>
              </w:rPr>
            </w:pPr>
          </w:p>
        </w:tc>
      </w:tr>
      <w:tr>
        <w:trPr>
          <w:trHeight w:val="277"/>
        </w:trPr>
        <w:tc>
          <w:tcPr>
            <w:tcW w:w="6580" w:type="dxa"/>
            <w:vAlign w:val="bottom"/>
            <w:tcBorders>
              <w:bottom w:val="single" w:sz="8" w:color="E5F1F8"/>
              <w:right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presented in the consolidated statements of cash fows</w:t>
            </w:r>
          </w:p>
        </w:tc>
        <w:tc>
          <w:tcPr>
            <w:tcW w:w="46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1,282.3</w:t>
            </w:r>
          </w:p>
        </w:tc>
        <w:tc>
          <w:tcPr>
            <w:tcW w:w="46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358.8</w:t>
            </w:r>
          </w:p>
        </w:tc>
        <w:tc>
          <w:tcPr>
            <w:tcW w:w="46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258.9</w:t>
            </w:r>
          </w:p>
        </w:tc>
      </w:tr>
      <w:tr>
        <w:trPr>
          <w:trHeight w:val="20"/>
        </w:trPr>
        <w:tc>
          <w:tcPr>
            <w:tcW w:w="65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-492125</wp:posOffset>
            </wp:positionV>
            <wp:extent cx="33655" cy="5054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33655" cy="505460"/>
                    </a:xfrm>
                    <a:prstGeom prst="rect">
                      <a:avLst/>
                    </a:prstGeom>
                    <a:noFill/>
                  </pic:spPr>
                </pic:pic>
              </a:graphicData>
            </a:graphic>
          </wp:anchor>
        </w:drawing>
        <w:drawing>
          <wp:anchor simplePos="0" relativeHeight="251657728" behindDoc="1" locked="0" layoutInCell="0" allowOverlap="1">
            <wp:simplePos x="0" y="0"/>
            <wp:positionH relativeFrom="column">
              <wp:posOffset>5161280</wp:posOffset>
            </wp:positionH>
            <wp:positionV relativeFrom="paragraph">
              <wp:posOffset>-492125</wp:posOffset>
            </wp:positionV>
            <wp:extent cx="33655" cy="5054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33655" cy="505460"/>
                    </a:xfrm>
                    <a:prstGeom prst="rect">
                      <a:avLst/>
                    </a:prstGeom>
                    <a:noFill/>
                  </pic:spPr>
                </pic:pic>
              </a:graphicData>
            </a:graphic>
          </wp:anchor>
        </w:drawing>
        <w:drawing>
          <wp:anchor simplePos="0" relativeHeight="251657728" behindDoc="1" locked="0" layoutInCell="0" allowOverlap="1">
            <wp:simplePos x="0" y="0"/>
            <wp:positionH relativeFrom="column">
              <wp:posOffset>6138545</wp:posOffset>
            </wp:positionH>
            <wp:positionV relativeFrom="paragraph">
              <wp:posOffset>-492125</wp:posOffset>
            </wp:positionV>
            <wp:extent cx="34290" cy="5054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34290" cy="50546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Restricted Investments. </w:t>
      </w:r>
      <w:r>
        <w:rPr>
          <w:rFonts w:ascii="Calibri" w:cs="Calibri" w:eastAsia="Calibri" w:hAnsi="Calibri"/>
          <w:sz w:val="18"/>
          <w:szCs w:val="18"/>
          <w:color w:val="000000"/>
        </w:rPr>
        <w:t>At December 31, 2022, the Company had $704.6 million of restricted investments, representng assets irrevocably transferred to an</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escrow trust account during 2022 to satsfy and discharge the Company's $700.0 million of 0.650% Senior Notes due 2023 (the 0.650% Senior Notes) (see Note G). The assets in the escrow trust account could not be used for any purpose other than to satsfy the remaining interest payments and to repay the principal amount of the 0.650% Senior Notes that matured on July 15, 2023. The assets transferred to the escrow trust account were invested in a U.S. Treasury securites fund (see Note H) and investment returns on those trust assets were for the account of the Company (afer satsfacton of all amounts payable in connecton with the 0.650% Senior Notes). The Company consolidated the trust account on its consolidated balance sheet at December 31, 2022. On July 17, 2023, funds in the escrow trust account were applied to satsfy the remaining principal and interest payments and the 0.650% Senior Notes have been paid in full. There were no restricted investments at December 31, 2023.</w:t>
      </w:r>
    </w:p>
    <w:p>
      <w:pPr>
        <w:spacing w:after="0" w:line="115"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b w:val="1"/>
          <w:bCs w:val="1"/>
          <w:i w:val="1"/>
          <w:iCs w:val="1"/>
          <w:color w:val="4EAD8A"/>
        </w:rPr>
        <w:t xml:space="preserve">Accounts Receivable. </w:t>
      </w:r>
      <w:r>
        <w:rPr>
          <w:rFonts w:ascii="Calibri" w:cs="Calibri" w:eastAsia="Calibri" w:hAnsi="Calibri"/>
          <w:sz w:val="17"/>
          <w:szCs w:val="17"/>
          <w:color w:val="000000"/>
        </w:rPr>
        <w:t>Accounts receivable are stated at cost. The Company does not typically charge interest on customer accounts receivable. The Company</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records an allowance for credit losses, which includes a provision for probable losses based on historical write-ofs, adjusted for current conditons as deemed necessary, and a specifc reserve for accounts deemed at risk. The allowance is the Company’s estmate for receivables as of the balance sheet date that ultmately will not be collected. Any changes in the allowance are refected in earnings in the period in which the change occurs. The Company writes-of accounts receivable when it becomes probable, based upon customer facts and circumstances, that such amounts will not be collected.</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Inventories Valuaton</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Finished products and in-process inventories are stated at the lower of cost or net realizable value using standard costs, which</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approximate the frst-in, frst-out method. Carrying value for parts and supplies are determined by the weighted-average cost method. The Company records an allowance for fnished product inventories based on an analysis of future demand and inventory on hand in excess of one year's sales using an average of the last two years of sales. The Company also establishes an allowance for parts over fve years old and supplies over a year old.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Post-producton stripping costs, which represent costs of removing overburden and waste materials to access mineral deposits, are a component of inventory producton costs and recognized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229870</wp:posOffset>
            </wp:positionV>
            <wp:extent cx="325755" cy="1974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36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308"/>
        </w:trPr>
        <w:tc>
          <w:tcPr>
            <w:tcW w:w="6220" w:type="dxa"/>
            <w:vAlign w:val="bottom"/>
          </w:tcPr>
          <w:p>
            <w:pPr>
              <w:spacing w:after="0"/>
              <w:rPr>
                <w:sz w:val="24"/>
                <w:szCs w:val="24"/>
                <w:color w:val="auto"/>
              </w:rPr>
            </w:pPr>
          </w:p>
        </w:tc>
        <w:tc>
          <w:tcPr>
            <w:tcW w:w="5040" w:type="dxa"/>
            <w:vAlign w:val="bottom"/>
            <w:gridSpan w:val="3"/>
          </w:tcPr>
          <w:p>
            <w:pPr>
              <w:ind w:left="420"/>
              <w:spacing w:after="0"/>
              <w:rPr>
                <w:sz w:val="20"/>
                <w:szCs w:val="20"/>
                <w:color w:val="auto"/>
              </w:rPr>
            </w:pPr>
            <w:r>
              <w:rPr>
                <w:rFonts w:ascii="Calibri" w:cs="Calibri" w:eastAsia="Calibri" w:hAnsi="Calibri"/>
                <w:sz w:val="18"/>
                <w:szCs w:val="18"/>
                <w:color w:val="auto"/>
                <w:w w:val="98"/>
              </w:rPr>
              <w:t xml:space="preserve">Part II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8 – Financial Statements and Supplementary Data</w:t>
            </w:r>
          </w:p>
        </w:tc>
        <w:tc>
          <w:tcPr>
            <w:tcW w:w="0" w:type="dxa"/>
            <w:vAlign w:val="bottom"/>
          </w:tcPr>
          <w:p>
            <w:pPr>
              <w:spacing w:after="0"/>
              <w:rPr>
                <w:sz w:val="1"/>
                <w:szCs w:val="1"/>
                <w:color w:val="auto"/>
              </w:rPr>
            </w:pPr>
          </w:p>
        </w:tc>
      </w:tr>
      <w:tr>
        <w:trPr>
          <w:trHeight w:val="362"/>
        </w:trPr>
        <w:tc>
          <w:tcPr>
            <w:tcW w:w="6220" w:type="dxa"/>
            <w:vAlign w:val="bottom"/>
          </w:tcPr>
          <w:p>
            <w:pPr>
              <w:spacing w:after="0"/>
              <w:rPr>
                <w:sz w:val="20"/>
                <w:szCs w:val="20"/>
                <w:color w:val="auto"/>
              </w:rPr>
            </w:pPr>
            <w:r>
              <w:rPr>
                <w:rFonts w:ascii="Calibri" w:cs="Calibri" w:eastAsia="Calibri" w:hAnsi="Calibri"/>
                <w:sz w:val="18"/>
                <w:szCs w:val="18"/>
                <w:b w:val="1"/>
                <w:bCs w:val="1"/>
                <w:i w:val="1"/>
                <w:iCs w:val="1"/>
                <w:color w:val="4EAD8A"/>
              </w:rPr>
              <w:t>Property, Plant and Equipment</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Property, plant and equipment are stated at cost.</w:t>
            </w:r>
          </w:p>
        </w:tc>
        <w:tc>
          <w:tcPr>
            <w:tcW w:w="14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20" w:type="dxa"/>
            <w:vAlign w:val="bottom"/>
          </w:tcPr>
          <w:p>
            <w:pPr>
              <w:spacing w:after="0"/>
              <w:rPr>
                <w:sz w:val="20"/>
                <w:szCs w:val="20"/>
                <w:color w:val="auto"/>
              </w:rPr>
            </w:pPr>
            <w:r>
              <w:rPr>
                <w:rFonts w:ascii="Calibri" w:cs="Calibri" w:eastAsia="Calibri" w:hAnsi="Calibri"/>
                <w:sz w:val="18"/>
                <w:szCs w:val="18"/>
                <w:color w:val="auto"/>
              </w:rPr>
              <w:t>The estmated service lives for property, plant and equipment are as follows:</w:t>
            </w:r>
          </w:p>
        </w:tc>
        <w:tc>
          <w:tcPr>
            <w:tcW w:w="14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6220" w:type="dxa"/>
            <w:vAlign w:val="bottom"/>
            <w:tcBorders>
              <w:bottom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b w:val="1"/>
                <w:bCs w:val="1"/>
                <w:color w:val="FFFFFF"/>
              </w:rPr>
              <w:t>Class of Assets</w:t>
            </w:r>
          </w:p>
        </w:tc>
        <w:tc>
          <w:tcPr>
            <w:tcW w:w="1440" w:type="dxa"/>
            <w:vAlign w:val="bottom"/>
            <w:tcBorders>
              <w:bottom w:val="single" w:sz="8" w:color="007CBA"/>
              <w:right w:val="single" w:sz="8" w:color="007CBA"/>
            </w:tcBorders>
            <w:shd w:val="clear" w:color="auto" w:fill="007CBA"/>
          </w:tcPr>
          <w:p>
            <w:pPr>
              <w:spacing w:after="0"/>
              <w:rPr>
                <w:sz w:val="19"/>
                <w:szCs w:val="19"/>
                <w:color w:val="auto"/>
              </w:rPr>
            </w:pPr>
          </w:p>
        </w:tc>
        <w:tc>
          <w:tcPr>
            <w:tcW w:w="3580" w:type="dxa"/>
            <w:vAlign w:val="bottom"/>
            <w:tcBorders>
              <w:bottom w:val="single" w:sz="8" w:color="007CBA"/>
            </w:tcBorders>
            <w:shd w:val="clear" w:color="auto" w:fill="007CBA"/>
          </w:tcPr>
          <w:p>
            <w:pPr>
              <w:jc w:val="center"/>
              <w:ind w:left="210"/>
              <w:spacing w:after="0" w:line="215" w:lineRule="exact"/>
              <w:rPr>
                <w:sz w:val="20"/>
                <w:szCs w:val="20"/>
                <w:color w:val="auto"/>
              </w:rPr>
            </w:pPr>
            <w:r>
              <w:rPr>
                <w:rFonts w:ascii="Calibri" w:cs="Calibri" w:eastAsia="Calibri" w:hAnsi="Calibri"/>
                <w:sz w:val="18"/>
                <w:szCs w:val="18"/>
                <w:b w:val="1"/>
                <w:bCs w:val="1"/>
                <w:color w:val="FFFFFF"/>
                <w:w w:val="97"/>
              </w:rPr>
              <w:t>Range of Service Lives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120"/>
              <w:spacing w:after="0" w:line="215" w:lineRule="exact"/>
              <w:rPr>
                <w:sz w:val="20"/>
                <w:szCs w:val="20"/>
                <w:color w:val="auto"/>
              </w:rPr>
            </w:pPr>
            <w:r>
              <w:rPr>
                <w:rFonts w:ascii="Calibri" w:cs="Calibri" w:eastAsia="Calibri" w:hAnsi="Calibri"/>
                <w:sz w:val="18"/>
                <w:szCs w:val="18"/>
                <w:color w:val="auto"/>
              </w:rPr>
              <w:t>Buildings</w:t>
            </w:r>
          </w:p>
        </w:tc>
        <w:tc>
          <w:tcPr>
            <w:tcW w:w="1440" w:type="dxa"/>
            <w:vAlign w:val="bottom"/>
            <w:tcBorders>
              <w:right w:val="single" w:sz="8" w:color="007CBA"/>
            </w:tcBorders>
          </w:tcPr>
          <w:p>
            <w:pPr>
              <w:spacing w:after="0"/>
              <w:rPr>
                <w:sz w:val="18"/>
                <w:szCs w:val="18"/>
                <w:color w:val="auto"/>
              </w:rPr>
            </w:pPr>
          </w:p>
        </w:tc>
        <w:tc>
          <w:tcPr>
            <w:tcW w:w="3580" w:type="dxa"/>
            <w:vAlign w:val="bottom"/>
          </w:tcPr>
          <w:p>
            <w:pPr>
              <w:jc w:val="center"/>
              <w:ind w:left="210"/>
              <w:spacing w:after="0" w:line="215" w:lineRule="exact"/>
              <w:rPr>
                <w:sz w:val="20"/>
                <w:szCs w:val="20"/>
                <w:color w:val="auto"/>
              </w:rPr>
            </w:pPr>
            <w:r>
              <w:rPr>
                <w:rFonts w:ascii="Calibri" w:cs="Calibri" w:eastAsia="Calibri" w:hAnsi="Calibri"/>
                <w:sz w:val="18"/>
                <w:szCs w:val="18"/>
                <w:color w:val="auto"/>
                <w:w w:val="97"/>
              </w:rPr>
              <w:t>5 to 30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20" w:type="dxa"/>
            <w:vAlign w:val="bottom"/>
          </w:tcPr>
          <w:p>
            <w:pPr>
              <w:spacing w:after="0"/>
              <w:rPr>
                <w:sz w:val="2"/>
                <w:szCs w:val="2"/>
                <w:color w:val="auto"/>
              </w:rPr>
            </w:pPr>
          </w:p>
        </w:tc>
        <w:tc>
          <w:tcPr>
            <w:tcW w:w="1440" w:type="dxa"/>
            <w:vAlign w:val="bottom"/>
            <w:tcBorders>
              <w:right w:val="single" w:sz="8" w:color="007CBA"/>
            </w:tcBorders>
          </w:tcPr>
          <w:p>
            <w:pPr>
              <w:spacing w:after="0"/>
              <w:rPr>
                <w:sz w:val="2"/>
                <w:szCs w:val="2"/>
                <w:color w:val="auto"/>
              </w:rPr>
            </w:pPr>
          </w:p>
        </w:tc>
        <w:tc>
          <w:tcPr>
            <w:tcW w:w="35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2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Machinery &amp; Equipment</w:t>
            </w:r>
          </w:p>
        </w:tc>
        <w:tc>
          <w:tcPr>
            <w:tcW w:w="1440" w:type="dxa"/>
            <w:vAlign w:val="bottom"/>
            <w:tcBorders>
              <w:bottom w:val="single" w:sz="8" w:color="E5F1F8"/>
              <w:right w:val="single" w:sz="8" w:color="007CBA"/>
            </w:tcBorders>
            <w:shd w:val="clear" w:color="auto" w:fill="E5F1F8"/>
          </w:tcPr>
          <w:p>
            <w:pPr>
              <w:spacing w:after="0"/>
              <w:rPr>
                <w:sz w:val="19"/>
                <w:szCs w:val="19"/>
                <w:color w:val="auto"/>
              </w:rPr>
            </w:pPr>
          </w:p>
        </w:tc>
        <w:tc>
          <w:tcPr>
            <w:tcW w:w="3580" w:type="dxa"/>
            <w:vAlign w:val="bottom"/>
            <w:tcBorders>
              <w:bottom w:val="single" w:sz="8" w:color="E5F1F8"/>
            </w:tcBorders>
            <w:shd w:val="clear" w:color="auto" w:fill="E5F1F8"/>
          </w:tcPr>
          <w:p>
            <w:pPr>
              <w:jc w:val="center"/>
              <w:ind w:left="210"/>
              <w:spacing w:after="0" w:line="215" w:lineRule="exact"/>
              <w:rPr>
                <w:sz w:val="20"/>
                <w:szCs w:val="20"/>
                <w:color w:val="auto"/>
              </w:rPr>
            </w:pPr>
            <w:r>
              <w:rPr>
                <w:rFonts w:ascii="Calibri" w:cs="Calibri" w:eastAsia="Calibri" w:hAnsi="Calibri"/>
                <w:sz w:val="18"/>
                <w:szCs w:val="18"/>
                <w:color w:val="auto"/>
                <w:w w:val="97"/>
              </w:rPr>
              <w:t>2 to 20 years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120"/>
              <w:spacing w:after="0" w:line="215" w:lineRule="exact"/>
              <w:rPr>
                <w:sz w:val="20"/>
                <w:szCs w:val="20"/>
                <w:color w:val="auto"/>
              </w:rPr>
            </w:pPr>
            <w:r>
              <w:rPr>
                <w:rFonts w:ascii="Calibri" w:cs="Calibri" w:eastAsia="Calibri" w:hAnsi="Calibri"/>
                <w:sz w:val="18"/>
                <w:szCs w:val="18"/>
                <w:color w:val="auto"/>
              </w:rPr>
              <w:t>Land Improvements</w:t>
            </w:r>
          </w:p>
        </w:tc>
        <w:tc>
          <w:tcPr>
            <w:tcW w:w="1440" w:type="dxa"/>
            <w:vAlign w:val="bottom"/>
          </w:tcPr>
          <w:p>
            <w:pPr>
              <w:spacing w:after="0"/>
              <w:rPr>
                <w:sz w:val="18"/>
                <w:szCs w:val="18"/>
                <w:color w:val="auto"/>
              </w:rPr>
            </w:pPr>
          </w:p>
        </w:tc>
        <w:tc>
          <w:tcPr>
            <w:tcW w:w="3580" w:type="dxa"/>
            <w:vAlign w:val="bottom"/>
          </w:tcPr>
          <w:p>
            <w:pPr>
              <w:jc w:val="center"/>
              <w:ind w:left="210"/>
              <w:spacing w:after="0" w:line="215" w:lineRule="exact"/>
              <w:rPr>
                <w:sz w:val="20"/>
                <w:szCs w:val="20"/>
                <w:color w:val="auto"/>
              </w:rPr>
            </w:pPr>
            <w:r>
              <w:rPr>
                <w:rFonts w:ascii="Calibri" w:cs="Calibri" w:eastAsia="Calibri" w:hAnsi="Calibri"/>
                <w:sz w:val="18"/>
                <w:szCs w:val="18"/>
                <w:color w:val="auto"/>
                <w:w w:val="97"/>
              </w:rPr>
              <w:t>5 to 60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4844415</wp:posOffset>
            </wp:positionH>
            <wp:positionV relativeFrom="paragraph">
              <wp:posOffset>-175260</wp:posOffset>
            </wp:positionV>
            <wp:extent cx="34290" cy="188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begins capitalizing quarry development costs at a point when reserves are determined to be proven or probable, economically mineable and when demand supports investment in the market. Capitalizaton of these costs ceases when producton commences. Capitalized quarry development costs are classifed as land improvements and depreciated over the life of the reserves.</w:t>
      </w:r>
    </w:p>
    <w:p>
      <w:pPr>
        <w:spacing w:after="0" w:line="111"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The Company reviews relevant facts and circumstances to determine whether to capitalize or expense pre-producton stripping costs when additonal pits are developed at an existng quarry. If the additonal pit operates in a separate and distnct area of the quarry, these costs are capitalized as quarry development costs and depreciated over the life of the uncovered reserves. Additonally, a separate asset retrement obligaton is created for additonal pits when the liability is incurred. Once a pit enters the producton phase, all post-producton stripping costs are charged to inventory producton costs as incurred.</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Mineral reserves and mineral interests acquired in connecton with a business combinaton are valued using an income approach for the estmated life of the reserves. The Company’s aggregates reserves average approximately 75 years based on the 2023 annual producton level.</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Depreciaton is computed based on estmated service lives using the straight-line method. Depleton of mineral reserves is calculated based on proven and probable reserves using the units-of-producton method on a quarry-by-quarry basis.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Property, plant and equipment are reviewed for impairment whenever facts and circumstances indicate that the carrying amount of an asset group may not be recoverable. An impairment loss is recognized if expected future undiscounted cash fows over the estmated remaining service life of the related asset group are less than the asset group’s carrying value.</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b w:val="1"/>
          <w:bCs w:val="1"/>
          <w:i w:val="1"/>
          <w:iCs w:val="1"/>
          <w:color w:val="4EAD8A"/>
        </w:rPr>
        <w:t xml:space="preserve">Repair and Maintenance Costs. </w:t>
      </w:r>
      <w:r>
        <w:rPr>
          <w:rFonts w:ascii="Calibri" w:cs="Calibri" w:eastAsia="Calibri" w:hAnsi="Calibri"/>
          <w:sz w:val="18"/>
          <w:szCs w:val="18"/>
          <w:color w:val="000000"/>
        </w:rPr>
        <w:t>Repair and maintenance costs that do not substantally extend the life of the Company’s plant and equipment are expensed</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as incurred.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Leases. </w:t>
      </w:r>
      <w:r>
        <w:rPr>
          <w:rFonts w:ascii="Calibri" w:cs="Calibri" w:eastAsia="Calibri" w:hAnsi="Calibri"/>
          <w:sz w:val="18"/>
          <w:szCs w:val="18"/>
          <w:color w:val="000000"/>
        </w:rPr>
        <w:t>Pursuant to Accountng Standards Codifcaton 842,</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i w:val="1"/>
          <w:iCs w:val="1"/>
          <w:color w:val="000000"/>
        </w:rPr>
        <w:t>Leases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(ASC 842), if the Company determines a contract is or contains a lease at the incepton of</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an agreement, the Company records a right-of-use (ROU) asset, which represents the Company’s right to use an underlying leased asset, and a lease liability, which represents the Company’s obligaton to make lease payments. The ROU asset and lease liability are recorded on the consolidated balance sheets at the present value of the future lease payments over the lease term at commencement date. The Company determines the present value of lease payments based on the implicit interest rate, which may be explicitly stated in the lease, if available, or may be the Company’s estmated collateralized incremental borrowing rate based on the term of the lease. Inital ROU assets also include any lease payments made at or before commencement date and any inital direct costs incurred and are reduced by lease incentves. Certain of the Company’s leases contain renewal and/or terminaton optons. The Company recognizes renewal or terminaton optons as part of its ROU assets and lease liabilites when the Company has the unilateral right to renew or terminate and it is reasonably certain these optons will be exercised.</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Some leases require the Company to pay non-lease components, which may include taxes, maintenance, insurance and certain other expenses applicable to the leased property, and are primarily variable costs. The Company accounts for lease and non-lease components as a single amount, with the excepton of railcar, feet vehicle and pipeline leases, for which the Company separately accounts for the lease and non-lease components.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Leases are evaluated and determined to be either fnance leases or operatng leases. The lease is a fnance lease if it transfers ownership to the underlying asset by the end of the lease term; includes a purchase opton that is reasonably certain to be exercised; has a lease term for the major part of the remaining economic life of the underlying asset; has a present value of the sum of the lease payments (including renewal optons) that equals or exceeds substantally all of the fair value of the underlying asset; or is for an underlying asset that is of a specialized nature and is expected to have no alternatve use to the lessor at the end of the lease term. If none of these terms exist, the lease is an operatng lease.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Leases with an inital lease term of one year or less are not recorded on the consolidated balance sheets. Costs for these leases are expensed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68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1" w:name="page82"/>
    <w:bookmarkEnd w:id="81"/>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the consolidated statements of earnings, operatng lease expense, which is recognized on a straight-line basis over the lease term, and the amortzaton of fnance lease ROU assets are included in the </w:t>
      </w:r>
      <w:r>
        <w:rPr>
          <w:rFonts w:ascii="Calibri" w:cs="Calibri" w:eastAsia="Calibri" w:hAnsi="Calibri"/>
          <w:sz w:val="18"/>
          <w:szCs w:val="18"/>
          <w:i w:val="1"/>
          <w:iCs w:val="1"/>
          <w:color w:val="auto"/>
        </w:rPr>
        <w:t>Total cost of revenues</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Selling, general and administratve expenses</w:t>
      </w:r>
      <w:r>
        <w:rPr>
          <w:rFonts w:ascii="Calibri" w:cs="Calibri" w:eastAsia="Calibri" w:hAnsi="Calibri"/>
          <w:sz w:val="18"/>
          <w:szCs w:val="18"/>
          <w:color w:val="auto"/>
        </w:rPr>
        <w:t xml:space="preserve"> line items in the consolidated statements of earnings. Accreton on the liabilites for fnance leases is included in interest expense.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Goodwill and Other Intangible Assets. </w:t>
      </w:r>
      <w:r>
        <w:rPr>
          <w:rFonts w:ascii="Calibri" w:cs="Calibri" w:eastAsia="Calibri" w:hAnsi="Calibri"/>
          <w:sz w:val="18"/>
          <w:szCs w:val="18"/>
          <w:color w:val="000000"/>
        </w:rPr>
        <w:t>Goodwill represents the excess purchase price paid for acquired businesses over the estmated fair value of</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identfable assets and liabilites. Other intangible assets represent amounts assigned principally to contractual agreements and are either amortzed ratably over the useful lives to the Company or not amortzed if deemed to have an indefnite useful life.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reportng units, which represent the level at which goodwill is tested for impairment, are based on the operatng segments of the Building Materials business. Goodwill is assigned to the respectve reportng unit(s) based on the locaton of acquisitons at the tme of consummaton. If subsequent organizatonal changes result in operatons being transferred to a diferent reportng unit, a proportonate amount of goodwill is transferred from the former to the new reportng unit. For divesttures, goodwill is allocated on a proportonal basis based on the relatve fair values of the porton of the reportng unit being disposed of and the porton of the reportng unit remaining.</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is tested for impairment by comparing each reportng unit’s fair value to its carrying value, which represents a Step-1 approach. However, prior to Step 1, the Company may perform a qualitatve assessment and evaluate macroeconomic conditons, industry and market conditons, cost factors, overall fnancial performance and other business or reportng unit-specifc events that contribute to the fair value of a reportng unit. If the Company concludes, based on its qualitatve assessment, it is more-likely-than-not (</w:t>
      </w:r>
      <w:r>
        <w:rPr>
          <w:rFonts w:ascii="Calibri" w:cs="Calibri" w:eastAsia="Calibri" w:hAnsi="Calibri"/>
          <w:sz w:val="18"/>
          <w:szCs w:val="18"/>
          <w:i w:val="1"/>
          <w:iCs w:val="1"/>
          <w:color w:val="auto"/>
        </w:rPr>
        <w:t>i.e</w:t>
      </w:r>
      <w:r>
        <w:rPr>
          <w:rFonts w:ascii="Calibri" w:cs="Calibri" w:eastAsia="Calibri" w:hAnsi="Calibri"/>
          <w:sz w:val="18"/>
          <w:szCs w:val="18"/>
          <w:color w:val="auto"/>
        </w:rPr>
        <w:t>., a likelihood of more than 50%) that a reportng unit’s fair value is higher than its carrying value, the Company is not required to perform any further goodwill impairment testng for that reportng unit. Otherwise, the Company proceeds to Step 1, and if a reportng unit’s fair value exceeds its carrying value, there is no impairment. A reportng unit with a carrying value in excess of its fair value results in an impairment charge equal to the diference.</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carrying values of goodwill and other indefnite-lived intangible assets are reviewed for impairment annually, as of October 1. An interim review is performed between annual tests if facts and circumstances indicate potental impairment. The carrying value of other amortzable intangible assets is reviewed if facts and circumstances indicate potental impairment. If a review indicates the carrying value is impaired, a charge is recorded equal to the amount by which the carrying value exceeds the fair value.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Retrement Plans and Postretrement Benefts. </w:t>
      </w:r>
      <w:r>
        <w:rPr>
          <w:rFonts w:ascii="Calibri" w:cs="Calibri" w:eastAsia="Calibri" w:hAnsi="Calibri"/>
          <w:sz w:val="18"/>
          <w:szCs w:val="18"/>
          <w:color w:val="000000"/>
        </w:rPr>
        <w:t>The Company sponsors defned beneft retrement plans and also provides other postretrement benefts. The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Company recognizes the funded status, defned as the diference between the fair value of plan assets and the beneft obligaton, of its pension plans and other postretrement benefts as an asset or liability on the consolidated balance sheets. Actuarial gains or losses that arise during the year are recognized as a component of accumulated other comprehensive earnings or loss. Those amounts are amortzed over the partcipants’ average remaining service period and recognized as a component of net periodic beneft cost. The amount amortzed is determined on a plan-by-plan basis using a corridor approach and represents the excess over 10% of the greater of the projected beneft obligaton or pension plan assets.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Insurance Reserves. </w:t>
      </w:r>
      <w:r>
        <w:rPr>
          <w:rFonts w:ascii="Calibri" w:cs="Calibri" w:eastAsia="Calibri" w:hAnsi="Calibri"/>
          <w:sz w:val="18"/>
          <w:szCs w:val="18"/>
          <w:color w:val="000000"/>
        </w:rPr>
        <w:t>The Company has insurance coverage with large deductbles for workers’ compensaton, automobile liability, marine liability and general</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liability claims, and is also self-insured for health claims. The Company records insurance reserves based on an actuarial-determined analysis, which calculates development factors that are applied to total case reserves within the insurance programs. While the Company believes the assumptons used to calculate these liabilites are appropriate, signifcant diferences in actual experience and/or signifcant changes in these assumptons may materially afect insurance costs.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Stock-Based Compensaton. </w:t>
      </w:r>
      <w:r>
        <w:rPr>
          <w:rFonts w:ascii="Calibri" w:cs="Calibri" w:eastAsia="Calibri" w:hAnsi="Calibri"/>
          <w:sz w:val="18"/>
          <w:szCs w:val="18"/>
          <w:color w:val="000000"/>
        </w:rPr>
        <w:t>The Company has stock-based compensaton plans for employees and its Board of Directors. The Company recognizes all forms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of stock-based awards that vest as compensaton expense. The compensaton expense is the fair value of the awards at the measurement date and is recognized over the requisite service period. Forfeitures are recognized as they occur.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fair value of restricted stock awards, incentve compensaton stock awards and Board of Directors’ fees paid in the form of common stock are based on the closing price of the Company’s common stock on the grant dates. The fair value of performance stock awards as of the grant dates is determined using a Monte Carlo simulaton methodology.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Environmental Maters. </w:t>
      </w:r>
      <w:r>
        <w:rPr>
          <w:rFonts w:ascii="Calibri" w:cs="Calibri" w:eastAsia="Calibri" w:hAnsi="Calibri"/>
          <w:sz w:val="18"/>
          <w:szCs w:val="18"/>
          <w:color w:val="000000"/>
        </w:rPr>
        <w:t>The Company records a liability for an asset retrement obligaton at fair value in the period in which it is incurred. The asset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retrement obligaton is recorded at the acquisiton date of a long-lived tangible asset if the fair value can be reasonably estmated. A corresponding amount is capitalized as part of the asset’s carrying amount. The fair value is afected by management’s assumptons regarding the scope of the work, infaton rates and asset retrement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93345</wp:posOffset>
            </wp:positionV>
            <wp:extent cx="325755" cy="1974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2" w:name="page83"/>
    <w:bookmarkEnd w:id="82"/>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Further, the Company records an accrual for other environmental remediaton liabilites in the period in which it is probable that a liability has been incurred and the appropriate amounts can be estmated reasonably. Such accruals are adjusted as further informaton develops or circumstances change. Generally, these costs are not discounted to their present value or ofset for potental insurance or other claims or potental gains from future alternatve uses for a site.</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Income Taxes</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Deferred income taxes, net, on the consolidated balance sheets refect the net tax efects of temporary diferences between the carrying</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amounts of assets and liabilites for fnancial reportng purposes and the amounts used for income tax purposes, and the percentage depleton allowed for tax purposes. Deferred tax liabilites for property, plant and equipment result from accelerated depreciaton methods being used for income tax purposes as compared with the straight-line method for fnancial reportng purposes. Deferred tax liabilites related to goodwill and other intangibles refect the cessaton of goodwill amortzaton for fnancial reportng purposes, while amortzaton contnued for income tax purposes. The efect of changes in enacted tax rates on deferred income tax assets and liabilites is charged or credited to income tax expense in the period of enactment.</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applies the proportonal amortzaton method to equity investments in tax credit programs that meet the following specifed criteria: it is probable that the income tax credits allocable to the Company will be available; the Company does not have the ability to exercise signifcant infuence over the operatng and fnancial policies of the underlying project; substantally all of the projected benefts are from income tax credits and other income tax benefts, as determined on a discounted basis; the Company's projected yield based solely on the cash fows from the income tax credits and other income tax benefts is positve; and the Company is a limited liability investor in the limited liability entty for both legal and tax purposes and its liability is limited to its capital investment. Under the proportonal amortzaton method, the equity investment is amortzed in proporton to the income tax credits and other income tax benefts received, with the amortzaton expense and the income tax benefts presented on a net basis in </w:t>
      </w:r>
      <w:r>
        <w:rPr>
          <w:rFonts w:ascii="Calibri" w:cs="Calibri" w:eastAsia="Calibri" w:hAnsi="Calibri"/>
          <w:sz w:val="18"/>
          <w:szCs w:val="18"/>
          <w:i w:val="1"/>
          <w:iCs w:val="1"/>
          <w:color w:val="auto"/>
        </w:rPr>
        <w:t>Income tax expense or beneft</w:t>
      </w:r>
      <w:r>
        <w:rPr>
          <w:rFonts w:ascii="Calibri" w:cs="Calibri" w:eastAsia="Calibri" w:hAnsi="Calibri"/>
          <w:sz w:val="18"/>
          <w:szCs w:val="18"/>
          <w:color w:val="auto"/>
        </w:rPr>
        <w:t xml:space="preserve"> on the consolidated statements of earnings.</w:t>
      </w:r>
    </w:p>
    <w:p>
      <w:pPr>
        <w:spacing w:after="0" w:line="115"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b w:val="1"/>
          <w:bCs w:val="1"/>
          <w:i w:val="1"/>
          <w:iCs w:val="1"/>
          <w:color w:val="4EAD8A"/>
        </w:rPr>
        <w:t xml:space="preserve">Uncertain Tax Positons. </w:t>
      </w:r>
      <w:r>
        <w:rPr>
          <w:rFonts w:ascii="Calibri" w:cs="Calibri" w:eastAsia="Calibri" w:hAnsi="Calibri"/>
          <w:sz w:val="17"/>
          <w:szCs w:val="17"/>
          <w:color w:val="000000"/>
        </w:rPr>
        <w:t>The Company recognizes a tax beneft when it is more-likely-than-not, based on the technical merits, that a tax positon would be</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sustained upon examinaton by a taxing authority. The amount to be recognized is measured as the largest amount of tax beneft that is greater than 50% likely of being realized upon ultmate setlement with a taxing authority that has full knowledge of all relevant informaton. The Company’s unrecognized tax benefts are recorded in other liabilites on the consolidated balance sheets or as an ofset to the deferred tax asset for tax carryforwards where available.</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records interest accrued in relaton to unrecognized tax benefts as income tax expense. Penaltes, if incurred, are recorded as operatng expenses in the consolidated statements of earnings.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Sales Taxes. </w:t>
      </w:r>
      <w:r>
        <w:rPr>
          <w:rFonts w:ascii="Calibri" w:cs="Calibri" w:eastAsia="Calibri" w:hAnsi="Calibri"/>
          <w:sz w:val="18"/>
          <w:szCs w:val="18"/>
          <w:color w:val="000000"/>
        </w:rPr>
        <w:t>The Company is deemed to be an agent when collectng sales taxes from customers. Sales taxes collected from customers are recorded as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liabilites untl remited to taxing authorites and therefore are not refected in the consolidated statements of earnings as revenues and expenses.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 xml:space="preserve">Start-Up Costs. </w:t>
      </w:r>
      <w:r>
        <w:rPr>
          <w:rFonts w:ascii="Calibri" w:cs="Calibri" w:eastAsia="Calibri" w:hAnsi="Calibri"/>
          <w:sz w:val="18"/>
          <w:szCs w:val="18"/>
          <w:color w:val="000000"/>
        </w:rPr>
        <w:t>Noncapital start-up costs for new facilites and products are charged to operatons as incurred.</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Consolidated Comprehensive Earnings and Accumulated Other Comprehensive Loss</w:t>
      </w:r>
      <w:r>
        <w:rPr>
          <w:rFonts w:ascii="Calibri" w:cs="Calibri" w:eastAsia="Calibri" w:hAnsi="Calibri"/>
          <w:sz w:val="18"/>
          <w:szCs w:val="18"/>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Consolidated comprehensive earnings consist of consolidated net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earnings, adjustments for the funded status of pension and postretrement beneft plans and foreign currency translaton adjustments, and are presented in the Company’s consolidated statements of comprehensive earnings.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Accumulated other comprehensive loss consists of unrecognized gains and losses related to the funded status of the pension and postretrement beneft plans and foreign currency translaton and is presented on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74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3" w:name="page84"/>
    <w:bookmarkEnd w:id="83"/>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components of the changes in accumulated other comprehensive loss and related cumulatve noncurrent deferred tax assets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20" w:type="dxa"/>
            <w:vAlign w:val="bottom"/>
            <w:tcBorders>
              <w:right w:val="single" w:sz="8" w:color="007CBA"/>
            </w:tcBorders>
            <w:shd w:val="clear" w:color="auto" w:fill="007CBA"/>
          </w:tcPr>
          <w:p>
            <w:pPr>
              <w:spacing w:after="0"/>
              <w:rPr>
                <w:sz w:val="19"/>
                <w:szCs w:val="19"/>
                <w:color w:val="auto"/>
              </w:rPr>
            </w:pPr>
          </w:p>
        </w:tc>
        <w:tc>
          <w:tcPr>
            <w:tcW w:w="300" w:type="dxa"/>
            <w:vAlign w:val="bottom"/>
            <w:shd w:val="clear" w:color="auto" w:fill="007CBA"/>
          </w:tcPr>
          <w:p>
            <w:pPr>
              <w:spacing w:after="0"/>
              <w:rPr>
                <w:sz w:val="19"/>
                <w:szCs w:val="19"/>
                <w:color w:val="auto"/>
              </w:rPr>
            </w:pPr>
          </w:p>
        </w:tc>
        <w:tc>
          <w:tcPr>
            <w:tcW w:w="1400" w:type="dxa"/>
            <w:vAlign w:val="bottom"/>
            <w:tcBorders>
              <w:right w:val="single" w:sz="8" w:color="007CBA"/>
            </w:tcBorders>
            <w:shd w:val="clear" w:color="auto" w:fill="007CBA"/>
          </w:tcPr>
          <w:p>
            <w:pPr>
              <w:jc w:val="center"/>
              <w:ind w:right="190"/>
              <w:spacing w:after="0"/>
              <w:rPr>
                <w:sz w:val="20"/>
                <w:szCs w:val="20"/>
                <w:color w:val="auto"/>
              </w:rPr>
            </w:pPr>
            <w:r>
              <w:rPr>
                <w:rFonts w:ascii="Calibri" w:cs="Calibri" w:eastAsia="Calibri" w:hAnsi="Calibri"/>
                <w:sz w:val="18"/>
                <w:szCs w:val="18"/>
                <w:b w:val="1"/>
                <w:bCs w:val="1"/>
                <w:color w:val="FFFFFF"/>
                <w:w w:val="96"/>
              </w:rPr>
              <w:t>Pension and</w:t>
            </w:r>
          </w:p>
        </w:tc>
        <w:tc>
          <w:tcPr>
            <w:tcW w:w="420" w:type="dxa"/>
            <w:vAlign w:val="bottom"/>
            <w:shd w:val="clear" w:color="auto" w:fill="007CBA"/>
          </w:tcPr>
          <w:p>
            <w:pPr>
              <w:spacing w:after="0"/>
              <w:rPr>
                <w:sz w:val="19"/>
                <w:szCs w:val="19"/>
                <w:color w:val="auto"/>
              </w:rPr>
            </w:pPr>
          </w:p>
        </w:tc>
        <w:tc>
          <w:tcPr>
            <w:tcW w:w="126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80" w:type="dxa"/>
            <w:vAlign w:val="bottom"/>
            <w:shd w:val="clear" w:color="auto" w:fill="007CBA"/>
          </w:tcPr>
          <w:p>
            <w:pPr>
              <w:spacing w:after="0"/>
              <w:rPr>
                <w:sz w:val="19"/>
                <w:szCs w:val="19"/>
                <w:color w:val="auto"/>
              </w:rPr>
            </w:pPr>
          </w:p>
        </w:tc>
      </w:tr>
      <w:tr>
        <w:trPr>
          <w:trHeight w:val="215"/>
        </w:trPr>
        <w:tc>
          <w:tcPr>
            <w:tcW w:w="6220" w:type="dxa"/>
            <w:vAlign w:val="bottom"/>
            <w:tcBorders>
              <w:right w:val="single" w:sz="8" w:color="007CBA"/>
            </w:tcBorders>
            <w:shd w:val="clear" w:color="auto" w:fill="007CBA"/>
          </w:tcPr>
          <w:p>
            <w:pPr>
              <w:spacing w:after="0"/>
              <w:rPr>
                <w:sz w:val="18"/>
                <w:szCs w:val="18"/>
                <w:color w:val="auto"/>
              </w:rPr>
            </w:pPr>
          </w:p>
        </w:tc>
        <w:tc>
          <w:tcPr>
            <w:tcW w:w="300" w:type="dxa"/>
            <w:vAlign w:val="bottom"/>
            <w:shd w:val="clear" w:color="auto" w:fill="007CBA"/>
          </w:tcPr>
          <w:p>
            <w:pPr>
              <w:spacing w:after="0"/>
              <w:rPr>
                <w:sz w:val="18"/>
                <w:szCs w:val="18"/>
                <w:color w:val="auto"/>
              </w:rPr>
            </w:pPr>
          </w:p>
        </w:tc>
        <w:tc>
          <w:tcPr>
            <w:tcW w:w="1400" w:type="dxa"/>
            <w:vAlign w:val="bottom"/>
            <w:tcBorders>
              <w:right w:val="single" w:sz="8" w:color="007CBA"/>
            </w:tcBorders>
            <w:shd w:val="clear" w:color="auto" w:fill="007CBA"/>
          </w:tcPr>
          <w:p>
            <w:pPr>
              <w:jc w:val="center"/>
              <w:ind w:right="210"/>
              <w:spacing w:after="0" w:line="215" w:lineRule="exact"/>
              <w:rPr>
                <w:sz w:val="20"/>
                <w:szCs w:val="20"/>
                <w:color w:val="auto"/>
              </w:rPr>
            </w:pPr>
            <w:r>
              <w:rPr>
                <w:rFonts w:ascii="Calibri" w:cs="Calibri" w:eastAsia="Calibri" w:hAnsi="Calibri"/>
                <w:sz w:val="18"/>
                <w:szCs w:val="18"/>
                <w:b w:val="1"/>
                <w:bCs w:val="1"/>
                <w:color w:val="FFFFFF"/>
              </w:rPr>
              <w:t>Postretrement</w:t>
            </w:r>
          </w:p>
        </w:tc>
        <w:tc>
          <w:tcPr>
            <w:tcW w:w="420" w:type="dxa"/>
            <w:vAlign w:val="bottom"/>
            <w:shd w:val="clear" w:color="auto" w:fill="007CBA"/>
          </w:tcPr>
          <w:p>
            <w:pPr>
              <w:spacing w:after="0"/>
              <w:rPr>
                <w:sz w:val="18"/>
                <w:szCs w:val="18"/>
                <w:color w:val="auto"/>
              </w:rPr>
            </w:pPr>
          </w:p>
        </w:tc>
        <w:tc>
          <w:tcPr>
            <w:tcW w:w="1260" w:type="dxa"/>
            <w:vAlign w:val="bottom"/>
            <w:tcBorders>
              <w:right w:val="single" w:sz="8" w:color="007CBA"/>
            </w:tcBorders>
            <w:shd w:val="clear" w:color="auto" w:fill="007CBA"/>
          </w:tcPr>
          <w:p>
            <w:pPr>
              <w:jc w:val="center"/>
              <w:ind w:right="310"/>
              <w:spacing w:after="0" w:line="215" w:lineRule="exact"/>
              <w:rPr>
                <w:sz w:val="20"/>
                <w:szCs w:val="20"/>
                <w:color w:val="auto"/>
              </w:rPr>
            </w:pPr>
            <w:r>
              <w:rPr>
                <w:rFonts w:ascii="Calibri" w:cs="Calibri" w:eastAsia="Calibri" w:hAnsi="Calibri"/>
                <w:sz w:val="18"/>
                <w:szCs w:val="18"/>
                <w:b w:val="1"/>
                <w:bCs w:val="1"/>
                <w:color w:val="FFFFFF"/>
                <w:w w:val="96"/>
              </w:rPr>
              <w:t>Foreign</w:t>
            </w:r>
          </w:p>
        </w:tc>
        <w:tc>
          <w:tcPr>
            <w:tcW w:w="460" w:type="dxa"/>
            <w:vAlign w:val="bottom"/>
            <w:shd w:val="clear" w:color="auto" w:fill="007CBA"/>
          </w:tcPr>
          <w:p>
            <w:pPr>
              <w:spacing w:after="0"/>
              <w:rPr>
                <w:sz w:val="18"/>
                <w:szCs w:val="18"/>
                <w:color w:val="auto"/>
              </w:rPr>
            </w:pPr>
          </w:p>
        </w:tc>
        <w:tc>
          <w:tcPr>
            <w:tcW w:w="1180" w:type="dxa"/>
            <w:vAlign w:val="bottom"/>
            <w:shd w:val="clear" w:color="auto" w:fill="007CBA"/>
          </w:tcPr>
          <w:p>
            <w:pPr>
              <w:spacing w:after="0"/>
              <w:rPr>
                <w:sz w:val="18"/>
                <w:szCs w:val="18"/>
                <w:color w:val="auto"/>
              </w:rPr>
            </w:pPr>
          </w:p>
        </w:tc>
      </w:tr>
      <w:tr>
        <w:trPr>
          <w:trHeight w:val="230"/>
        </w:trPr>
        <w:tc>
          <w:tcPr>
            <w:tcW w:w="622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300" w:type="dxa"/>
            <w:vAlign w:val="bottom"/>
            <w:shd w:val="clear" w:color="auto" w:fill="007CBA"/>
          </w:tcPr>
          <w:p>
            <w:pPr>
              <w:spacing w:after="0"/>
              <w:rPr>
                <w:sz w:val="19"/>
                <w:szCs w:val="19"/>
                <w:color w:val="auto"/>
              </w:rPr>
            </w:pPr>
          </w:p>
        </w:tc>
        <w:tc>
          <w:tcPr>
            <w:tcW w:w="1400" w:type="dxa"/>
            <w:vAlign w:val="bottom"/>
            <w:tcBorders>
              <w:right w:val="single" w:sz="8" w:color="007CBA"/>
            </w:tcBorders>
            <w:shd w:val="clear" w:color="auto" w:fill="007CBA"/>
          </w:tcPr>
          <w:p>
            <w:pPr>
              <w:jc w:val="center"/>
              <w:ind w:right="150"/>
              <w:spacing w:after="0" w:line="216" w:lineRule="exact"/>
              <w:rPr>
                <w:sz w:val="20"/>
                <w:szCs w:val="20"/>
                <w:color w:val="auto"/>
              </w:rPr>
            </w:pPr>
            <w:r>
              <w:rPr>
                <w:rFonts w:ascii="Calibri" w:cs="Calibri" w:eastAsia="Calibri" w:hAnsi="Calibri"/>
                <w:sz w:val="18"/>
                <w:szCs w:val="18"/>
                <w:b w:val="1"/>
                <w:bCs w:val="1"/>
                <w:color w:val="FFFFFF"/>
              </w:rPr>
              <w:t>Beneft Plans</w:t>
            </w:r>
          </w:p>
        </w:tc>
        <w:tc>
          <w:tcPr>
            <w:tcW w:w="420" w:type="dxa"/>
            <w:vAlign w:val="bottom"/>
            <w:shd w:val="clear" w:color="auto" w:fill="007CBA"/>
          </w:tcPr>
          <w:p>
            <w:pPr>
              <w:spacing w:after="0"/>
              <w:rPr>
                <w:sz w:val="19"/>
                <w:szCs w:val="19"/>
                <w:color w:val="auto"/>
              </w:rPr>
            </w:pPr>
          </w:p>
        </w:tc>
        <w:tc>
          <w:tcPr>
            <w:tcW w:w="1260" w:type="dxa"/>
            <w:vAlign w:val="bottom"/>
            <w:tcBorders>
              <w:right w:val="single" w:sz="8" w:color="007CBA"/>
            </w:tcBorders>
            <w:shd w:val="clear" w:color="auto" w:fill="007CBA"/>
          </w:tcPr>
          <w:p>
            <w:pPr>
              <w:jc w:val="center"/>
              <w:ind w:right="270"/>
              <w:spacing w:after="0" w:line="216" w:lineRule="exact"/>
              <w:rPr>
                <w:sz w:val="20"/>
                <w:szCs w:val="20"/>
                <w:color w:val="auto"/>
              </w:rPr>
            </w:pPr>
            <w:r>
              <w:rPr>
                <w:rFonts w:ascii="Calibri" w:cs="Calibri" w:eastAsia="Calibri" w:hAnsi="Calibri"/>
                <w:sz w:val="18"/>
                <w:szCs w:val="18"/>
                <w:b w:val="1"/>
                <w:bCs w:val="1"/>
                <w:color w:val="FFFFFF"/>
                <w:w w:val="98"/>
              </w:rPr>
              <w:t>Currency</w:t>
            </w:r>
          </w:p>
        </w:tc>
        <w:tc>
          <w:tcPr>
            <w:tcW w:w="460" w:type="dxa"/>
            <w:vAlign w:val="bottom"/>
            <w:shd w:val="clear" w:color="auto" w:fill="007CBA"/>
          </w:tcPr>
          <w:p>
            <w:pPr>
              <w:spacing w:after="0"/>
              <w:rPr>
                <w:sz w:val="19"/>
                <w:szCs w:val="19"/>
                <w:color w:val="auto"/>
              </w:rPr>
            </w:pPr>
          </w:p>
        </w:tc>
        <w:tc>
          <w:tcPr>
            <w:tcW w:w="1180" w:type="dxa"/>
            <w:vAlign w:val="bottom"/>
            <w:shd w:val="clear" w:color="auto" w:fill="007CBA"/>
          </w:tcPr>
          <w:p>
            <w:pPr>
              <w:jc w:val="right"/>
              <w:ind w:right="530"/>
              <w:spacing w:after="0" w:line="216" w:lineRule="exact"/>
              <w:rPr>
                <w:sz w:val="20"/>
                <w:szCs w:val="20"/>
                <w:color w:val="auto"/>
              </w:rPr>
            </w:pPr>
            <w:r>
              <w:rPr>
                <w:rFonts w:ascii="Calibri" w:cs="Calibri" w:eastAsia="Calibri" w:hAnsi="Calibri"/>
                <w:sz w:val="18"/>
                <w:szCs w:val="18"/>
                <w:b w:val="1"/>
                <w:bCs w:val="1"/>
                <w:color w:val="FFFFFF"/>
              </w:rPr>
              <w:t>Total</w:t>
            </w:r>
          </w:p>
        </w:tc>
      </w:tr>
      <w:tr>
        <w:trPr>
          <w:trHeight w:val="260"/>
        </w:trPr>
        <w:tc>
          <w:tcPr>
            <w:tcW w:w="622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300" w:type="dxa"/>
            <w:vAlign w:val="bottom"/>
            <w:tcBorders>
              <w:bottom w:val="single" w:sz="8" w:color="007CBA"/>
            </w:tcBorders>
            <w:shd w:val="clear" w:color="auto" w:fill="007CBA"/>
          </w:tcPr>
          <w:p>
            <w:pPr>
              <w:spacing w:after="0"/>
              <w:rPr>
                <w:sz w:val="22"/>
                <w:szCs w:val="22"/>
                <w:color w:val="auto"/>
              </w:rPr>
            </w:pPr>
          </w:p>
        </w:tc>
        <w:tc>
          <w:tcPr>
            <w:tcW w:w="1400" w:type="dxa"/>
            <w:vAlign w:val="bottom"/>
            <w:tcBorders>
              <w:bottom w:val="single" w:sz="8" w:color="007CBA"/>
              <w:right w:val="single" w:sz="8" w:color="007CBA"/>
            </w:tcBorders>
            <w:shd w:val="clear" w:color="auto" w:fill="007CBA"/>
          </w:tcPr>
          <w:p>
            <w:pPr>
              <w:spacing w:after="0"/>
              <w:rPr>
                <w:sz w:val="22"/>
                <w:szCs w:val="22"/>
                <w:color w:val="auto"/>
              </w:rPr>
            </w:pPr>
          </w:p>
        </w:tc>
        <w:tc>
          <w:tcPr>
            <w:tcW w:w="420" w:type="dxa"/>
            <w:vAlign w:val="bottom"/>
            <w:tcBorders>
              <w:bottom w:val="single" w:sz="8" w:color="007CBA"/>
            </w:tcBorders>
            <w:shd w:val="clear" w:color="auto" w:fill="007CBA"/>
          </w:tcPr>
          <w:p>
            <w:pPr>
              <w:spacing w:after="0"/>
              <w:rPr>
                <w:sz w:val="22"/>
                <w:szCs w:val="22"/>
                <w:color w:val="auto"/>
              </w:rPr>
            </w:pPr>
          </w:p>
        </w:tc>
        <w:tc>
          <w:tcPr>
            <w:tcW w:w="1260" w:type="dxa"/>
            <w:vAlign w:val="bottom"/>
            <w:tcBorders>
              <w:bottom w:val="single" w:sz="8" w:color="007CBA"/>
              <w:right w:val="single" w:sz="8" w:color="007CBA"/>
            </w:tcBorders>
            <w:shd w:val="clear" w:color="auto" w:fill="007CBA"/>
          </w:tcPr>
          <w:p>
            <w:pPr>
              <w:jc w:val="center"/>
              <w:ind w:right="330"/>
              <w:spacing w:after="0"/>
              <w:rPr>
                <w:sz w:val="20"/>
                <w:szCs w:val="20"/>
                <w:color w:val="auto"/>
              </w:rPr>
            </w:pPr>
            <w:r>
              <w:rPr>
                <w:rFonts w:ascii="Calibri" w:cs="Calibri" w:eastAsia="Calibri" w:hAnsi="Calibri"/>
                <w:sz w:val="18"/>
                <w:szCs w:val="18"/>
                <w:b w:val="1"/>
                <w:bCs w:val="1"/>
                <w:color w:val="FFFFFF"/>
                <w:w w:val="98"/>
              </w:rPr>
              <w:t>2023</w:t>
            </w:r>
          </w:p>
        </w:tc>
        <w:tc>
          <w:tcPr>
            <w:tcW w:w="460" w:type="dxa"/>
            <w:vAlign w:val="bottom"/>
            <w:tcBorders>
              <w:bottom w:val="single" w:sz="8" w:color="007CBA"/>
            </w:tcBorders>
            <w:shd w:val="clear" w:color="auto" w:fill="007CBA"/>
          </w:tcPr>
          <w:p>
            <w:pPr>
              <w:spacing w:after="0"/>
              <w:rPr>
                <w:sz w:val="22"/>
                <w:szCs w:val="22"/>
                <w:color w:val="auto"/>
              </w:rPr>
            </w:pPr>
          </w:p>
        </w:tc>
        <w:tc>
          <w:tcPr>
            <w:tcW w:w="1180" w:type="dxa"/>
            <w:vAlign w:val="bottom"/>
            <w:tcBorders>
              <w:bottom w:val="single" w:sz="8" w:color="007CBA"/>
            </w:tcBorders>
            <w:shd w:val="clear" w:color="auto" w:fill="007CBA"/>
          </w:tcPr>
          <w:p>
            <w:pPr>
              <w:spacing w:after="0"/>
              <w:rPr>
                <w:sz w:val="22"/>
                <w:szCs w:val="22"/>
                <w:color w:val="auto"/>
              </w:rPr>
            </w:pPr>
          </w:p>
        </w:tc>
      </w:tr>
      <w:tr>
        <w:trPr>
          <w:trHeight w:val="215"/>
        </w:trPr>
        <w:tc>
          <w:tcPr>
            <w:tcW w:w="6220" w:type="dxa"/>
            <w:vAlign w:val="bottom"/>
          </w:tcPr>
          <w:p>
            <w:pPr>
              <w:ind w:left="120"/>
              <w:spacing w:after="0" w:line="215" w:lineRule="exact"/>
              <w:rPr>
                <w:sz w:val="20"/>
                <w:szCs w:val="20"/>
                <w:color w:val="auto"/>
              </w:rPr>
            </w:pPr>
            <w:r>
              <w:rPr>
                <w:rFonts w:ascii="Calibri" w:cs="Calibri" w:eastAsia="Calibri" w:hAnsi="Calibri"/>
                <w:sz w:val="18"/>
                <w:szCs w:val="18"/>
                <w:color w:val="auto"/>
              </w:rPr>
              <w:t>Accumulated other comprehensive loss at beginning of period</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(36.5 )</w:t>
            </w:r>
          </w:p>
        </w:tc>
        <w:tc>
          <w:tcPr>
            <w:tcW w:w="42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(2.0 )</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(38.5 )</w:t>
            </w:r>
          </w:p>
        </w:tc>
      </w:tr>
      <w:tr>
        <w:trPr>
          <w:trHeight w:val="28"/>
        </w:trPr>
        <w:tc>
          <w:tcPr>
            <w:tcW w:w="6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1"/>
        </w:trPr>
        <w:tc>
          <w:tcPr>
            <w:tcW w:w="6220" w:type="dxa"/>
            <w:vAlign w:val="bottom"/>
            <w:tcBorders>
              <w:right w:val="single" w:sz="8" w:color="007CBA"/>
            </w:tcBorders>
            <w:shd w:val="clear" w:color="auto" w:fill="E5F1F8"/>
          </w:tcPr>
          <w:p>
            <w:pPr>
              <w:ind w:left="120"/>
              <w:spacing w:after="0" w:line="201" w:lineRule="exact"/>
              <w:rPr>
                <w:sz w:val="20"/>
                <w:szCs w:val="20"/>
                <w:color w:val="auto"/>
              </w:rPr>
            </w:pPr>
            <w:r>
              <w:rPr>
                <w:rFonts w:ascii="Calibri" w:cs="Calibri" w:eastAsia="Calibri" w:hAnsi="Calibri"/>
                <w:sz w:val="18"/>
                <w:szCs w:val="18"/>
                <w:color w:val="auto"/>
              </w:rPr>
              <w:t>Other comprehensive (loss) earnings before</w:t>
            </w:r>
          </w:p>
        </w:tc>
        <w:tc>
          <w:tcPr>
            <w:tcW w:w="300" w:type="dxa"/>
            <w:vAlign w:val="bottom"/>
            <w:shd w:val="clear" w:color="auto" w:fill="E5F1F8"/>
          </w:tcPr>
          <w:p>
            <w:pPr>
              <w:spacing w:after="0"/>
              <w:rPr>
                <w:sz w:val="17"/>
                <w:szCs w:val="17"/>
                <w:color w:val="auto"/>
              </w:rPr>
            </w:pPr>
          </w:p>
        </w:tc>
        <w:tc>
          <w:tcPr>
            <w:tcW w:w="1400" w:type="dxa"/>
            <w:vAlign w:val="bottom"/>
            <w:tcBorders>
              <w:right w:val="single" w:sz="8" w:color="007CBA"/>
            </w:tcBorders>
            <w:shd w:val="clear" w:color="auto" w:fill="E5F1F8"/>
          </w:tcPr>
          <w:p>
            <w:pPr>
              <w:spacing w:after="0"/>
              <w:rPr>
                <w:sz w:val="17"/>
                <w:szCs w:val="17"/>
                <w:color w:val="auto"/>
              </w:rPr>
            </w:pPr>
          </w:p>
        </w:tc>
        <w:tc>
          <w:tcPr>
            <w:tcW w:w="420" w:type="dxa"/>
            <w:vAlign w:val="bottom"/>
            <w:shd w:val="clear" w:color="auto" w:fill="E5F1F8"/>
          </w:tcPr>
          <w:p>
            <w:pPr>
              <w:spacing w:after="0"/>
              <w:rPr>
                <w:sz w:val="17"/>
                <w:szCs w:val="17"/>
                <w:color w:val="auto"/>
              </w:rPr>
            </w:pPr>
          </w:p>
        </w:tc>
        <w:tc>
          <w:tcPr>
            <w:tcW w:w="1260" w:type="dxa"/>
            <w:vAlign w:val="bottom"/>
            <w:tcBorders>
              <w:right w:val="single" w:sz="8" w:color="007CBA"/>
            </w:tcBorders>
            <w:shd w:val="clear" w:color="auto" w:fill="E5F1F8"/>
          </w:tcPr>
          <w:p>
            <w:pPr>
              <w:spacing w:after="0"/>
              <w:rPr>
                <w:sz w:val="17"/>
                <w:szCs w:val="17"/>
                <w:color w:val="auto"/>
              </w:rPr>
            </w:pPr>
          </w:p>
        </w:tc>
        <w:tc>
          <w:tcPr>
            <w:tcW w:w="460" w:type="dxa"/>
            <w:vAlign w:val="bottom"/>
            <w:shd w:val="clear" w:color="auto" w:fill="E5F1F8"/>
          </w:tcPr>
          <w:p>
            <w:pPr>
              <w:spacing w:after="0"/>
              <w:rPr>
                <w:sz w:val="17"/>
                <w:szCs w:val="17"/>
                <w:color w:val="auto"/>
              </w:rPr>
            </w:pPr>
          </w:p>
        </w:tc>
        <w:tc>
          <w:tcPr>
            <w:tcW w:w="1180" w:type="dxa"/>
            <w:vAlign w:val="bottom"/>
            <w:shd w:val="clear" w:color="auto" w:fill="E5F1F8"/>
          </w:tcPr>
          <w:p>
            <w:pPr>
              <w:spacing w:after="0"/>
              <w:rPr>
                <w:sz w:val="17"/>
                <w:szCs w:val="17"/>
                <w:color w:val="auto"/>
              </w:rPr>
            </w:pPr>
          </w:p>
        </w:tc>
      </w:tr>
      <w:tr>
        <w:trPr>
          <w:trHeight w:val="232"/>
        </w:trPr>
        <w:tc>
          <w:tcPr>
            <w:tcW w:w="6220" w:type="dxa"/>
            <w:vAlign w:val="bottom"/>
            <w:tcBorders>
              <w:bottom w:val="single" w:sz="8" w:color="E5F1F8"/>
              <w:right w:val="single" w:sz="8" w:color="007CBA"/>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reclassifcatons, net of tax</w:t>
            </w:r>
          </w:p>
        </w:tc>
        <w:tc>
          <w:tcPr>
            <w:tcW w:w="300" w:type="dxa"/>
            <w:vAlign w:val="bottom"/>
            <w:tcBorders>
              <w:bottom w:val="single" w:sz="8" w:color="E5F1F8"/>
            </w:tcBorders>
            <w:shd w:val="clear" w:color="auto" w:fill="E5F1F8"/>
          </w:tcPr>
          <w:p>
            <w:pPr>
              <w:spacing w:after="0"/>
              <w:rPr>
                <w:sz w:val="20"/>
                <w:szCs w:val="20"/>
                <w:color w:val="auto"/>
              </w:rPr>
            </w:pPr>
          </w:p>
        </w:tc>
        <w:tc>
          <w:tcPr>
            <w:tcW w:w="140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(15.7 )</w:t>
            </w:r>
          </w:p>
        </w:tc>
        <w:tc>
          <w:tcPr>
            <w:tcW w:w="420" w:type="dxa"/>
            <w:vAlign w:val="bottom"/>
            <w:tcBorders>
              <w:bottom w:val="single" w:sz="8" w:color="E5F1F8"/>
            </w:tcBorders>
            <w:shd w:val="clear" w:color="auto" w:fill="E5F1F8"/>
          </w:tcPr>
          <w:p>
            <w:pPr>
              <w:spacing w:after="0"/>
              <w:rPr>
                <w:sz w:val="20"/>
                <w:szCs w:val="20"/>
                <w:color w:val="auto"/>
              </w:rPr>
            </w:pPr>
          </w:p>
        </w:tc>
        <w:tc>
          <w:tcPr>
            <w:tcW w:w="12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0.8</w:t>
            </w:r>
          </w:p>
        </w:tc>
        <w:tc>
          <w:tcPr>
            <w:tcW w:w="460" w:type="dxa"/>
            <w:vAlign w:val="bottom"/>
            <w:tcBorders>
              <w:bottom w:val="single" w:sz="8" w:color="E5F1F8"/>
            </w:tcBorders>
            <w:shd w:val="clear" w:color="auto" w:fill="E5F1F8"/>
          </w:tcPr>
          <w:p>
            <w:pPr>
              <w:spacing w:after="0"/>
              <w:rPr>
                <w:sz w:val="20"/>
                <w:szCs w:val="20"/>
                <w:color w:val="auto"/>
              </w:rPr>
            </w:pPr>
          </w:p>
        </w:tc>
        <w:tc>
          <w:tcPr>
            <w:tcW w:w="118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(14.9 )</w:t>
            </w:r>
          </w:p>
        </w:tc>
      </w:tr>
      <w:tr>
        <w:trPr>
          <w:trHeight w:val="207"/>
        </w:trPr>
        <w:tc>
          <w:tcPr>
            <w:tcW w:w="6220" w:type="dxa"/>
            <w:vAlign w:val="bottom"/>
          </w:tcPr>
          <w:p>
            <w:pPr>
              <w:ind w:left="120"/>
              <w:spacing w:after="0" w:line="207" w:lineRule="exact"/>
              <w:rPr>
                <w:sz w:val="20"/>
                <w:szCs w:val="20"/>
                <w:color w:val="auto"/>
              </w:rPr>
            </w:pPr>
            <w:r>
              <w:rPr>
                <w:rFonts w:ascii="Calibri" w:cs="Calibri" w:eastAsia="Calibri" w:hAnsi="Calibri"/>
                <w:sz w:val="18"/>
                <w:szCs w:val="18"/>
                <w:color w:val="auto"/>
              </w:rPr>
              <w:t>Amounts reclassifed from accumulated other</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6220" w:type="dxa"/>
            <w:vAlign w:val="bottom"/>
          </w:tcPr>
          <w:p>
            <w:pPr>
              <w:ind w:left="240"/>
              <w:spacing w:after="0" w:line="215" w:lineRule="exact"/>
              <w:rPr>
                <w:sz w:val="20"/>
                <w:szCs w:val="20"/>
                <w:color w:val="auto"/>
              </w:rPr>
            </w:pPr>
            <w:r>
              <w:rPr>
                <w:rFonts w:ascii="Calibri" w:cs="Calibri" w:eastAsia="Calibri" w:hAnsi="Calibri"/>
                <w:sz w:val="18"/>
                <w:szCs w:val="18"/>
                <w:color w:val="auto"/>
              </w:rPr>
              <w:t>comprehensive loss, net of tax</w:t>
            </w:r>
          </w:p>
        </w:tc>
        <w:tc>
          <w:tcPr>
            <w:tcW w:w="300" w:type="dxa"/>
            <w:vAlign w:val="bottom"/>
          </w:tcPr>
          <w:p>
            <w:pPr>
              <w:spacing w:after="0"/>
              <w:rPr>
                <w:sz w:val="18"/>
                <w:szCs w:val="18"/>
                <w:color w:val="auto"/>
              </w:rPr>
            </w:pPr>
          </w:p>
        </w:tc>
        <w:tc>
          <w:tcPr>
            <w:tcW w:w="140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4.2</w:t>
            </w:r>
          </w:p>
        </w:tc>
        <w:tc>
          <w:tcPr>
            <w:tcW w:w="420" w:type="dxa"/>
            <w:vAlign w:val="bottom"/>
          </w:tcPr>
          <w:p>
            <w:pPr>
              <w:spacing w:after="0"/>
              <w:rPr>
                <w:sz w:val="18"/>
                <w:szCs w:val="18"/>
                <w:color w:val="auto"/>
              </w:rPr>
            </w:pPr>
          </w:p>
        </w:tc>
        <w:tc>
          <w:tcPr>
            <w:tcW w:w="12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Pr>
          <w:p>
            <w:pPr>
              <w:spacing w:after="0"/>
              <w:rPr>
                <w:sz w:val="18"/>
                <w:szCs w:val="18"/>
                <w:color w:val="auto"/>
              </w:rPr>
            </w:pPr>
          </w:p>
        </w:tc>
        <w:tc>
          <w:tcPr>
            <w:tcW w:w="118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4.2</w:t>
            </w:r>
          </w:p>
        </w:tc>
      </w:tr>
      <w:tr>
        <w:trPr>
          <w:trHeight w:val="37"/>
        </w:trPr>
        <w:tc>
          <w:tcPr>
            <w:tcW w:w="6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2"/>
        </w:trPr>
        <w:tc>
          <w:tcPr>
            <w:tcW w:w="622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Other comprehensive (loss) earnings, net of tax</w:t>
            </w:r>
          </w:p>
        </w:tc>
        <w:tc>
          <w:tcPr>
            <w:tcW w:w="300" w:type="dxa"/>
            <w:vAlign w:val="bottom"/>
            <w:tcBorders>
              <w:bottom w:val="single" w:sz="8" w:color="E5F1F8"/>
            </w:tcBorders>
            <w:shd w:val="clear" w:color="auto" w:fill="E5F1F8"/>
          </w:tcPr>
          <w:p>
            <w:pPr>
              <w:spacing w:after="0"/>
              <w:rPr>
                <w:sz w:val="20"/>
                <w:szCs w:val="20"/>
                <w:color w:val="auto"/>
              </w:rPr>
            </w:pPr>
          </w:p>
        </w:tc>
        <w:tc>
          <w:tcPr>
            <w:tcW w:w="140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(11.5 )</w:t>
            </w:r>
          </w:p>
        </w:tc>
        <w:tc>
          <w:tcPr>
            <w:tcW w:w="420" w:type="dxa"/>
            <w:vAlign w:val="bottom"/>
            <w:tcBorders>
              <w:bottom w:val="single" w:sz="8" w:color="E5F1F8"/>
            </w:tcBorders>
            <w:shd w:val="clear" w:color="auto" w:fill="E5F1F8"/>
          </w:tcPr>
          <w:p>
            <w:pPr>
              <w:spacing w:after="0"/>
              <w:rPr>
                <w:sz w:val="20"/>
                <w:szCs w:val="20"/>
                <w:color w:val="auto"/>
              </w:rPr>
            </w:pPr>
          </w:p>
        </w:tc>
        <w:tc>
          <w:tcPr>
            <w:tcW w:w="126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0.8</w:t>
            </w:r>
          </w:p>
        </w:tc>
        <w:tc>
          <w:tcPr>
            <w:tcW w:w="460" w:type="dxa"/>
            <w:vAlign w:val="bottom"/>
            <w:tcBorders>
              <w:bottom w:val="single" w:sz="8" w:color="E5F1F8"/>
            </w:tcBorders>
            <w:shd w:val="clear" w:color="auto" w:fill="E5F1F8"/>
          </w:tcPr>
          <w:p>
            <w:pPr>
              <w:spacing w:after="0"/>
              <w:rPr>
                <w:sz w:val="20"/>
                <w:szCs w:val="20"/>
                <w:color w:val="auto"/>
              </w:rPr>
            </w:pPr>
          </w:p>
        </w:tc>
        <w:tc>
          <w:tcPr>
            <w:tcW w:w="118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(10.7 )</w:t>
            </w:r>
          </w:p>
        </w:tc>
      </w:tr>
      <w:tr>
        <w:trPr>
          <w:trHeight w:val="208"/>
        </w:trPr>
        <w:tc>
          <w:tcPr>
            <w:tcW w:w="622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Accumulated other comprehensive loss at end of period</w:t>
            </w:r>
          </w:p>
        </w:tc>
        <w:tc>
          <w:tcPr>
            <w:tcW w:w="3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(48.0 )</w:t>
            </w:r>
          </w:p>
        </w:tc>
        <w:tc>
          <w:tcPr>
            <w:tcW w:w="42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w:t>
            </w:r>
          </w:p>
        </w:tc>
        <w:tc>
          <w:tcPr>
            <w:tcW w:w="12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(1.2 )</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(49.2 )</w:t>
            </w:r>
          </w:p>
        </w:tc>
      </w:tr>
      <w:tr>
        <w:trPr>
          <w:trHeight w:val="28"/>
        </w:trPr>
        <w:tc>
          <w:tcPr>
            <w:tcW w:w="6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8"/>
        </w:trPr>
        <w:tc>
          <w:tcPr>
            <w:tcW w:w="6220" w:type="dxa"/>
            <w:vAlign w:val="bottom"/>
            <w:tcBorders>
              <w:bottom w:val="single" w:sz="8" w:color="E5F1F8"/>
              <w:right w:val="single" w:sz="8" w:color="E5F1F8"/>
            </w:tcBorders>
            <w:shd w:val="clear" w:color="auto" w:fill="E5F1F8"/>
          </w:tcPr>
          <w:p>
            <w:pPr>
              <w:ind w:left="120"/>
              <w:spacing w:after="0" w:line="196" w:lineRule="exact"/>
              <w:rPr>
                <w:sz w:val="20"/>
                <w:szCs w:val="20"/>
                <w:color w:val="auto"/>
              </w:rPr>
            </w:pPr>
            <w:r>
              <w:rPr>
                <w:rFonts w:ascii="Calibri" w:cs="Calibri" w:eastAsia="Calibri" w:hAnsi="Calibri"/>
                <w:sz w:val="18"/>
                <w:szCs w:val="18"/>
                <w:color w:val="auto"/>
              </w:rPr>
              <w:t>Cumulatve noncurrent deferred tax assets at end of period</w:t>
            </w:r>
          </w:p>
        </w:tc>
        <w:tc>
          <w:tcPr>
            <w:tcW w:w="300" w:type="dxa"/>
            <w:vAlign w:val="bottom"/>
            <w:tcBorders>
              <w:bottom w:val="single" w:sz="8" w:color="E5F1F8"/>
            </w:tcBorders>
            <w:shd w:val="clear" w:color="auto" w:fill="E5F1F8"/>
          </w:tcPr>
          <w:p>
            <w:pPr>
              <w:jc w:val="right"/>
              <w:spacing w:after="0" w:line="196"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bottom w:val="single" w:sz="8" w:color="E5F1F8"/>
              <w:right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b w:val="1"/>
                <w:bCs w:val="1"/>
                <w:color w:val="auto"/>
              </w:rPr>
              <w:t>53.8</w:t>
            </w:r>
          </w:p>
        </w:tc>
        <w:tc>
          <w:tcPr>
            <w:tcW w:w="420" w:type="dxa"/>
            <w:vAlign w:val="bottom"/>
            <w:tcBorders>
              <w:bottom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b w:val="1"/>
                <w:bCs w:val="1"/>
                <w:color w:val="auto"/>
              </w:rPr>
              <w:t>$</w:t>
            </w:r>
          </w:p>
        </w:tc>
        <w:tc>
          <w:tcPr>
            <w:tcW w:w="1260" w:type="dxa"/>
            <w:vAlign w:val="bottom"/>
            <w:tcBorders>
              <w:bottom w:val="single" w:sz="8" w:color="E5F1F8"/>
              <w:right w:val="single" w:sz="8" w:color="E5F1F8"/>
            </w:tcBorders>
            <w:shd w:val="clear" w:color="auto" w:fill="E5F1F8"/>
          </w:tcPr>
          <w:p>
            <w:pPr>
              <w:jc w:val="right"/>
              <w:ind w:right="30"/>
              <w:spacing w:after="0" w:line="196"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bottom w:val="single" w:sz="8" w:color="E5F1F8"/>
            </w:tcBorders>
            <w:shd w:val="clear" w:color="auto" w:fill="E5F1F8"/>
          </w:tcPr>
          <w:p>
            <w:pPr>
              <w:jc w:val="right"/>
              <w:ind w:right="110"/>
              <w:spacing w:after="0" w:line="196" w:lineRule="exact"/>
              <w:rPr>
                <w:sz w:val="20"/>
                <w:szCs w:val="20"/>
                <w:color w:val="auto"/>
              </w:rPr>
            </w:pPr>
            <w:r>
              <w:rPr>
                <w:rFonts w:ascii="Calibri" w:cs="Calibri" w:eastAsia="Calibri" w:hAnsi="Calibri"/>
                <w:sz w:val="18"/>
                <w:szCs w:val="18"/>
                <w:b w:val="1"/>
                <w:bCs w:val="1"/>
                <w:color w:val="auto"/>
              </w:rPr>
              <w:t>$</w:t>
            </w:r>
          </w:p>
        </w:tc>
        <w:tc>
          <w:tcPr>
            <w:tcW w:w="1180" w:type="dxa"/>
            <w:vAlign w:val="bottom"/>
            <w:tcBorders>
              <w:bottom w:val="single" w:sz="8" w:color="E5F1F8"/>
            </w:tcBorders>
            <w:shd w:val="clear" w:color="auto" w:fill="E5F1F8"/>
          </w:tcPr>
          <w:p>
            <w:pPr>
              <w:jc w:val="right"/>
              <w:ind w:right="30"/>
              <w:spacing w:after="0" w:line="196" w:lineRule="exact"/>
              <w:rPr>
                <w:sz w:val="20"/>
                <w:szCs w:val="20"/>
                <w:color w:val="auto"/>
              </w:rPr>
            </w:pPr>
            <w:r>
              <w:rPr>
                <w:rFonts w:ascii="Calibri" w:cs="Calibri" w:eastAsia="Calibri" w:hAnsi="Calibri"/>
                <w:sz w:val="18"/>
                <w:szCs w:val="18"/>
                <w:b w:val="1"/>
                <w:bCs w:val="1"/>
                <w:color w:val="auto"/>
              </w:rPr>
              <w:t>53.8</w:t>
            </w:r>
          </w:p>
        </w:tc>
      </w:tr>
      <w:tr>
        <w:trPr>
          <w:trHeight w:val="237"/>
        </w:trPr>
        <w:tc>
          <w:tcPr>
            <w:tcW w:w="6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23"/>
        </w:trPr>
        <w:tc>
          <w:tcPr>
            <w:tcW w:w="6220" w:type="dxa"/>
            <w:vAlign w:val="bottom"/>
            <w:tcBorders>
              <w:bottom w:val="single" w:sz="8" w:color="007CBA"/>
              <w:right w:val="single" w:sz="8" w:color="007CBA"/>
            </w:tcBorders>
            <w:shd w:val="clear" w:color="auto" w:fill="007CBA"/>
          </w:tcPr>
          <w:p>
            <w:pPr>
              <w:spacing w:after="0"/>
              <w:rPr>
                <w:sz w:val="19"/>
                <w:szCs w:val="19"/>
                <w:color w:val="auto"/>
              </w:rPr>
            </w:pPr>
          </w:p>
        </w:tc>
        <w:tc>
          <w:tcPr>
            <w:tcW w:w="300" w:type="dxa"/>
            <w:vAlign w:val="bottom"/>
            <w:tcBorders>
              <w:bottom w:val="single" w:sz="8" w:color="007CBA"/>
            </w:tcBorders>
            <w:shd w:val="clear" w:color="auto" w:fill="007CBA"/>
          </w:tcPr>
          <w:p>
            <w:pPr>
              <w:spacing w:after="0"/>
              <w:rPr>
                <w:sz w:val="19"/>
                <w:szCs w:val="19"/>
                <w:color w:val="auto"/>
              </w:rPr>
            </w:pPr>
          </w:p>
        </w:tc>
        <w:tc>
          <w:tcPr>
            <w:tcW w:w="1400" w:type="dxa"/>
            <w:vAlign w:val="bottom"/>
            <w:tcBorders>
              <w:bottom w:val="single" w:sz="8" w:color="007CBA"/>
              <w:right w:val="single" w:sz="8" w:color="007CBA"/>
            </w:tcBorders>
            <w:shd w:val="clear" w:color="auto" w:fill="007CBA"/>
          </w:tcPr>
          <w:p>
            <w:pPr>
              <w:spacing w:after="0"/>
              <w:rPr>
                <w:sz w:val="19"/>
                <w:szCs w:val="19"/>
                <w:color w:val="auto"/>
              </w:rPr>
            </w:pPr>
          </w:p>
        </w:tc>
        <w:tc>
          <w:tcPr>
            <w:tcW w:w="420" w:type="dxa"/>
            <w:vAlign w:val="bottom"/>
            <w:tcBorders>
              <w:bottom w:val="single" w:sz="8" w:color="007CBA"/>
            </w:tcBorders>
            <w:shd w:val="clear" w:color="auto" w:fill="007CBA"/>
          </w:tcPr>
          <w:p>
            <w:pPr>
              <w:spacing w:after="0"/>
              <w:rPr>
                <w:sz w:val="19"/>
                <w:szCs w:val="19"/>
                <w:color w:val="auto"/>
              </w:rPr>
            </w:pPr>
          </w:p>
        </w:tc>
        <w:tc>
          <w:tcPr>
            <w:tcW w:w="1260" w:type="dxa"/>
            <w:vAlign w:val="bottom"/>
            <w:tcBorders>
              <w:bottom w:val="single" w:sz="8" w:color="007CBA"/>
              <w:right w:val="single" w:sz="8" w:color="007CBA"/>
            </w:tcBorders>
            <w:shd w:val="clear" w:color="auto" w:fill="007CBA"/>
          </w:tcPr>
          <w:p>
            <w:pPr>
              <w:jc w:val="center"/>
              <w:ind w:right="330"/>
              <w:spacing w:after="0" w:line="215" w:lineRule="exact"/>
              <w:rPr>
                <w:sz w:val="20"/>
                <w:szCs w:val="20"/>
                <w:color w:val="auto"/>
              </w:rPr>
            </w:pPr>
            <w:r>
              <w:rPr>
                <w:rFonts w:ascii="Calibri" w:cs="Calibri" w:eastAsia="Calibri" w:hAnsi="Calibri"/>
                <w:sz w:val="18"/>
                <w:szCs w:val="18"/>
                <w:color w:val="FFFFFF"/>
                <w:w w:val="98"/>
              </w:rPr>
              <w:t>2022</w:t>
            </w:r>
          </w:p>
        </w:tc>
        <w:tc>
          <w:tcPr>
            <w:tcW w:w="460" w:type="dxa"/>
            <w:vAlign w:val="bottom"/>
            <w:tcBorders>
              <w:bottom w:val="single" w:sz="8" w:color="007CBA"/>
            </w:tcBorders>
            <w:shd w:val="clear" w:color="auto" w:fill="007CBA"/>
          </w:tcPr>
          <w:p>
            <w:pPr>
              <w:spacing w:after="0"/>
              <w:rPr>
                <w:sz w:val="19"/>
                <w:szCs w:val="19"/>
                <w:color w:val="auto"/>
              </w:rPr>
            </w:pPr>
          </w:p>
        </w:tc>
        <w:tc>
          <w:tcPr>
            <w:tcW w:w="1180" w:type="dxa"/>
            <w:vAlign w:val="bottom"/>
            <w:tcBorders>
              <w:bottom w:val="single" w:sz="8" w:color="007CBA"/>
            </w:tcBorders>
            <w:shd w:val="clear" w:color="auto" w:fill="007CBA"/>
          </w:tcPr>
          <w:p>
            <w:pPr>
              <w:spacing w:after="0"/>
              <w:rPr>
                <w:sz w:val="19"/>
                <w:szCs w:val="19"/>
                <w:color w:val="auto"/>
              </w:rPr>
            </w:pPr>
          </w:p>
        </w:tc>
      </w:tr>
      <w:tr>
        <w:trPr>
          <w:trHeight w:val="215"/>
        </w:trPr>
        <w:tc>
          <w:tcPr>
            <w:tcW w:w="6220" w:type="dxa"/>
            <w:vAlign w:val="bottom"/>
          </w:tcPr>
          <w:p>
            <w:pPr>
              <w:ind w:left="120"/>
              <w:spacing w:after="0" w:line="215" w:lineRule="exact"/>
              <w:rPr>
                <w:sz w:val="20"/>
                <w:szCs w:val="20"/>
                <w:color w:val="auto"/>
              </w:rPr>
            </w:pPr>
            <w:r>
              <w:rPr>
                <w:rFonts w:ascii="Calibri" w:cs="Calibri" w:eastAsia="Calibri" w:hAnsi="Calibri"/>
                <w:sz w:val="18"/>
                <w:szCs w:val="18"/>
                <w:color w:val="auto"/>
              </w:rPr>
              <w:t>Accumulated other comprehensive loss at beginning of period</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(97.6 )</w:t>
            </w:r>
          </w:p>
        </w:tc>
        <w:tc>
          <w:tcPr>
            <w:tcW w:w="4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(97.6 )</w:t>
            </w:r>
          </w:p>
        </w:tc>
      </w:tr>
      <w:tr>
        <w:trPr>
          <w:trHeight w:val="28"/>
        </w:trPr>
        <w:tc>
          <w:tcPr>
            <w:tcW w:w="6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1"/>
        </w:trPr>
        <w:tc>
          <w:tcPr>
            <w:tcW w:w="6220" w:type="dxa"/>
            <w:vAlign w:val="bottom"/>
            <w:tcBorders>
              <w:right w:val="single" w:sz="8" w:color="007CBA"/>
            </w:tcBorders>
            <w:shd w:val="clear" w:color="auto" w:fill="E5F1F8"/>
          </w:tcPr>
          <w:p>
            <w:pPr>
              <w:ind w:left="120"/>
              <w:spacing w:after="0" w:line="201" w:lineRule="exact"/>
              <w:rPr>
                <w:sz w:val="20"/>
                <w:szCs w:val="20"/>
                <w:color w:val="auto"/>
              </w:rPr>
            </w:pPr>
            <w:r>
              <w:rPr>
                <w:rFonts w:ascii="Calibri" w:cs="Calibri" w:eastAsia="Calibri" w:hAnsi="Calibri"/>
                <w:sz w:val="18"/>
                <w:szCs w:val="18"/>
                <w:color w:val="auto"/>
              </w:rPr>
              <w:t>Other comprehensive earnings (loss) before</w:t>
            </w:r>
          </w:p>
        </w:tc>
        <w:tc>
          <w:tcPr>
            <w:tcW w:w="300" w:type="dxa"/>
            <w:vAlign w:val="bottom"/>
            <w:shd w:val="clear" w:color="auto" w:fill="E5F1F8"/>
          </w:tcPr>
          <w:p>
            <w:pPr>
              <w:spacing w:after="0"/>
              <w:rPr>
                <w:sz w:val="17"/>
                <w:szCs w:val="17"/>
                <w:color w:val="auto"/>
              </w:rPr>
            </w:pPr>
          </w:p>
        </w:tc>
        <w:tc>
          <w:tcPr>
            <w:tcW w:w="1400" w:type="dxa"/>
            <w:vAlign w:val="bottom"/>
            <w:tcBorders>
              <w:right w:val="single" w:sz="8" w:color="007CBA"/>
            </w:tcBorders>
            <w:shd w:val="clear" w:color="auto" w:fill="E5F1F8"/>
          </w:tcPr>
          <w:p>
            <w:pPr>
              <w:spacing w:after="0"/>
              <w:rPr>
                <w:sz w:val="17"/>
                <w:szCs w:val="17"/>
                <w:color w:val="auto"/>
              </w:rPr>
            </w:pPr>
          </w:p>
        </w:tc>
        <w:tc>
          <w:tcPr>
            <w:tcW w:w="420" w:type="dxa"/>
            <w:vAlign w:val="bottom"/>
            <w:shd w:val="clear" w:color="auto" w:fill="E5F1F8"/>
          </w:tcPr>
          <w:p>
            <w:pPr>
              <w:spacing w:after="0"/>
              <w:rPr>
                <w:sz w:val="17"/>
                <w:szCs w:val="17"/>
                <w:color w:val="auto"/>
              </w:rPr>
            </w:pPr>
          </w:p>
        </w:tc>
        <w:tc>
          <w:tcPr>
            <w:tcW w:w="1260" w:type="dxa"/>
            <w:vAlign w:val="bottom"/>
            <w:tcBorders>
              <w:right w:val="single" w:sz="8" w:color="007CBA"/>
            </w:tcBorders>
            <w:shd w:val="clear" w:color="auto" w:fill="E5F1F8"/>
          </w:tcPr>
          <w:p>
            <w:pPr>
              <w:spacing w:after="0"/>
              <w:rPr>
                <w:sz w:val="17"/>
                <w:szCs w:val="17"/>
                <w:color w:val="auto"/>
              </w:rPr>
            </w:pPr>
          </w:p>
        </w:tc>
        <w:tc>
          <w:tcPr>
            <w:tcW w:w="460" w:type="dxa"/>
            <w:vAlign w:val="bottom"/>
            <w:shd w:val="clear" w:color="auto" w:fill="E5F1F8"/>
          </w:tcPr>
          <w:p>
            <w:pPr>
              <w:spacing w:after="0"/>
              <w:rPr>
                <w:sz w:val="17"/>
                <w:szCs w:val="17"/>
                <w:color w:val="auto"/>
              </w:rPr>
            </w:pPr>
          </w:p>
        </w:tc>
        <w:tc>
          <w:tcPr>
            <w:tcW w:w="1180" w:type="dxa"/>
            <w:vAlign w:val="bottom"/>
            <w:shd w:val="clear" w:color="auto" w:fill="E5F1F8"/>
          </w:tcPr>
          <w:p>
            <w:pPr>
              <w:spacing w:after="0"/>
              <w:rPr>
                <w:sz w:val="17"/>
                <w:szCs w:val="17"/>
                <w:color w:val="auto"/>
              </w:rPr>
            </w:pPr>
          </w:p>
        </w:tc>
      </w:tr>
      <w:tr>
        <w:trPr>
          <w:trHeight w:val="232"/>
        </w:trPr>
        <w:tc>
          <w:tcPr>
            <w:tcW w:w="6220" w:type="dxa"/>
            <w:vAlign w:val="bottom"/>
            <w:tcBorders>
              <w:bottom w:val="single" w:sz="8" w:color="E5F1F8"/>
              <w:right w:val="single" w:sz="8" w:color="007CBA"/>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reclassifcatons, net of tax</w:t>
            </w:r>
          </w:p>
        </w:tc>
        <w:tc>
          <w:tcPr>
            <w:tcW w:w="300" w:type="dxa"/>
            <w:vAlign w:val="bottom"/>
            <w:tcBorders>
              <w:bottom w:val="single" w:sz="8" w:color="E5F1F8"/>
            </w:tcBorders>
            <w:shd w:val="clear" w:color="auto" w:fill="E5F1F8"/>
          </w:tcPr>
          <w:p>
            <w:pPr>
              <w:spacing w:after="0"/>
              <w:rPr>
                <w:sz w:val="20"/>
                <w:szCs w:val="20"/>
                <w:color w:val="auto"/>
              </w:rPr>
            </w:pPr>
          </w:p>
        </w:tc>
        <w:tc>
          <w:tcPr>
            <w:tcW w:w="14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51.6</w:t>
            </w:r>
          </w:p>
        </w:tc>
        <w:tc>
          <w:tcPr>
            <w:tcW w:w="420" w:type="dxa"/>
            <w:vAlign w:val="bottom"/>
            <w:tcBorders>
              <w:bottom w:val="single" w:sz="8" w:color="E5F1F8"/>
            </w:tcBorders>
            <w:shd w:val="clear" w:color="auto" w:fill="E5F1F8"/>
          </w:tcPr>
          <w:p>
            <w:pPr>
              <w:spacing w:after="0"/>
              <w:rPr>
                <w:sz w:val="20"/>
                <w:szCs w:val="20"/>
                <w:color w:val="auto"/>
              </w:rPr>
            </w:pPr>
          </w:p>
        </w:tc>
        <w:tc>
          <w:tcPr>
            <w:tcW w:w="126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(2.0 )</w:t>
            </w:r>
          </w:p>
        </w:tc>
        <w:tc>
          <w:tcPr>
            <w:tcW w:w="460" w:type="dxa"/>
            <w:vAlign w:val="bottom"/>
            <w:tcBorders>
              <w:bottom w:val="single" w:sz="8" w:color="E5F1F8"/>
            </w:tcBorders>
            <w:shd w:val="clear" w:color="auto" w:fill="E5F1F8"/>
          </w:tcPr>
          <w:p>
            <w:pPr>
              <w:spacing w:after="0"/>
              <w:rPr>
                <w:sz w:val="20"/>
                <w:szCs w:val="20"/>
                <w:color w:val="auto"/>
              </w:rPr>
            </w:pPr>
          </w:p>
        </w:tc>
        <w:tc>
          <w:tcPr>
            <w:tcW w:w="11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49.6</w:t>
            </w:r>
          </w:p>
        </w:tc>
      </w:tr>
      <w:tr>
        <w:trPr>
          <w:trHeight w:val="207"/>
        </w:trPr>
        <w:tc>
          <w:tcPr>
            <w:tcW w:w="6220" w:type="dxa"/>
            <w:vAlign w:val="bottom"/>
          </w:tcPr>
          <w:p>
            <w:pPr>
              <w:ind w:left="120"/>
              <w:spacing w:after="0" w:line="207" w:lineRule="exact"/>
              <w:rPr>
                <w:sz w:val="20"/>
                <w:szCs w:val="20"/>
                <w:color w:val="auto"/>
              </w:rPr>
            </w:pPr>
            <w:r>
              <w:rPr>
                <w:rFonts w:ascii="Calibri" w:cs="Calibri" w:eastAsia="Calibri" w:hAnsi="Calibri"/>
                <w:sz w:val="18"/>
                <w:szCs w:val="18"/>
                <w:color w:val="auto"/>
              </w:rPr>
              <w:t>Amounts reclassifed from accumulated other</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6220" w:type="dxa"/>
            <w:vAlign w:val="bottom"/>
          </w:tcPr>
          <w:p>
            <w:pPr>
              <w:ind w:left="240"/>
              <w:spacing w:after="0" w:line="215" w:lineRule="exact"/>
              <w:rPr>
                <w:sz w:val="20"/>
                <w:szCs w:val="20"/>
                <w:color w:val="auto"/>
              </w:rPr>
            </w:pPr>
            <w:r>
              <w:rPr>
                <w:rFonts w:ascii="Calibri" w:cs="Calibri" w:eastAsia="Calibri" w:hAnsi="Calibri"/>
                <w:sz w:val="18"/>
                <w:szCs w:val="18"/>
                <w:color w:val="auto"/>
              </w:rPr>
              <w:t>comprehensive loss, net of tax</w:t>
            </w:r>
          </w:p>
        </w:tc>
        <w:tc>
          <w:tcPr>
            <w:tcW w:w="300" w:type="dxa"/>
            <w:vAlign w:val="bottom"/>
          </w:tcPr>
          <w:p>
            <w:pPr>
              <w:spacing w:after="0"/>
              <w:rPr>
                <w:sz w:val="18"/>
                <w:szCs w:val="18"/>
                <w:color w:val="auto"/>
              </w:rPr>
            </w:pPr>
          </w:p>
        </w:tc>
        <w:tc>
          <w:tcPr>
            <w:tcW w:w="14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9.5</w:t>
            </w:r>
          </w:p>
        </w:tc>
        <w:tc>
          <w:tcPr>
            <w:tcW w:w="420" w:type="dxa"/>
            <w:vAlign w:val="bottom"/>
          </w:tcPr>
          <w:p>
            <w:pPr>
              <w:spacing w:after="0"/>
              <w:rPr>
                <w:sz w:val="18"/>
                <w:szCs w:val="18"/>
                <w:color w:val="auto"/>
              </w:rPr>
            </w:pPr>
          </w:p>
        </w:tc>
        <w:tc>
          <w:tcPr>
            <w:tcW w:w="12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Pr>
          <w:p>
            <w:pPr>
              <w:spacing w:after="0"/>
              <w:rPr>
                <w:sz w:val="18"/>
                <w:szCs w:val="18"/>
                <w:color w:val="auto"/>
              </w:rPr>
            </w:pPr>
          </w:p>
        </w:tc>
        <w:tc>
          <w:tcPr>
            <w:tcW w:w="11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9.5</w:t>
            </w:r>
          </w:p>
        </w:tc>
      </w:tr>
      <w:tr>
        <w:trPr>
          <w:trHeight w:val="37"/>
        </w:trPr>
        <w:tc>
          <w:tcPr>
            <w:tcW w:w="6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1"/>
        </w:trPr>
        <w:tc>
          <w:tcPr>
            <w:tcW w:w="622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Other comprehensive earnings (loss), net of tax</w:t>
            </w:r>
          </w:p>
        </w:tc>
        <w:tc>
          <w:tcPr>
            <w:tcW w:w="300" w:type="dxa"/>
            <w:vAlign w:val="bottom"/>
            <w:tcBorders>
              <w:bottom w:val="single" w:sz="8" w:color="E5F1F8"/>
            </w:tcBorders>
            <w:shd w:val="clear" w:color="auto" w:fill="E5F1F8"/>
          </w:tcPr>
          <w:p>
            <w:pPr>
              <w:spacing w:after="0"/>
              <w:rPr>
                <w:sz w:val="20"/>
                <w:szCs w:val="20"/>
                <w:color w:val="auto"/>
              </w:rPr>
            </w:pPr>
          </w:p>
        </w:tc>
        <w:tc>
          <w:tcPr>
            <w:tcW w:w="140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61.1</w:t>
            </w:r>
          </w:p>
        </w:tc>
        <w:tc>
          <w:tcPr>
            <w:tcW w:w="420" w:type="dxa"/>
            <w:vAlign w:val="bottom"/>
            <w:tcBorders>
              <w:bottom w:val="single" w:sz="8" w:color="E5F1F8"/>
            </w:tcBorders>
            <w:shd w:val="clear" w:color="auto" w:fill="E5F1F8"/>
          </w:tcPr>
          <w:p>
            <w:pPr>
              <w:spacing w:after="0"/>
              <w:rPr>
                <w:sz w:val="20"/>
                <w:szCs w:val="20"/>
                <w:color w:val="auto"/>
              </w:rPr>
            </w:pPr>
          </w:p>
        </w:tc>
        <w:tc>
          <w:tcPr>
            <w:tcW w:w="126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(2.0 )</w:t>
            </w:r>
          </w:p>
        </w:tc>
        <w:tc>
          <w:tcPr>
            <w:tcW w:w="460" w:type="dxa"/>
            <w:vAlign w:val="bottom"/>
            <w:tcBorders>
              <w:bottom w:val="single" w:sz="8" w:color="E5F1F8"/>
            </w:tcBorders>
            <w:shd w:val="clear" w:color="auto" w:fill="E5F1F8"/>
          </w:tcPr>
          <w:p>
            <w:pPr>
              <w:spacing w:after="0"/>
              <w:rPr>
                <w:sz w:val="20"/>
                <w:szCs w:val="20"/>
                <w:color w:val="auto"/>
              </w:rPr>
            </w:pPr>
          </w:p>
        </w:tc>
        <w:tc>
          <w:tcPr>
            <w:tcW w:w="118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59.1</w:t>
            </w:r>
          </w:p>
        </w:tc>
      </w:tr>
      <w:tr>
        <w:trPr>
          <w:trHeight w:val="208"/>
        </w:trPr>
        <w:tc>
          <w:tcPr>
            <w:tcW w:w="622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Accumulated other comprehensive loss at end of period</w:t>
            </w:r>
          </w:p>
        </w:tc>
        <w:tc>
          <w:tcPr>
            <w:tcW w:w="3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(36.5 )</w:t>
            </w:r>
          </w:p>
        </w:tc>
        <w:tc>
          <w:tcPr>
            <w:tcW w:w="42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12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(2.0 )</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(38.5 )</w:t>
            </w:r>
          </w:p>
        </w:tc>
      </w:tr>
      <w:tr>
        <w:trPr>
          <w:trHeight w:val="28"/>
        </w:trPr>
        <w:tc>
          <w:tcPr>
            <w:tcW w:w="6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9"/>
        </w:trPr>
        <w:tc>
          <w:tcPr>
            <w:tcW w:w="6220" w:type="dxa"/>
            <w:vAlign w:val="bottom"/>
            <w:tcBorders>
              <w:bottom w:val="single" w:sz="8" w:color="E5F1F8"/>
              <w:right w:val="single" w:sz="8" w:color="E5F1F8"/>
            </w:tcBorders>
            <w:shd w:val="clear" w:color="auto" w:fill="E5F1F8"/>
          </w:tcPr>
          <w:p>
            <w:pPr>
              <w:ind w:left="120"/>
              <w:spacing w:after="0" w:line="196" w:lineRule="exact"/>
              <w:rPr>
                <w:sz w:val="20"/>
                <w:szCs w:val="20"/>
                <w:color w:val="auto"/>
              </w:rPr>
            </w:pPr>
            <w:r>
              <w:rPr>
                <w:rFonts w:ascii="Calibri" w:cs="Calibri" w:eastAsia="Calibri" w:hAnsi="Calibri"/>
                <w:sz w:val="18"/>
                <w:szCs w:val="18"/>
                <w:color w:val="auto"/>
              </w:rPr>
              <w:t>Cumulatve noncurrent deferred tax assets at end of period</w:t>
            </w:r>
          </w:p>
        </w:tc>
        <w:tc>
          <w:tcPr>
            <w:tcW w:w="300" w:type="dxa"/>
            <w:vAlign w:val="bottom"/>
            <w:tcBorders>
              <w:bottom w:val="single" w:sz="8" w:color="E5F1F8"/>
            </w:tcBorders>
            <w:shd w:val="clear" w:color="auto" w:fill="E5F1F8"/>
          </w:tcPr>
          <w:p>
            <w:pPr>
              <w:jc w:val="right"/>
              <w:spacing w:after="0" w:line="196"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E5F1F8"/>
              <w:right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color w:val="auto"/>
              </w:rPr>
              <w:t>50.1</w:t>
            </w:r>
          </w:p>
        </w:tc>
        <w:tc>
          <w:tcPr>
            <w:tcW w:w="420" w:type="dxa"/>
            <w:vAlign w:val="bottom"/>
            <w:tcBorders>
              <w:bottom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E5F1F8"/>
              <w:right w:val="single" w:sz="8" w:color="E5F1F8"/>
            </w:tcBorders>
            <w:shd w:val="clear" w:color="auto" w:fill="E5F1F8"/>
          </w:tcPr>
          <w:p>
            <w:pPr>
              <w:jc w:val="right"/>
              <w:ind w:right="30"/>
              <w:spacing w:after="0" w:line="196"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E5F1F8"/>
            </w:tcBorders>
            <w:shd w:val="clear" w:color="auto" w:fill="E5F1F8"/>
          </w:tcPr>
          <w:p>
            <w:pPr>
              <w:jc w:val="right"/>
              <w:ind w:right="110"/>
              <w:spacing w:after="0" w:line="196"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E5F1F8"/>
            </w:tcBorders>
            <w:shd w:val="clear" w:color="auto" w:fill="E5F1F8"/>
          </w:tcPr>
          <w:p>
            <w:pPr>
              <w:jc w:val="right"/>
              <w:ind w:right="30"/>
              <w:spacing w:after="0" w:line="196" w:lineRule="exact"/>
              <w:rPr>
                <w:sz w:val="20"/>
                <w:szCs w:val="20"/>
                <w:color w:val="auto"/>
              </w:rPr>
            </w:pPr>
            <w:r>
              <w:rPr>
                <w:rFonts w:ascii="Calibri" w:cs="Calibri" w:eastAsia="Calibri" w:hAnsi="Calibri"/>
                <w:sz w:val="18"/>
                <w:szCs w:val="18"/>
                <w:color w:val="auto"/>
              </w:rPr>
              <w:t>50.1</w:t>
            </w:r>
          </w:p>
        </w:tc>
      </w:tr>
      <w:tr>
        <w:trPr>
          <w:trHeight w:val="236"/>
        </w:trPr>
        <w:tc>
          <w:tcPr>
            <w:tcW w:w="62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23"/>
        </w:trPr>
        <w:tc>
          <w:tcPr>
            <w:tcW w:w="6220" w:type="dxa"/>
            <w:vAlign w:val="bottom"/>
            <w:tcBorders>
              <w:bottom w:val="single" w:sz="8" w:color="007CBA"/>
              <w:right w:val="single" w:sz="8" w:color="007CBA"/>
            </w:tcBorders>
            <w:shd w:val="clear" w:color="auto" w:fill="007CBA"/>
          </w:tcPr>
          <w:p>
            <w:pPr>
              <w:spacing w:after="0"/>
              <w:rPr>
                <w:sz w:val="19"/>
                <w:szCs w:val="19"/>
                <w:color w:val="auto"/>
              </w:rPr>
            </w:pPr>
          </w:p>
        </w:tc>
        <w:tc>
          <w:tcPr>
            <w:tcW w:w="300" w:type="dxa"/>
            <w:vAlign w:val="bottom"/>
            <w:tcBorders>
              <w:bottom w:val="single" w:sz="8" w:color="007CBA"/>
            </w:tcBorders>
            <w:shd w:val="clear" w:color="auto" w:fill="007CBA"/>
          </w:tcPr>
          <w:p>
            <w:pPr>
              <w:spacing w:after="0"/>
              <w:rPr>
                <w:sz w:val="19"/>
                <w:szCs w:val="19"/>
                <w:color w:val="auto"/>
              </w:rPr>
            </w:pPr>
          </w:p>
        </w:tc>
        <w:tc>
          <w:tcPr>
            <w:tcW w:w="1400" w:type="dxa"/>
            <w:vAlign w:val="bottom"/>
            <w:tcBorders>
              <w:bottom w:val="single" w:sz="8" w:color="007CBA"/>
              <w:right w:val="single" w:sz="8" w:color="007CBA"/>
            </w:tcBorders>
            <w:shd w:val="clear" w:color="auto" w:fill="007CBA"/>
          </w:tcPr>
          <w:p>
            <w:pPr>
              <w:spacing w:after="0"/>
              <w:rPr>
                <w:sz w:val="19"/>
                <w:szCs w:val="19"/>
                <w:color w:val="auto"/>
              </w:rPr>
            </w:pPr>
          </w:p>
        </w:tc>
        <w:tc>
          <w:tcPr>
            <w:tcW w:w="420" w:type="dxa"/>
            <w:vAlign w:val="bottom"/>
            <w:tcBorders>
              <w:bottom w:val="single" w:sz="8" w:color="007CBA"/>
            </w:tcBorders>
            <w:shd w:val="clear" w:color="auto" w:fill="007CBA"/>
          </w:tcPr>
          <w:p>
            <w:pPr>
              <w:spacing w:after="0"/>
              <w:rPr>
                <w:sz w:val="19"/>
                <w:szCs w:val="19"/>
                <w:color w:val="auto"/>
              </w:rPr>
            </w:pPr>
          </w:p>
        </w:tc>
        <w:tc>
          <w:tcPr>
            <w:tcW w:w="1260" w:type="dxa"/>
            <w:vAlign w:val="bottom"/>
            <w:tcBorders>
              <w:bottom w:val="single" w:sz="8" w:color="007CBA"/>
              <w:right w:val="single" w:sz="8" w:color="007CBA"/>
            </w:tcBorders>
            <w:shd w:val="clear" w:color="auto" w:fill="007CBA"/>
          </w:tcPr>
          <w:p>
            <w:pPr>
              <w:jc w:val="center"/>
              <w:ind w:right="330"/>
              <w:spacing w:after="0" w:line="215" w:lineRule="exact"/>
              <w:rPr>
                <w:sz w:val="20"/>
                <w:szCs w:val="20"/>
                <w:color w:val="auto"/>
              </w:rPr>
            </w:pPr>
            <w:r>
              <w:rPr>
                <w:rFonts w:ascii="Calibri" w:cs="Calibri" w:eastAsia="Calibri" w:hAnsi="Calibri"/>
                <w:sz w:val="18"/>
                <w:szCs w:val="18"/>
                <w:color w:val="FFFFFF"/>
                <w:w w:val="98"/>
              </w:rPr>
              <w:t>2021</w:t>
            </w:r>
          </w:p>
        </w:tc>
        <w:tc>
          <w:tcPr>
            <w:tcW w:w="460" w:type="dxa"/>
            <w:vAlign w:val="bottom"/>
            <w:tcBorders>
              <w:bottom w:val="single" w:sz="8" w:color="007CBA"/>
            </w:tcBorders>
            <w:shd w:val="clear" w:color="auto" w:fill="007CBA"/>
          </w:tcPr>
          <w:p>
            <w:pPr>
              <w:spacing w:after="0"/>
              <w:rPr>
                <w:sz w:val="19"/>
                <w:szCs w:val="19"/>
                <w:color w:val="auto"/>
              </w:rPr>
            </w:pPr>
          </w:p>
        </w:tc>
        <w:tc>
          <w:tcPr>
            <w:tcW w:w="1180" w:type="dxa"/>
            <w:vAlign w:val="bottom"/>
            <w:tcBorders>
              <w:bottom w:val="single" w:sz="8" w:color="007CBA"/>
            </w:tcBorders>
            <w:shd w:val="clear" w:color="auto" w:fill="007CBA"/>
          </w:tcPr>
          <w:p>
            <w:pPr>
              <w:spacing w:after="0"/>
              <w:rPr>
                <w:sz w:val="19"/>
                <w:szCs w:val="19"/>
                <w:color w:val="auto"/>
              </w:rPr>
            </w:pPr>
          </w:p>
        </w:tc>
      </w:tr>
      <w:tr>
        <w:trPr>
          <w:trHeight w:val="215"/>
        </w:trPr>
        <w:tc>
          <w:tcPr>
            <w:tcW w:w="6220" w:type="dxa"/>
            <w:vAlign w:val="bottom"/>
          </w:tcPr>
          <w:p>
            <w:pPr>
              <w:ind w:left="120"/>
              <w:spacing w:after="0" w:line="215" w:lineRule="exact"/>
              <w:rPr>
                <w:sz w:val="20"/>
                <w:szCs w:val="20"/>
                <w:color w:val="auto"/>
              </w:rPr>
            </w:pPr>
            <w:r>
              <w:rPr>
                <w:rFonts w:ascii="Calibri" w:cs="Calibri" w:eastAsia="Calibri" w:hAnsi="Calibri"/>
                <w:sz w:val="18"/>
                <w:szCs w:val="18"/>
                <w:color w:val="auto"/>
              </w:rPr>
              <w:t>Accumulated other comprehensive loss at beginning of period</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tcPr>
          <w:p>
            <w:pPr>
              <w:jc w:val="right"/>
              <w:spacing w:after="0" w:line="215" w:lineRule="exact"/>
              <w:rPr>
                <w:sz w:val="20"/>
                <w:szCs w:val="20"/>
                <w:color w:val="auto"/>
              </w:rPr>
            </w:pPr>
            <w:r>
              <w:rPr>
                <w:rFonts w:ascii="Calibri" w:cs="Calibri" w:eastAsia="Calibri" w:hAnsi="Calibri"/>
                <w:sz w:val="18"/>
                <w:szCs w:val="18"/>
                <w:color w:val="auto"/>
              </w:rPr>
              <w:t>(158.1 )</w:t>
            </w:r>
          </w:p>
        </w:tc>
        <w:tc>
          <w:tcPr>
            <w:tcW w:w="4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(0.3 )</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15" w:lineRule="exact"/>
              <w:rPr>
                <w:sz w:val="20"/>
                <w:szCs w:val="20"/>
                <w:color w:val="auto"/>
              </w:rPr>
            </w:pPr>
            <w:r>
              <w:rPr>
                <w:rFonts w:ascii="Calibri" w:cs="Calibri" w:eastAsia="Calibri" w:hAnsi="Calibri"/>
                <w:sz w:val="18"/>
                <w:szCs w:val="18"/>
                <w:color w:val="auto"/>
              </w:rPr>
              <w:t>(158.4 )</w:t>
            </w:r>
          </w:p>
        </w:tc>
      </w:tr>
      <w:tr>
        <w:trPr>
          <w:trHeight w:val="28"/>
        </w:trPr>
        <w:tc>
          <w:tcPr>
            <w:tcW w:w="6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1"/>
        </w:trPr>
        <w:tc>
          <w:tcPr>
            <w:tcW w:w="6220" w:type="dxa"/>
            <w:vAlign w:val="bottom"/>
            <w:tcBorders>
              <w:right w:val="single" w:sz="8" w:color="007CBA"/>
            </w:tcBorders>
            <w:shd w:val="clear" w:color="auto" w:fill="E5F1F8"/>
          </w:tcPr>
          <w:p>
            <w:pPr>
              <w:ind w:left="120"/>
              <w:spacing w:after="0" w:line="201" w:lineRule="exact"/>
              <w:rPr>
                <w:sz w:val="20"/>
                <w:szCs w:val="20"/>
                <w:color w:val="auto"/>
              </w:rPr>
            </w:pPr>
            <w:r>
              <w:rPr>
                <w:rFonts w:ascii="Calibri" w:cs="Calibri" w:eastAsia="Calibri" w:hAnsi="Calibri"/>
                <w:sz w:val="18"/>
                <w:szCs w:val="18"/>
                <w:color w:val="auto"/>
              </w:rPr>
              <w:t>Other comprehensive earnings before reclassifcatons,</w:t>
            </w:r>
          </w:p>
        </w:tc>
        <w:tc>
          <w:tcPr>
            <w:tcW w:w="300" w:type="dxa"/>
            <w:vAlign w:val="bottom"/>
            <w:shd w:val="clear" w:color="auto" w:fill="E5F1F8"/>
          </w:tcPr>
          <w:p>
            <w:pPr>
              <w:spacing w:after="0"/>
              <w:rPr>
                <w:sz w:val="17"/>
                <w:szCs w:val="17"/>
                <w:color w:val="auto"/>
              </w:rPr>
            </w:pPr>
          </w:p>
        </w:tc>
        <w:tc>
          <w:tcPr>
            <w:tcW w:w="1400" w:type="dxa"/>
            <w:vAlign w:val="bottom"/>
            <w:tcBorders>
              <w:right w:val="single" w:sz="8" w:color="007CBA"/>
            </w:tcBorders>
            <w:shd w:val="clear" w:color="auto" w:fill="E5F1F8"/>
          </w:tcPr>
          <w:p>
            <w:pPr>
              <w:spacing w:after="0"/>
              <w:rPr>
                <w:sz w:val="17"/>
                <w:szCs w:val="17"/>
                <w:color w:val="auto"/>
              </w:rPr>
            </w:pPr>
          </w:p>
        </w:tc>
        <w:tc>
          <w:tcPr>
            <w:tcW w:w="420" w:type="dxa"/>
            <w:vAlign w:val="bottom"/>
            <w:shd w:val="clear" w:color="auto" w:fill="E5F1F8"/>
          </w:tcPr>
          <w:p>
            <w:pPr>
              <w:spacing w:after="0"/>
              <w:rPr>
                <w:sz w:val="17"/>
                <w:szCs w:val="17"/>
                <w:color w:val="auto"/>
              </w:rPr>
            </w:pPr>
          </w:p>
        </w:tc>
        <w:tc>
          <w:tcPr>
            <w:tcW w:w="1260" w:type="dxa"/>
            <w:vAlign w:val="bottom"/>
            <w:tcBorders>
              <w:right w:val="single" w:sz="8" w:color="007CBA"/>
            </w:tcBorders>
            <w:shd w:val="clear" w:color="auto" w:fill="E5F1F8"/>
          </w:tcPr>
          <w:p>
            <w:pPr>
              <w:spacing w:after="0"/>
              <w:rPr>
                <w:sz w:val="17"/>
                <w:szCs w:val="17"/>
                <w:color w:val="auto"/>
              </w:rPr>
            </w:pPr>
          </w:p>
        </w:tc>
        <w:tc>
          <w:tcPr>
            <w:tcW w:w="460" w:type="dxa"/>
            <w:vAlign w:val="bottom"/>
            <w:shd w:val="clear" w:color="auto" w:fill="E5F1F8"/>
          </w:tcPr>
          <w:p>
            <w:pPr>
              <w:spacing w:after="0"/>
              <w:rPr>
                <w:sz w:val="17"/>
                <w:szCs w:val="17"/>
                <w:color w:val="auto"/>
              </w:rPr>
            </w:pPr>
          </w:p>
        </w:tc>
        <w:tc>
          <w:tcPr>
            <w:tcW w:w="1180" w:type="dxa"/>
            <w:vAlign w:val="bottom"/>
            <w:shd w:val="clear" w:color="auto" w:fill="E5F1F8"/>
          </w:tcPr>
          <w:p>
            <w:pPr>
              <w:spacing w:after="0"/>
              <w:rPr>
                <w:sz w:val="17"/>
                <w:szCs w:val="17"/>
                <w:color w:val="auto"/>
              </w:rPr>
            </w:pPr>
          </w:p>
        </w:tc>
      </w:tr>
      <w:tr>
        <w:trPr>
          <w:trHeight w:val="232"/>
        </w:trPr>
        <w:tc>
          <w:tcPr>
            <w:tcW w:w="6220" w:type="dxa"/>
            <w:vAlign w:val="bottom"/>
            <w:tcBorders>
              <w:bottom w:val="single" w:sz="8" w:color="E5F1F8"/>
              <w:right w:val="single" w:sz="8" w:color="007CBA"/>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net of tax</w:t>
            </w:r>
          </w:p>
        </w:tc>
        <w:tc>
          <w:tcPr>
            <w:tcW w:w="300" w:type="dxa"/>
            <w:vAlign w:val="bottom"/>
            <w:tcBorders>
              <w:bottom w:val="single" w:sz="8" w:color="E5F1F8"/>
            </w:tcBorders>
            <w:shd w:val="clear" w:color="auto" w:fill="E5F1F8"/>
          </w:tcPr>
          <w:p>
            <w:pPr>
              <w:spacing w:after="0"/>
              <w:rPr>
                <w:sz w:val="20"/>
                <w:szCs w:val="20"/>
                <w:color w:val="auto"/>
              </w:rPr>
            </w:pPr>
          </w:p>
        </w:tc>
        <w:tc>
          <w:tcPr>
            <w:tcW w:w="14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51.3</w:t>
            </w:r>
          </w:p>
        </w:tc>
        <w:tc>
          <w:tcPr>
            <w:tcW w:w="420" w:type="dxa"/>
            <w:vAlign w:val="bottom"/>
            <w:tcBorders>
              <w:bottom w:val="single" w:sz="8" w:color="E5F1F8"/>
            </w:tcBorders>
            <w:shd w:val="clear" w:color="auto" w:fill="E5F1F8"/>
          </w:tcPr>
          <w:p>
            <w:pPr>
              <w:spacing w:after="0"/>
              <w:rPr>
                <w:sz w:val="20"/>
                <w:szCs w:val="20"/>
                <w:color w:val="auto"/>
              </w:rPr>
            </w:pPr>
          </w:p>
        </w:tc>
        <w:tc>
          <w:tcPr>
            <w:tcW w:w="12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0.3</w:t>
            </w:r>
          </w:p>
        </w:tc>
        <w:tc>
          <w:tcPr>
            <w:tcW w:w="460" w:type="dxa"/>
            <w:vAlign w:val="bottom"/>
            <w:tcBorders>
              <w:bottom w:val="single" w:sz="8" w:color="E5F1F8"/>
            </w:tcBorders>
            <w:shd w:val="clear" w:color="auto" w:fill="E5F1F8"/>
          </w:tcPr>
          <w:p>
            <w:pPr>
              <w:spacing w:after="0"/>
              <w:rPr>
                <w:sz w:val="20"/>
                <w:szCs w:val="20"/>
                <w:color w:val="auto"/>
              </w:rPr>
            </w:pPr>
          </w:p>
        </w:tc>
        <w:tc>
          <w:tcPr>
            <w:tcW w:w="11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51.6</w:t>
            </w:r>
          </w:p>
        </w:tc>
      </w:tr>
      <w:tr>
        <w:trPr>
          <w:trHeight w:val="207"/>
        </w:trPr>
        <w:tc>
          <w:tcPr>
            <w:tcW w:w="6220" w:type="dxa"/>
            <w:vAlign w:val="bottom"/>
          </w:tcPr>
          <w:p>
            <w:pPr>
              <w:ind w:left="120"/>
              <w:spacing w:after="0" w:line="207" w:lineRule="exact"/>
              <w:rPr>
                <w:sz w:val="20"/>
                <w:szCs w:val="20"/>
                <w:color w:val="auto"/>
              </w:rPr>
            </w:pPr>
            <w:r>
              <w:rPr>
                <w:rFonts w:ascii="Calibri" w:cs="Calibri" w:eastAsia="Calibri" w:hAnsi="Calibri"/>
                <w:sz w:val="18"/>
                <w:szCs w:val="18"/>
                <w:color w:val="auto"/>
              </w:rPr>
              <w:t>Amounts reclassifed from accumulated other</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6220" w:type="dxa"/>
            <w:vAlign w:val="bottom"/>
          </w:tcPr>
          <w:p>
            <w:pPr>
              <w:ind w:left="240"/>
              <w:spacing w:after="0" w:line="215" w:lineRule="exact"/>
              <w:rPr>
                <w:sz w:val="20"/>
                <w:szCs w:val="20"/>
                <w:color w:val="auto"/>
              </w:rPr>
            </w:pPr>
            <w:r>
              <w:rPr>
                <w:rFonts w:ascii="Calibri" w:cs="Calibri" w:eastAsia="Calibri" w:hAnsi="Calibri"/>
                <w:sz w:val="18"/>
                <w:szCs w:val="18"/>
                <w:color w:val="auto"/>
              </w:rPr>
              <w:t>comprehensive loss, net of tax</w:t>
            </w:r>
          </w:p>
        </w:tc>
        <w:tc>
          <w:tcPr>
            <w:tcW w:w="300" w:type="dxa"/>
            <w:vAlign w:val="bottom"/>
          </w:tcPr>
          <w:p>
            <w:pPr>
              <w:spacing w:after="0"/>
              <w:rPr>
                <w:sz w:val="18"/>
                <w:szCs w:val="18"/>
                <w:color w:val="auto"/>
              </w:rPr>
            </w:pPr>
          </w:p>
        </w:tc>
        <w:tc>
          <w:tcPr>
            <w:tcW w:w="14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9.2</w:t>
            </w:r>
          </w:p>
        </w:tc>
        <w:tc>
          <w:tcPr>
            <w:tcW w:w="420" w:type="dxa"/>
            <w:vAlign w:val="bottom"/>
          </w:tcPr>
          <w:p>
            <w:pPr>
              <w:spacing w:after="0"/>
              <w:rPr>
                <w:sz w:val="18"/>
                <w:szCs w:val="18"/>
                <w:color w:val="auto"/>
              </w:rPr>
            </w:pPr>
          </w:p>
        </w:tc>
        <w:tc>
          <w:tcPr>
            <w:tcW w:w="12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Pr>
          <w:p>
            <w:pPr>
              <w:spacing w:after="0"/>
              <w:rPr>
                <w:sz w:val="18"/>
                <w:szCs w:val="18"/>
                <w:color w:val="auto"/>
              </w:rPr>
            </w:pPr>
          </w:p>
        </w:tc>
        <w:tc>
          <w:tcPr>
            <w:tcW w:w="11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9.2</w:t>
            </w:r>
          </w:p>
        </w:tc>
      </w:tr>
      <w:tr>
        <w:trPr>
          <w:trHeight w:val="37"/>
        </w:trPr>
        <w:tc>
          <w:tcPr>
            <w:tcW w:w="6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1"/>
        </w:trPr>
        <w:tc>
          <w:tcPr>
            <w:tcW w:w="622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Other comprehensive earnings, net of tax</w:t>
            </w:r>
          </w:p>
        </w:tc>
        <w:tc>
          <w:tcPr>
            <w:tcW w:w="300" w:type="dxa"/>
            <w:vAlign w:val="bottom"/>
            <w:tcBorders>
              <w:bottom w:val="single" w:sz="8" w:color="E5F1F8"/>
            </w:tcBorders>
            <w:shd w:val="clear" w:color="auto" w:fill="E5F1F8"/>
          </w:tcPr>
          <w:p>
            <w:pPr>
              <w:spacing w:after="0"/>
              <w:rPr>
                <w:sz w:val="20"/>
                <w:szCs w:val="20"/>
                <w:color w:val="auto"/>
              </w:rPr>
            </w:pPr>
          </w:p>
        </w:tc>
        <w:tc>
          <w:tcPr>
            <w:tcW w:w="140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60.5</w:t>
            </w:r>
          </w:p>
        </w:tc>
        <w:tc>
          <w:tcPr>
            <w:tcW w:w="420" w:type="dxa"/>
            <w:vAlign w:val="bottom"/>
            <w:tcBorders>
              <w:bottom w:val="single" w:sz="8" w:color="E5F1F8"/>
            </w:tcBorders>
            <w:shd w:val="clear" w:color="auto" w:fill="E5F1F8"/>
          </w:tcPr>
          <w:p>
            <w:pPr>
              <w:spacing w:after="0"/>
              <w:rPr>
                <w:sz w:val="20"/>
                <w:szCs w:val="20"/>
                <w:color w:val="auto"/>
              </w:rPr>
            </w:pPr>
          </w:p>
        </w:tc>
        <w:tc>
          <w:tcPr>
            <w:tcW w:w="126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0.3</w:t>
            </w:r>
          </w:p>
        </w:tc>
        <w:tc>
          <w:tcPr>
            <w:tcW w:w="460" w:type="dxa"/>
            <w:vAlign w:val="bottom"/>
            <w:tcBorders>
              <w:bottom w:val="single" w:sz="8" w:color="E5F1F8"/>
            </w:tcBorders>
            <w:shd w:val="clear" w:color="auto" w:fill="E5F1F8"/>
          </w:tcPr>
          <w:p>
            <w:pPr>
              <w:spacing w:after="0"/>
              <w:rPr>
                <w:sz w:val="20"/>
                <w:szCs w:val="20"/>
                <w:color w:val="auto"/>
              </w:rPr>
            </w:pPr>
          </w:p>
        </w:tc>
        <w:tc>
          <w:tcPr>
            <w:tcW w:w="118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60.8</w:t>
            </w:r>
          </w:p>
        </w:tc>
      </w:tr>
      <w:tr>
        <w:trPr>
          <w:trHeight w:val="208"/>
        </w:trPr>
        <w:tc>
          <w:tcPr>
            <w:tcW w:w="622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Accumulated other comprehensive loss at end of period</w:t>
            </w:r>
          </w:p>
        </w:tc>
        <w:tc>
          <w:tcPr>
            <w:tcW w:w="3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(97.6 )</w:t>
            </w:r>
          </w:p>
        </w:tc>
        <w:tc>
          <w:tcPr>
            <w:tcW w:w="42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12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(97.6 )</w:t>
            </w:r>
          </w:p>
        </w:tc>
      </w:tr>
      <w:tr>
        <w:trPr>
          <w:trHeight w:val="28"/>
        </w:trPr>
        <w:tc>
          <w:tcPr>
            <w:tcW w:w="6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3"/>
        </w:trPr>
        <w:tc>
          <w:tcPr>
            <w:tcW w:w="6220" w:type="dxa"/>
            <w:vAlign w:val="bottom"/>
            <w:tcBorders>
              <w:bottom w:val="single" w:sz="8" w:color="E5F1F8"/>
              <w:right w:val="single" w:sz="8" w:color="E5F1F8"/>
            </w:tcBorders>
            <w:shd w:val="clear" w:color="auto" w:fill="E5F1F8"/>
          </w:tcPr>
          <w:p>
            <w:pPr>
              <w:ind w:left="120"/>
              <w:spacing w:after="0" w:line="196" w:lineRule="exact"/>
              <w:rPr>
                <w:sz w:val="20"/>
                <w:szCs w:val="20"/>
                <w:color w:val="auto"/>
              </w:rPr>
            </w:pPr>
            <w:r>
              <w:rPr>
                <w:rFonts w:ascii="Calibri" w:cs="Calibri" w:eastAsia="Calibri" w:hAnsi="Calibri"/>
                <w:sz w:val="18"/>
                <w:szCs w:val="18"/>
                <w:color w:val="auto"/>
              </w:rPr>
              <w:t>Cumulatve noncurrent deferred tax assets at end of period</w:t>
            </w:r>
          </w:p>
        </w:tc>
        <w:tc>
          <w:tcPr>
            <w:tcW w:w="300" w:type="dxa"/>
            <w:vAlign w:val="bottom"/>
            <w:tcBorders>
              <w:bottom w:val="single" w:sz="8" w:color="E5F1F8"/>
            </w:tcBorders>
            <w:shd w:val="clear" w:color="auto" w:fill="E5F1F8"/>
          </w:tcPr>
          <w:p>
            <w:pPr>
              <w:jc w:val="right"/>
              <w:spacing w:after="0" w:line="196"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E5F1F8"/>
              <w:right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color w:val="auto"/>
              </w:rPr>
              <w:t>69.7</w:t>
            </w:r>
          </w:p>
        </w:tc>
        <w:tc>
          <w:tcPr>
            <w:tcW w:w="420" w:type="dxa"/>
            <w:vAlign w:val="bottom"/>
            <w:tcBorders>
              <w:bottom w:val="single" w:sz="8" w:color="E5F1F8"/>
            </w:tcBorders>
            <w:shd w:val="clear" w:color="auto" w:fill="E5F1F8"/>
          </w:tcPr>
          <w:p>
            <w:pPr>
              <w:jc w:val="right"/>
              <w:ind w:right="50"/>
              <w:spacing w:after="0" w:line="196" w:lineRule="exact"/>
              <w:rPr>
                <w:sz w:val="20"/>
                <w:szCs w:val="20"/>
                <w:color w:val="auto"/>
              </w:rPr>
            </w:pPr>
            <w:r>
              <w:rPr>
                <w:rFonts w:ascii="Calibri" w:cs="Calibri" w:eastAsia="Calibri" w:hAnsi="Calibri"/>
                <w:sz w:val="18"/>
                <w:szCs w:val="18"/>
                <w:color w:val="auto"/>
              </w:rPr>
              <w:t>$</w:t>
            </w:r>
          </w:p>
        </w:tc>
        <w:tc>
          <w:tcPr>
            <w:tcW w:w="1260" w:type="dxa"/>
            <w:vAlign w:val="bottom"/>
            <w:tcBorders>
              <w:bottom w:val="single" w:sz="8" w:color="E5F1F8"/>
              <w:right w:val="single" w:sz="8" w:color="E5F1F8"/>
            </w:tcBorders>
            <w:shd w:val="clear" w:color="auto" w:fill="E5F1F8"/>
          </w:tcPr>
          <w:p>
            <w:pPr>
              <w:jc w:val="right"/>
              <w:ind w:right="30"/>
              <w:spacing w:after="0" w:line="196"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E5F1F8"/>
            </w:tcBorders>
            <w:shd w:val="clear" w:color="auto" w:fill="E5F1F8"/>
          </w:tcPr>
          <w:p>
            <w:pPr>
              <w:jc w:val="right"/>
              <w:ind w:right="110"/>
              <w:spacing w:after="0" w:line="196" w:lineRule="exact"/>
              <w:rPr>
                <w:sz w:val="20"/>
                <w:szCs w:val="20"/>
                <w:color w:val="auto"/>
              </w:rPr>
            </w:pPr>
            <w:r>
              <w:rPr>
                <w:rFonts w:ascii="Calibri" w:cs="Calibri" w:eastAsia="Calibri" w:hAnsi="Calibri"/>
                <w:sz w:val="18"/>
                <w:szCs w:val="18"/>
                <w:color w:val="auto"/>
              </w:rPr>
              <w:t>$</w:t>
            </w:r>
          </w:p>
        </w:tc>
        <w:tc>
          <w:tcPr>
            <w:tcW w:w="1180" w:type="dxa"/>
            <w:vAlign w:val="bottom"/>
            <w:tcBorders>
              <w:bottom w:val="single" w:sz="8" w:color="E5F1F8"/>
            </w:tcBorders>
            <w:shd w:val="clear" w:color="auto" w:fill="E5F1F8"/>
          </w:tcPr>
          <w:p>
            <w:pPr>
              <w:jc w:val="right"/>
              <w:ind w:right="30"/>
              <w:spacing w:after="0" w:line="196" w:lineRule="exact"/>
              <w:rPr>
                <w:sz w:val="20"/>
                <w:szCs w:val="20"/>
                <w:color w:val="auto"/>
              </w:rPr>
            </w:pPr>
            <w:r>
              <w:rPr>
                <w:rFonts w:ascii="Calibri" w:cs="Calibri" w:eastAsia="Calibri" w:hAnsi="Calibri"/>
                <w:sz w:val="18"/>
                <w:szCs w:val="18"/>
                <w:color w:val="auto"/>
              </w:rPr>
              <w:t>69.7</w:t>
            </w:r>
          </w:p>
        </w:tc>
      </w:tr>
      <w:tr>
        <w:trPr>
          <w:trHeight w:val="20"/>
        </w:trPr>
        <w:tc>
          <w:tcPr>
            <w:tcW w:w="62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-4559935</wp:posOffset>
            </wp:positionV>
            <wp:extent cx="31889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3188970"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-4410075</wp:posOffset>
            </wp:positionV>
            <wp:extent cx="33655" cy="1885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-4410075</wp:posOffset>
            </wp:positionV>
            <wp:extent cx="33655" cy="1885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-4410075</wp:posOffset>
            </wp:positionV>
            <wp:extent cx="33655" cy="1885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-3955415</wp:posOffset>
            </wp:positionV>
            <wp:extent cx="33655" cy="8312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33655" cy="83121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-3955415</wp:posOffset>
            </wp:positionV>
            <wp:extent cx="33655" cy="8312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33655" cy="83121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-3955415</wp:posOffset>
            </wp:positionV>
            <wp:extent cx="33655" cy="8312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33655" cy="83121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-2840990</wp:posOffset>
            </wp:positionV>
            <wp:extent cx="33655" cy="1885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-2840990</wp:posOffset>
            </wp:positionV>
            <wp:extent cx="33655" cy="1885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-2840990</wp:posOffset>
            </wp:positionV>
            <wp:extent cx="33655" cy="1885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-2386965</wp:posOffset>
            </wp:positionV>
            <wp:extent cx="33655" cy="8312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33655" cy="83121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-2386965</wp:posOffset>
            </wp:positionV>
            <wp:extent cx="33655" cy="8312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33655" cy="83121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-2386965</wp:posOffset>
            </wp:positionV>
            <wp:extent cx="33655" cy="8312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33655" cy="83121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-1272540</wp:posOffset>
            </wp:positionV>
            <wp:extent cx="33655" cy="1885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-1272540</wp:posOffset>
            </wp:positionV>
            <wp:extent cx="33655" cy="1885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-1272540</wp:posOffset>
            </wp:positionV>
            <wp:extent cx="33655" cy="1885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-817880</wp:posOffset>
            </wp:positionV>
            <wp:extent cx="33655" cy="8312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33655" cy="83121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-817880</wp:posOffset>
            </wp:positionV>
            <wp:extent cx="33655" cy="8312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33655" cy="831215"/>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-817880</wp:posOffset>
            </wp:positionV>
            <wp:extent cx="33655" cy="8312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33655" cy="83121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color w:val="auto"/>
        </w:rPr>
        <w:t>Reclassifcatons out of accumulated other comprehensive loss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320" w:type="dxa"/>
            <w:vAlign w:val="bottom"/>
            <w:shd w:val="clear" w:color="auto" w:fill="007CBA"/>
          </w:tcPr>
          <w:p>
            <w:pPr>
              <w:spacing w:after="0"/>
              <w:rPr>
                <w:sz w:val="19"/>
                <w:szCs w:val="19"/>
                <w:color w:val="auto"/>
              </w:rPr>
            </w:pPr>
          </w:p>
        </w:tc>
        <w:tc>
          <w:tcPr>
            <w:tcW w:w="820" w:type="dxa"/>
            <w:vAlign w:val="bottom"/>
            <w:tcBorders>
              <w:right w:val="single" w:sz="8" w:color="007CBA"/>
            </w:tcBorders>
            <w:shd w:val="clear" w:color="auto" w:fill="007CBA"/>
          </w:tcPr>
          <w:p>
            <w:pPr>
              <w:spacing w:after="0"/>
              <w:rPr>
                <w:sz w:val="19"/>
                <w:szCs w:val="19"/>
                <w:color w:val="auto"/>
              </w:rPr>
            </w:pPr>
          </w:p>
        </w:tc>
        <w:tc>
          <w:tcPr>
            <w:tcW w:w="320" w:type="dxa"/>
            <w:vAlign w:val="bottom"/>
            <w:shd w:val="clear" w:color="auto" w:fill="007CBA"/>
          </w:tcPr>
          <w:p>
            <w:pPr>
              <w:spacing w:after="0"/>
              <w:rPr>
                <w:sz w:val="19"/>
                <w:szCs w:val="19"/>
                <w:color w:val="auto"/>
              </w:rPr>
            </w:pPr>
          </w:p>
        </w:tc>
        <w:tc>
          <w:tcPr>
            <w:tcW w:w="840" w:type="dxa"/>
            <w:vAlign w:val="bottom"/>
            <w:tcBorders>
              <w:right w:val="single" w:sz="8" w:color="007CBA"/>
            </w:tcBorders>
            <w:shd w:val="clear" w:color="auto" w:fill="007CBA"/>
          </w:tcPr>
          <w:p>
            <w:pPr>
              <w:spacing w:after="0"/>
              <w:rPr>
                <w:sz w:val="19"/>
                <w:szCs w:val="19"/>
                <w:color w:val="auto"/>
              </w:rPr>
            </w:pPr>
          </w:p>
        </w:tc>
        <w:tc>
          <w:tcPr>
            <w:tcW w:w="280" w:type="dxa"/>
            <w:vAlign w:val="bottom"/>
            <w:shd w:val="clear" w:color="auto" w:fill="007CBA"/>
          </w:tcPr>
          <w:p>
            <w:pPr>
              <w:spacing w:after="0"/>
              <w:rPr>
                <w:sz w:val="19"/>
                <w:szCs w:val="19"/>
                <w:color w:val="auto"/>
              </w:rPr>
            </w:pPr>
          </w:p>
        </w:tc>
        <w:tc>
          <w:tcPr>
            <w:tcW w:w="800" w:type="dxa"/>
            <w:vAlign w:val="bottom"/>
            <w:tcBorders>
              <w:right w:val="single" w:sz="8" w:color="007CBA"/>
            </w:tcBorders>
            <w:shd w:val="clear" w:color="auto" w:fill="007CBA"/>
          </w:tcPr>
          <w:p>
            <w:pPr>
              <w:spacing w:after="0"/>
              <w:rPr>
                <w:sz w:val="19"/>
                <w:szCs w:val="19"/>
                <w:color w:val="auto"/>
              </w:rPr>
            </w:pPr>
          </w:p>
        </w:tc>
        <w:tc>
          <w:tcPr>
            <w:tcW w:w="3120" w:type="dxa"/>
            <w:vAlign w:val="bottom"/>
            <w:shd w:val="clear" w:color="auto" w:fill="007CBA"/>
          </w:tcPr>
          <w:p>
            <w:pPr>
              <w:jc w:val="center"/>
              <w:ind w:left="50"/>
              <w:spacing w:after="0"/>
              <w:rPr>
                <w:sz w:val="20"/>
                <w:szCs w:val="20"/>
                <w:color w:val="auto"/>
              </w:rPr>
            </w:pPr>
            <w:r>
              <w:rPr>
                <w:rFonts w:ascii="Calibri" w:cs="Calibri" w:eastAsia="Calibri" w:hAnsi="Calibri"/>
                <w:sz w:val="18"/>
                <w:szCs w:val="18"/>
                <w:b w:val="1"/>
                <w:bCs w:val="1"/>
                <w:color w:val="FFFFFF"/>
                <w:w w:val="99"/>
              </w:rPr>
              <w:t>Afected line items in the</w:t>
            </w:r>
          </w:p>
        </w:tc>
      </w:tr>
      <w:tr>
        <w:trPr>
          <w:trHeight w:val="232"/>
        </w:trPr>
        <w:tc>
          <w:tcPr>
            <w:tcW w:w="47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320" w:type="dxa"/>
            <w:vAlign w:val="bottom"/>
            <w:tcBorders>
              <w:bottom w:val="single" w:sz="8" w:color="007CBA"/>
            </w:tcBorders>
            <w:shd w:val="clear" w:color="auto" w:fill="007CBA"/>
          </w:tcPr>
          <w:p>
            <w:pPr>
              <w:spacing w:after="0"/>
              <w:rPr>
                <w:sz w:val="20"/>
                <w:szCs w:val="20"/>
                <w:color w:val="auto"/>
              </w:rPr>
            </w:pPr>
          </w:p>
        </w:tc>
        <w:tc>
          <w:tcPr>
            <w:tcW w:w="820" w:type="dxa"/>
            <w:vAlign w:val="bottom"/>
            <w:tcBorders>
              <w:bottom w:val="single" w:sz="8" w:color="007CBA"/>
              <w:right w:val="single" w:sz="8" w:color="007CBA"/>
            </w:tcBorders>
            <w:shd w:val="clear" w:color="auto" w:fill="007CBA"/>
          </w:tcPr>
          <w:p>
            <w:pPr>
              <w:jc w:val="right"/>
              <w:ind w:right="290"/>
              <w:spacing w:after="0" w:line="215" w:lineRule="exact"/>
              <w:rPr>
                <w:sz w:val="20"/>
                <w:szCs w:val="20"/>
                <w:color w:val="auto"/>
              </w:rPr>
            </w:pPr>
            <w:r>
              <w:rPr>
                <w:rFonts w:ascii="Calibri" w:cs="Calibri" w:eastAsia="Calibri" w:hAnsi="Calibri"/>
                <w:sz w:val="18"/>
                <w:szCs w:val="18"/>
                <w:b w:val="1"/>
                <w:bCs w:val="1"/>
                <w:color w:val="FFFFFF"/>
              </w:rPr>
              <w:t>2023</w:t>
            </w:r>
          </w:p>
        </w:tc>
        <w:tc>
          <w:tcPr>
            <w:tcW w:w="320" w:type="dxa"/>
            <w:vAlign w:val="bottom"/>
            <w:tcBorders>
              <w:bottom w:val="single" w:sz="8" w:color="007CBA"/>
            </w:tcBorders>
            <w:shd w:val="clear" w:color="auto" w:fill="007CBA"/>
          </w:tcPr>
          <w:p>
            <w:pPr>
              <w:spacing w:after="0"/>
              <w:rPr>
                <w:sz w:val="20"/>
                <w:szCs w:val="20"/>
                <w:color w:val="auto"/>
              </w:rPr>
            </w:pPr>
          </w:p>
        </w:tc>
        <w:tc>
          <w:tcPr>
            <w:tcW w:w="840" w:type="dxa"/>
            <w:vAlign w:val="bottom"/>
            <w:tcBorders>
              <w:bottom w:val="single" w:sz="8" w:color="007CBA"/>
              <w:right w:val="single" w:sz="8" w:color="007CBA"/>
            </w:tcBorders>
            <w:shd w:val="clear" w:color="auto" w:fill="007CBA"/>
          </w:tcPr>
          <w:p>
            <w:pPr>
              <w:jc w:val="right"/>
              <w:ind w:right="310"/>
              <w:spacing w:after="0" w:line="215" w:lineRule="exact"/>
              <w:rPr>
                <w:sz w:val="20"/>
                <w:szCs w:val="20"/>
                <w:color w:val="auto"/>
              </w:rPr>
            </w:pPr>
            <w:r>
              <w:rPr>
                <w:rFonts w:ascii="Calibri" w:cs="Calibri" w:eastAsia="Calibri" w:hAnsi="Calibri"/>
                <w:sz w:val="18"/>
                <w:szCs w:val="18"/>
                <w:color w:val="FFFFFF"/>
              </w:rPr>
              <w:t>2022</w:t>
            </w:r>
          </w:p>
        </w:tc>
        <w:tc>
          <w:tcPr>
            <w:tcW w:w="280" w:type="dxa"/>
            <w:vAlign w:val="bottom"/>
            <w:tcBorders>
              <w:bottom w:val="single" w:sz="8" w:color="007CBA"/>
            </w:tcBorders>
            <w:shd w:val="clear" w:color="auto" w:fill="007CBA"/>
          </w:tcPr>
          <w:p>
            <w:pPr>
              <w:spacing w:after="0"/>
              <w:rPr>
                <w:sz w:val="20"/>
                <w:szCs w:val="20"/>
                <w:color w:val="auto"/>
              </w:rPr>
            </w:pPr>
          </w:p>
        </w:tc>
        <w:tc>
          <w:tcPr>
            <w:tcW w:w="800" w:type="dxa"/>
            <w:vAlign w:val="bottom"/>
            <w:tcBorders>
              <w:bottom w:val="single" w:sz="8" w:color="007CBA"/>
              <w:right w:val="single" w:sz="8" w:color="007CBA"/>
            </w:tcBorders>
            <w:shd w:val="clear" w:color="auto" w:fill="007CBA"/>
          </w:tcPr>
          <w:p>
            <w:pPr>
              <w:jc w:val="right"/>
              <w:ind w:right="270"/>
              <w:spacing w:after="0" w:line="215" w:lineRule="exact"/>
              <w:rPr>
                <w:sz w:val="20"/>
                <w:szCs w:val="20"/>
                <w:color w:val="auto"/>
              </w:rPr>
            </w:pPr>
            <w:r>
              <w:rPr>
                <w:rFonts w:ascii="Calibri" w:cs="Calibri" w:eastAsia="Calibri" w:hAnsi="Calibri"/>
                <w:sz w:val="18"/>
                <w:szCs w:val="18"/>
                <w:color w:val="FFFFFF"/>
              </w:rPr>
              <w:t>2021</w:t>
            </w:r>
          </w:p>
        </w:tc>
        <w:tc>
          <w:tcPr>
            <w:tcW w:w="3120" w:type="dxa"/>
            <w:vAlign w:val="bottom"/>
            <w:tcBorders>
              <w:bottom w:val="single" w:sz="8" w:color="007CBA"/>
            </w:tcBorders>
            <w:shd w:val="clear" w:color="auto" w:fill="007CBA"/>
          </w:tcPr>
          <w:p>
            <w:pPr>
              <w:jc w:val="center"/>
              <w:ind w:left="30"/>
              <w:spacing w:after="0" w:line="215" w:lineRule="exact"/>
              <w:rPr>
                <w:sz w:val="20"/>
                <w:szCs w:val="20"/>
                <w:color w:val="auto"/>
              </w:rPr>
            </w:pPr>
            <w:r>
              <w:rPr>
                <w:rFonts w:ascii="Calibri" w:cs="Calibri" w:eastAsia="Calibri" w:hAnsi="Calibri"/>
                <w:sz w:val="18"/>
                <w:szCs w:val="18"/>
                <w:b w:val="1"/>
                <w:bCs w:val="1"/>
                <w:color w:val="FFFFFF"/>
                <w:w w:val="97"/>
              </w:rPr>
              <w:t>consolidated statements of earnings</w:t>
            </w:r>
          </w:p>
        </w:tc>
      </w:tr>
      <w:tr>
        <w:trPr>
          <w:trHeight w:val="215"/>
        </w:trPr>
        <w:tc>
          <w:tcPr>
            <w:tcW w:w="47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Pension and postretrement beneft plans:</w:t>
            </w:r>
          </w:p>
        </w:tc>
        <w:tc>
          <w:tcPr>
            <w:tcW w:w="320" w:type="dxa"/>
            <w:vAlign w:val="bottom"/>
          </w:tcPr>
          <w:p>
            <w:pPr>
              <w:spacing w:after="0"/>
              <w:rPr>
                <w:sz w:val="18"/>
                <w:szCs w:val="18"/>
                <w:color w:val="auto"/>
              </w:rPr>
            </w:pPr>
          </w:p>
        </w:tc>
        <w:tc>
          <w:tcPr>
            <w:tcW w:w="820" w:type="dxa"/>
            <w:vAlign w:val="bottom"/>
            <w:tcBorders>
              <w:right w:val="single" w:sz="8" w:color="007CBA"/>
            </w:tcBorders>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right w:val="single" w:sz="8" w:color="007CBA"/>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007CBA"/>
            </w:tcBorders>
          </w:tcPr>
          <w:p>
            <w:pPr>
              <w:spacing w:after="0"/>
              <w:rPr>
                <w:sz w:val="18"/>
                <w:szCs w:val="18"/>
                <w:color w:val="auto"/>
              </w:rPr>
            </w:pPr>
          </w:p>
        </w:tc>
        <w:tc>
          <w:tcPr>
            <w:tcW w:w="3120" w:type="dxa"/>
            <w:vAlign w:val="bottom"/>
          </w:tcPr>
          <w:p>
            <w:pPr>
              <w:spacing w:after="0"/>
              <w:rPr>
                <w:sz w:val="18"/>
                <w:szCs w:val="18"/>
                <w:color w:val="auto"/>
              </w:rPr>
            </w:pPr>
          </w:p>
        </w:tc>
      </w:tr>
      <w:tr>
        <w:trPr>
          <w:trHeight w:val="28"/>
        </w:trPr>
        <w:tc>
          <w:tcPr>
            <w:tcW w:w="4740" w:type="dxa"/>
            <w:vAlign w:val="bottom"/>
            <w:tcBorders>
              <w:right w:val="single" w:sz="8" w:color="007CBA"/>
            </w:tcBorders>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right w:val="single" w:sz="8" w:color="007CBA"/>
            </w:tcBorders>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Borders>
              <w:right w:val="single" w:sz="8" w:color="007CBA"/>
            </w:tcBorders>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Borders>
              <w:right w:val="single" w:sz="8" w:color="007CBA"/>
            </w:tcBorders>
          </w:tcPr>
          <w:p>
            <w:pPr>
              <w:spacing w:after="0"/>
              <w:rPr>
                <w:sz w:val="2"/>
                <w:szCs w:val="2"/>
                <w:color w:val="auto"/>
              </w:rPr>
            </w:pPr>
          </w:p>
        </w:tc>
        <w:tc>
          <w:tcPr>
            <w:tcW w:w="3120" w:type="dxa"/>
            <w:vAlign w:val="bottom"/>
          </w:tcPr>
          <w:p>
            <w:pPr>
              <w:spacing w:after="0"/>
              <w:rPr>
                <w:sz w:val="2"/>
                <w:szCs w:val="2"/>
                <w:color w:val="auto"/>
              </w:rPr>
            </w:pPr>
          </w:p>
        </w:tc>
      </w:tr>
      <w:tr>
        <w:trPr>
          <w:trHeight w:val="223"/>
        </w:trPr>
        <w:tc>
          <w:tcPr>
            <w:tcW w:w="474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Setlement charge</w:t>
            </w:r>
          </w:p>
        </w:tc>
        <w:tc>
          <w:tcPr>
            <w:tcW w:w="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8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4.6</w:t>
            </w:r>
          </w:p>
        </w:tc>
        <w:tc>
          <w:tcPr>
            <w:tcW w:w="28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3120" w:type="dxa"/>
            <w:vAlign w:val="bottom"/>
            <w:tcBorders>
              <w:bottom w:val="single" w:sz="8" w:color="E5F1F8"/>
            </w:tcBorders>
            <w:shd w:val="clear" w:color="auto" w:fill="E5F1F8"/>
          </w:tcPr>
          <w:p>
            <w:pPr>
              <w:spacing w:after="0"/>
              <w:rPr>
                <w:sz w:val="19"/>
                <w:szCs w:val="19"/>
                <w:color w:val="auto"/>
              </w:rPr>
            </w:pPr>
          </w:p>
        </w:tc>
      </w:tr>
      <w:tr>
        <w:trPr>
          <w:trHeight w:val="215"/>
        </w:trPr>
        <w:tc>
          <w:tcPr>
            <w:tcW w:w="474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Amortzaton of:</w:t>
            </w:r>
          </w:p>
        </w:tc>
        <w:tc>
          <w:tcPr>
            <w:tcW w:w="320" w:type="dxa"/>
            <w:vAlign w:val="bottom"/>
          </w:tcPr>
          <w:p>
            <w:pPr>
              <w:spacing w:after="0"/>
              <w:rPr>
                <w:sz w:val="18"/>
                <w:szCs w:val="18"/>
                <w:color w:val="auto"/>
              </w:rPr>
            </w:pPr>
          </w:p>
        </w:tc>
        <w:tc>
          <w:tcPr>
            <w:tcW w:w="820" w:type="dxa"/>
            <w:vAlign w:val="bottom"/>
            <w:tcBorders>
              <w:right w:val="single" w:sz="8" w:color="007CBA"/>
            </w:tcBorders>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right w:val="single" w:sz="8" w:color="007CBA"/>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right w:val="single" w:sz="8" w:color="007CBA"/>
            </w:tcBorders>
          </w:tcPr>
          <w:p>
            <w:pPr>
              <w:spacing w:after="0"/>
              <w:rPr>
                <w:sz w:val="18"/>
                <w:szCs w:val="18"/>
                <w:color w:val="auto"/>
              </w:rPr>
            </w:pPr>
          </w:p>
        </w:tc>
        <w:tc>
          <w:tcPr>
            <w:tcW w:w="3120" w:type="dxa"/>
            <w:vAlign w:val="bottom"/>
          </w:tcPr>
          <w:p>
            <w:pPr>
              <w:spacing w:after="0"/>
              <w:rPr>
                <w:sz w:val="18"/>
                <w:szCs w:val="18"/>
                <w:color w:val="auto"/>
              </w:rPr>
            </w:pPr>
          </w:p>
        </w:tc>
      </w:tr>
      <w:tr>
        <w:trPr>
          <w:trHeight w:val="28"/>
        </w:trPr>
        <w:tc>
          <w:tcPr>
            <w:tcW w:w="4740" w:type="dxa"/>
            <w:vAlign w:val="bottom"/>
            <w:tcBorders>
              <w:right w:val="single" w:sz="8" w:color="007CBA"/>
            </w:tcBorders>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Borders>
              <w:right w:val="single" w:sz="8" w:color="007CBA"/>
            </w:tcBorders>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Borders>
              <w:right w:val="single" w:sz="8" w:color="007CBA"/>
            </w:tcBorders>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Borders>
              <w:right w:val="single" w:sz="8" w:color="007CBA"/>
            </w:tcBorders>
          </w:tcPr>
          <w:p>
            <w:pPr>
              <w:spacing w:after="0"/>
              <w:rPr>
                <w:sz w:val="2"/>
                <w:szCs w:val="2"/>
                <w:color w:val="auto"/>
              </w:rPr>
            </w:pPr>
          </w:p>
        </w:tc>
        <w:tc>
          <w:tcPr>
            <w:tcW w:w="3120" w:type="dxa"/>
            <w:vAlign w:val="bottom"/>
          </w:tcPr>
          <w:p>
            <w:pPr>
              <w:spacing w:after="0"/>
              <w:rPr>
                <w:sz w:val="2"/>
                <w:szCs w:val="2"/>
                <w:color w:val="auto"/>
              </w:rPr>
            </w:pPr>
          </w:p>
        </w:tc>
      </w:tr>
      <w:tr>
        <w:trPr>
          <w:trHeight w:val="223"/>
        </w:trPr>
        <w:tc>
          <w:tcPr>
            <w:tcW w:w="4740" w:type="dxa"/>
            <w:vAlign w:val="bottom"/>
            <w:tcBorders>
              <w:bottom w:val="single" w:sz="8" w:color="E5F1F8"/>
              <w:right w:val="single" w:sz="8" w:color="007CBA"/>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Prior service cost</w:t>
            </w:r>
          </w:p>
        </w:tc>
        <w:tc>
          <w:tcPr>
            <w:tcW w:w="320" w:type="dxa"/>
            <w:vAlign w:val="bottom"/>
            <w:tcBorders>
              <w:bottom w:val="single" w:sz="8" w:color="E5F1F8"/>
            </w:tcBorders>
            <w:shd w:val="clear" w:color="auto" w:fill="E5F1F8"/>
          </w:tcPr>
          <w:p>
            <w:pPr>
              <w:spacing w:after="0"/>
              <w:rPr>
                <w:sz w:val="19"/>
                <w:szCs w:val="19"/>
                <w:color w:val="auto"/>
              </w:rPr>
            </w:pPr>
          </w:p>
        </w:tc>
        <w:tc>
          <w:tcPr>
            <w:tcW w:w="8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5.6</w:t>
            </w:r>
          </w:p>
        </w:tc>
        <w:tc>
          <w:tcPr>
            <w:tcW w:w="320" w:type="dxa"/>
            <w:vAlign w:val="bottom"/>
            <w:tcBorders>
              <w:bottom w:val="single" w:sz="8" w:color="E5F1F8"/>
            </w:tcBorders>
            <w:shd w:val="clear" w:color="auto" w:fill="E5F1F8"/>
          </w:tcPr>
          <w:p>
            <w:pPr>
              <w:spacing w:after="0"/>
              <w:rPr>
                <w:sz w:val="19"/>
                <w:szCs w:val="19"/>
                <w:color w:val="auto"/>
              </w:rPr>
            </w:pPr>
          </w:p>
        </w:tc>
        <w:tc>
          <w:tcPr>
            <w:tcW w:w="8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4.0</w:t>
            </w:r>
          </w:p>
        </w:tc>
        <w:tc>
          <w:tcPr>
            <w:tcW w:w="280" w:type="dxa"/>
            <w:vAlign w:val="bottom"/>
            <w:tcBorders>
              <w:bottom w:val="single" w:sz="8" w:color="E5F1F8"/>
            </w:tcBorders>
            <w:shd w:val="clear" w:color="auto" w:fill="E5F1F8"/>
          </w:tcPr>
          <w:p>
            <w:pPr>
              <w:spacing w:after="0"/>
              <w:rPr>
                <w:sz w:val="19"/>
                <w:szCs w:val="19"/>
                <w:color w:val="auto"/>
              </w:rPr>
            </w:pPr>
          </w:p>
        </w:tc>
        <w:tc>
          <w:tcPr>
            <w:tcW w:w="8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3120" w:type="dxa"/>
            <w:vAlign w:val="bottom"/>
            <w:tcBorders>
              <w:bottom w:val="single" w:sz="8" w:color="E5F1F8"/>
            </w:tcBorders>
            <w:shd w:val="clear" w:color="auto" w:fill="E5F1F8"/>
          </w:tcPr>
          <w:p>
            <w:pPr>
              <w:spacing w:after="0"/>
              <w:rPr>
                <w:sz w:val="19"/>
                <w:szCs w:val="19"/>
                <w:color w:val="auto"/>
              </w:rPr>
            </w:pPr>
          </w:p>
        </w:tc>
      </w:tr>
      <w:tr>
        <w:trPr>
          <w:trHeight w:val="215"/>
        </w:trPr>
        <w:tc>
          <w:tcPr>
            <w:tcW w:w="4740" w:type="dxa"/>
            <w:vAlign w:val="bottom"/>
          </w:tcPr>
          <w:p>
            <w:pPr>
              <w:ind w:left="380"/>
              <w:spacing w:after="0" w:line="215" w:lineRule="exact"/>
              <w:rPr>
                <w:sz w:val="20"/>
                <w:szCs w:val="20"/>
                <w:color w:val="auto"/>
              </w:rPr>
            </w:pPr>
            <w:r>
              <w:rPr>
                <w:rFonts w:ascii="Calibri" w:cs="Calibri" w:eastAsia="Calibri" w:hAnsi="Calibri"/>
                <w:sz w:val="18"/>
                <w:szCs w:val="18"/>
                <w:color w:val="auto"/>
              </w:rPr>
              <w:t>Actuarial loss</w:t>
            </w:r>
          </w:p>
        </w:tc>
        <w:tc>
          <w:tcPr>
            <w:tcW w:w="320" w:type="dxa"/>
            <w:vAlign w:val="bottom"/>
          </w:tcPr>
          <w:p>
            <w:pPr>
              <w:spacing w:after="0"/>
              <w:rPr>
                <w:sz w:val="18"/>
                <w:szCs w:val="18"/>
                <w:color w:val="auto"/>
              </w:rPr>
            </w:pPr>
          </w:p>
        </w:tc>
        <w:tc>
          <w:tcPr>
            <w:tcW w:w="82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320" w:type="dxa"/>
            <w:vAlign w:val="bottom"/>
          </w:tcPr>
          <w:p>
            <w:pPr>
              <w:spacing w:after="0"/>
              <w:rPr>
                <w:sz w:val="18"/>
                <w:szCs w:val="18"/>
                <w:color w:val="auto"/>
              </w:rPr>
            </w:pPr>
          </w:p>
        </w:tc>
        <w:tc>
          <w:tcPr>
            <w:tcW w:w="8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3.7</w:t>
            </w:r>
          </w:p>
        </w:tc>
        <w:tc>
          <w:tcPr>
            <w:tcW w:w="280" w:type="dxa"/>
            <w:vAlign w:val="bottom"/>
          </w:tcPr>
          <w:p>
            <w:pPr>
              <w:spacing w:after="0"/>
              <w:rPr>
                <w:sz w:val="18"/>
                <w:szCs w:val="18"/>
                <w:color w:val="auto"/>
              </w:rPr>
            </w:pPr>
          </w:p>
        </w:tc>
        <w:tc>
          <w:tcPr>
            <w:tcW w:w="8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12.1</w:t>
            </w:r>
          </w:p>
        </w:tc>
        <w:tc>
          <w:tcPr>
            <w:tcW w:w="3120" w:type="dxa"/>
            <w:vAlign w:val="bottom"/>
          </w:tcPr>
          <w:p>
            <w:pPr>
              <w:spacing w:after="0"/>
              <w:rPr>
                <w:sz w:val="18"/>
                <w:szCs w:val="18"/>
                <w:color w:val="auto"/>
              </w:rPr>
            </w:pPr>
          </w:p>
        </w:tc>
      </w:tr>
      <w:tr>
        <w:trPr>
          <w:trHeight w:val="28"/>
        </w:trPr>
        <w:tc>
          <w:tcPr>
            <w:tcW w:w="4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r>
      <w:tr>
        <w:trPr>
          <w:trHeight w:val="217"/>
        </w:trPr>
        <w:tc>
          <w:tcPr>
            <w:tcW w:w="4740" w:type="dxa"/>
            <w:vAlign w:val="bottom"/>
            <w:tcBorders>
              <w:bottom w:val="single" w:sz="8" w:color="E5F1F8"/>
              <w:right w:val="single" w:sz="8" w:color="007CBA"/>
            </w:tcBorders>
            <w:shd w:val="clear" w:color="auto" w:fill="E5F1F8"/>
          </w:tcPr>
          <w:p>
            <w:pPr>
              <w:spacing w:after="0"/>
              <w:rPr>
                <w:sz w:val="18"/>
                <w:szCs w:val="18"/>
                <w:color w:val="auto"/>
              </w:rPr>
            </w:pPr>
          </w:p>
        </w:tc>
        <w:tc>
          <w:tcPr>
            <w:tcW w:w="320" w:type="dxa"/>
            <w:vAlign w:val="bottom"/>
            <w:tcBorders>
              <w:bottom w:val="single" w:sz="8" w:color="E5F1F8"/>
            </w:tcBorders>
            <w:shd w:val="clear" w:color="auto" w:fill="E5F1F8"/>
          </w:tcPr>
          <w:p>
            <w:pPr>
              <w:spacing w:after="0"/>
              <w:rPr>
                <w:sz w:val="18"/>
                <w:szCs w:val="18"/>
                <w:color w:val="auto"/>
              </w:rPr>
            </w:pPr>
          </w:p>
        </w:tc>
        <w:tc>
          <w:tcPr>
            <w:tcW w:w="820" w:type="dxa"/>
            <w:vAlign w:val="bottom"/>
            <w:tcBorders>
              <w:bottom w:val="single" w:sz="8" w:color="E5F1F8"/>
              <w:right w:val="single" w:sz="8" w:color="007CBA"/>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5.6</w:t>
            </w:r>
          </w:p>
        </w:tc>
        <w:tc>
          <w:tcPr>
            <w:tcW w:w="320" w:type="dxa"/>
            <w:vAlign w:val="bottom"/>
            <w:tcBorders>
              <w:bottom w:val="single" w:sz="8" w:color="E5F1F8"/>
            </w:tcBorders>
            <w:shd w:val="clear" w:color="auto" w:fill="E5F1F8"/>
          </w:tcPr>
          <w:p>
            <w:pPr>
              <w:spacing w:after="0"/>
              <w:rPr>
                <w:sz w:val="18"/>
                <w:szCs w:val="18"/>
                <w:color w:val="auto"/>
              </w:rPr>
            </w:pPr>
          </w:p>
        </w:tc>
        <w:tc>
          <w:tcPr>
            <w:tcW w:w="840" w:type="dxa"/>
            <w:vAlign w:val="bottom"/>
            <w:tcBorders>
              <w:bottom w:val="single" w:sz="8" w:color="E5F1F8"/>
              <w:right w:val="single" w:sz="8" w:color="007CBA"/>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12.3</w:t>
            </w:r>
          </w:p>
        </w:tc>
        <w:tc>
          <w:tcPr>
            <w:tcW w:w="280" w:type="dxa"/>
            <w:vAlign w:val="bottom"/>
            <w:tcBorders>
              <w:bottom w:val="single" w:sz="8" w:color="E5F1F8"/>
            </w:tcBorders>
            <w:shd w:val="clear" w:color="auto" w:fill="E5F1F8"/>
          </w:tcPr>
          <w:p>
            <w:pPr>
              <w:spacing w:after="0"/>
              <w:rPr>
                <w:sz w:val="18"/>
                <w:szCs w:val="18"/>
                <w:color w:val="auto"/>
              </w:rPr>
            </w:pPr>
          </w:p>
        </w:tc>
        <w:tc>
          <w:tcPr>
            <w:tcW w:w="800" w:type="dxa"/>
            <w:vAlign w:val="bottom"/>
            <w:tcBorders>
              <w:bottom w:val="single" w:sz="8" w:color="E5F1F8"/>
              <w:right w:val="single" w:sz="8" w:color="007CBA"/>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12.1</w:t>
            </w:r>
          </w:p>
        </w:tc>
        <w:tc>
          <w:tcPr>
            <w:tcW w:w="3120" w:type="dxa"/>
            <w:vAlign w:val="bottom"/>
            <w:tcBorders>
              <w:bottom w:val="single" w:sz="8" w:color="E5F1F8"/>
            </w:tcBorders>
            <w:shd w:val="clear" w:color="auto" w:fill="E5F1F8"/>
          </w:tcPr>
          <w:p>
            <w:pPr>
              <w:ind w:left="140"/>
              <w:spacing w:after="0" w:line="208" w:lineRule="exact"/>
              <w:rPr>
                <w:sz w:val="20"/>
                <w:szCs w:val="20"/>
                <w:color w:val="auto"/>
              </w:rPr>
            </w:pPr>
            <w:r>
              <w:rPr>
                <w:rFonts w:ascii="Calibri" w:cs="Calibri" w:eastAsia="Calibri" w:hAnsi="Calibri"/>
                <w:sz w:val="18"/>
                <w:szCs w:val="18"/>
                <w:color w:val="auto"/>
              </w:rPr>
              <w:t>Other nonoperatng income, net</w:t>
            </w:r>
          </w:p>
        </w:tc>
      </w:tr>
      <w:tr>
        <w:trPr>
          <w:trHeight w:val="220"/>
        </w:trPr>
        <w:tc>
          <w:tcPr>
            <w:tcW w:w="4740" w:type="dxa"/>
            <w:vAlign w:val="bottom"/>
          </w:tcPr>
          <w:p>
            <w:pPr>
              <w:ind w:left="200"/>
              <w:spacing w:after="0" w:line="215" w:lineRule="exact"/>
              <w:rPr>
                <w:sz w:val="20"/>
                <w:szCs w:val="20"/>
                <w:color w:val="auto"/>
              </w:rPr>
            </w:pPr>
            <w:r>
              <w:rPr>
                <w:rFonts w:ascii="Calibri" w:cs="Calibri" w:eastAsia="Calibri" w:hAnsi="Calibri"/>
                <w:sz w:val="18"/>
                <w:szCs w:val="18"/>
                <w:color w:val="auto"/>
              </w:rPr>
              <w:t>Tax efect</w:t>
            </w:r>
          </w:p>
        </w:tc>
        <w:tc>
          <w:tcPr>
            <w:tcW w:w="320" w:type="dxa"/>
            <w:vAlign w:val="bottom"/>
          </w:tcPr>
          <w:p>
            <w:pPr>
              <w:spacing w:after="0"/>
              <w:rPr>
                <w:sz w:val="19"/>
                <w:szCs w:val="19"/>
                <w:color w:val="auto"/>
              </w:rPr>
            </w:pPr>
          </w:p>
        </w:tc>
        <w:tc>
          <w:tcPr>
            <w:tcW w:w="8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(1.4 )</w:t>
            </w:r>
          </w:p>
        </w:tc>
        <w:tc>
          <w:tcPr>
            <w:tcW w:w="320" w:type="dxa"/>
            <w:vAlign w:val="bottom"/>
          </w:tcPr>
          <w:p>
            <w:pPr>
              <w:spacing w:after="0"/>
              <w:rPr>
                <w:sz w:val="19"/>
                <w:szCs w:val="19"/>
                <w:color w:val="auto"/>
              </w:rPr>
            </w:pP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(2.8 )</w:t>
            </w:r>
          </w:p>
        </w:tc>
        <w:tc>
          <w:tcPr>
            <w:tcW w:w="280" w:type="dxa"/>
            <w:vAlign w:val="bottom"/>
          </w:tcPr>
          <w:p>
            <w:pPr>
              <w:spacing w:after="0"/>
              <w:rPr>
                <w:sz w:val="19"/>
                <w:szCs w:val="19"/>
                <w:color w:val="auto"/>
              </w:rPr>
            </w:pPr>
          </w:p>
        </w:tc>
        <w:tc>
          <w:tcPr>
            <w:tcW w:w="800" w:type="dxa"/>
            <w:vAlign w:val="bottom"/>
          </w:tcPr>
          <w:p>
            <w:pPr>
              <w:jc w:val="right"/>
              <w:spacing w:after="0" w:line="215" w:lineRule="exact"/>
              <w:rPr>
                <w:sz w:val="20"/>
                <w:szCs w:val="20"/>
                <w:color w:val="auto"/>
              </w:rPr>
            </w:pPr>
            <w:r>
              <w:rPr>
                <w:rFonts w:ascii="Calibri" w:cs="Calibri" w:eastAsia="Calibri" w:hAnsi="Calibri"/>
                <w:sz w:val="18"/>
                <w:szCs w:val="18"/>
                <w:color w:val="auto"/>
              </w:rPr>
              <w:t>(2.9 )</w:t>
            </w:r>
          </w:p>
        </w:tc>
        <w:tc>
          <w:tcPr>
            <w:tcW w:w="3120" w:type="dxa"/>
            <w:vAlign w:val="bottom"/>
          </w:tcPr>
          <w:p>
            <w:pPr>
              <w:ind w:left="140"/>
              <w:spacing w:after="0"/>
              <w:rPr>
                <w:sz w:val="20"/>
                <w:szCs w:val="20"/>
                <w:color w:val="auto"/>
              </w:rPr>
            </w:pPr>
            <w:r>
              <w:rPr>
                <w:rFonts w:ascii="Calibri" w:cs="Calibri" w:eastAsia="Calibri" w:hAnsi="Calibri"/>
                <w:sz w:val="18"/>
                <w:szCs w:val="18"/>
                <w:color w:val="auto"/>
              </w:rPr>
              <w:t>Income tax expense</w:t>
            </w:r>
          </w:p>
        </w:tc>
      </w:tr>
      <w:tr>
        <w:trPr>
          <w:trHeight w:val="24"/>
        </w:trPr>
        <w:tc>
          <w:tcPr>
            <w:tcW w:w="4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120" w:type="dxa"/>
            <w:vAlign w:val="bottom"/>
          </w:tcPr>
          <w:p>
            <w:pPr>
              <w:spacing w:after="0"/>
              <w:rPr>
                <w:sz w:val="2"/>
                <w:szCs w:val="2"/>
                <w:color w:val="auto"/>
              </w:rPr>
            </w:pPr>
          </w:p>
        </w:tc>
      </w:tr>
      <w:tr>
        <w:trPr>
          <w:trHeight w:val="262"/>
        </w:trPr>
        <w:tc>
          <w:tcPr>
            <w:tcW w:w="474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32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82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4.2</w:t>
            </w:r>
          </w:p>
        </w:tc>
        <w:tc>
          <w:tcPr>
            <w:tcW w:w="32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w:t>
            </w:r>
          </w:p>
        </w:tc>
        <w:tc>
          <w:tcPr>
            <w:tcW w:w="84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9.5</w:t>
            </w:r>
          </w:p>
        </w:tc>
        <w:tc>
          <w:tcPr>
            <w:tcW w:w="28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w:t>
            </w:r>
          </w:p>
        </w:tc>
        <w:tc>
          <w:tcPr>
            <w:tcW w:w="80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9.2</w:t>
            </w:r>
          </w:p>
        </w:tc>
        <w:tc>
          <w:tcPr>
            <w:tcW w:w="3120" w:type="dxa"/>
            <w:vAlign w:val="bottom"/>
            <w:tcBorders>
              <w:bottom w:val="single" w:sz="8" w:color="E5F1F8"/>
            </w:tcBorders>
            <w:shd w:val="clear" w:color="auto" w:fill="E5F1F8"/>
          </w:tcPr>
          <w:p>
            <w:pPr>
              <w:spacing w:after="0"/>
              <w:rPr>
                <w:sz w:val="22"/>
                <w:szCs w:val="22"/>
                <w:color w:val="auto"/>
              </w:rPr>
            </w:pPr>
          </w:p>
        </w:tc>
      </w:tr>
      <w:tr>
        <w:trPr>
          <w:trHeight w:val="20"/>
        </w:trPr>
        <w:tc>
          <w:tcPr>
            <w:tcW w:w="47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120" w:type="dxa"/>
            <w:vAlign w:val="bottom"/>
            <w:tcBorders>
              <w:top w:val="single" w:sz="8" w:color="E5F1F8"/>
            </w:tcBorders>
            <w:shd w:val="clear" w:color="auto" w:fill="E5F1F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-671830</wp:posOffset>
            </wp:positionV>
            <wp:extent cx="34290" cy="1885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-671830</wp:posOffset>
            </wp:positionV>
            <wp:extent cx="33655" cy="1885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-671830</wp:posOffset>
            </wp:positionV>
            <wp:extent cx="34290" cy="1885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-671830</wp:posOffset>
            </wp:positionV>
            <wp:extent cx="98425" cy="1885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98425" cy="188595"/>
                    </a:xfrm>
                    <a:prstGeom prst="rect">
                      <a:avLst/>
                    </a:prstGeom>
                    <a:noFill/>
                  </pic:spPr>
                </pic:pic>
              </a:graphicData>
            </a:graphic>
          </wp:anchor>
        </w:drawing>
        <w:drawing>
          <wp:anchor simplePos="0" relativeHeight="251657728" behindDoc="1" locked="0" layoutInCell="0" allowOverlap="1">
            <wp:simplePos x="0" y="0"/>
            <wp:positionH relativeFrom="column">
              <wp:posOffset>2983865</wp:posOffset>
            </wp:positionH>
            <wp:positionV relativeFrom="paragraph">
              <wp:posOffset>-354965</wp:posOffset>
            </wp:positionV>
            <wp:extent cx="34290" cy="3683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3712845</wp:posOffset>
            </wp:positionH>
            <wp:positionV relativeFrom="paragraph">
              <wp:posOffset>-354965</wp:posOffset>
            </wp:positionV>
            <wp:extent cx="33655" cy="3683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-354965</wp:posOffset>
            </wp:positionV>
            <wp:extent cx="34290" cy="3683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5135880</wp:posOffset>
            </wp:positionH>
            <wp:positionV relativeFrom="paragraph">
              <wp:posOffset>-354965</wp:posOffset>
            </wp:positionV>
            <wp:extent cx="98425" cy="3683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98425" cy="36830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213995</wp:posOffset>
            </wp:positionV>
            <wp:extent cx="325755" cy="1968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4" w:name="page85"/>
    <w:bookmarkEnd w:id="84"/>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Earnings Per Common Share</w:t>
      </w:r>
      <w:r>
        <w:rPr>
          <w:rFonts w:ascii="Calibri" w:cs="Calibri" w:eastAsia="Calibri" w:hAnsi="Calibri"/>
          <w:sz w:val="18"/>
          <w:szCs w:val="18"/>
          <w:b w:val="1"/>
          <w:b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Company computes earnings per common share (EPS) pursuant to the two-class method. The two-class method</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determines EPS for common stock and partcipatng securites according to dividends or dividend equivalents and their respectve partcipaton rights in undistributed earnings.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numerator for basic and diluted earnings per common share is net earnings atributable to Martn Marieta, reduced by dividends and undistributed earnings atributable to the Company’s partcipatng securites. The denominator for basic earnings per common share is the weighted-average number of common shares outstanding during the period. Diluted earnings per common share is computed assuming that the weighted-average number of common shares is increased by the conversion, using the treasury stock method, of awards issued to employees and nonemployee members of the Company’s Board of Directors under certain stock-based compensaton arrangements if the conversion is dilutve.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reconciles the numerator and denominator for basic and diluted earnings from contnuing operatons per common share: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2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20" w:type="dxa"/>
            <w:vAlign w:val="bottom"/>
            <w:shd w:val="clear" w:color="auto" w:fill="007CBA"/>
          </w:tcPr>
          <w:p>
            <w:pPr>
              <w:spacing w:after="0"/>
              <w:rPr>
                <w:sz w:val="19"/>
                <w:szCs w:val="19"/>
                <w:color w:val="auto"/>
              </w:rPr>
            </w:pPr>
          </w:p>
        </w:tc>
      </w:tr>
      <w:tr>
        <w:trPr>
          <w:trHeight w:val="232"/>
        </w:trPr>
        <w:tc>
          <w:tcPr>
            <w:tcW w:w="642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2023</w:t>
            </w:r>
          </w:p>
        </w:tc>
        <w:tc>
          <w:tcPr>
            <w:tcW w:w="46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2022</w:t>
            </w:r>
          </w:p>
        </w:tc>
        <w:tc>
          <w:tcPr>
            <w:tcW w:w="460" w:type="dxa"/>
            <w:vAlign w:val="bottom"/>
            <w:tcBorders>
              <w:bottom w:val="single" w:sz="8" w:color="007CBA"/>
            </w:tcBorders>
            <w:shd w:val="clear" w:color="auto" w:fill="007CBA"/>
          </w:tcPr>
          <w:p>
            <w:pPr>
              <w:spacing w:after="0"/>
              <w:rPr>
                <w:sz w:val="20"/>
                <w:szCs w:val="20"/>
                <w:color w:val="auto"/>
              </w:rPr>
            </w:pPr>
          </w:p>
        </w:tc>
        <w:tc>
          <w:tcPr>
            <w:tcW w:w="1120" w:type="dxa"/>
            <w:vAlign w:val="bottom"/>
            <w:tcBorders>
              <w:bottom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2021</w:t>
            </w:r>
          </w:p>
        </w:tc>
      </w:tr>
      <w:tr>
        <w:trPr>
          <w:trHeight w:val="207"/>
        </w:trPr>
        <w:tc>
          <w:tcPr>
            <w:tcW w:w="6420" w:type="dxa"/>
            <w:vAlign w:val="bottom"/>
            <w:tcBorders>
              <w:right w:val="single" w:sz="8" w:color="007CBA"/>
            </w:tcBorders>
          </w:tcPr>
          <w:p>
            <w:pPr>
              <w:ind w:left="120"/>
              <w:spacing w:after="0" w:line="207" w:lineRule="exact"/>
              <w:rPr>
                <w:sz w:val="20"/>
                <w:szCs w:val="20"/>
                <w:color w:val="auto"/>
              </w:rPr>
            </w:pPr>
            <w:r>
              <w:rPr>
                <w:rFonts w:ascii="Calibri" w:cs="Calibri" w:eastAsia="Calibri" w:hAnsi="Calibri"/>
                <w:sz w:val="18"/>
                <w:szCs w:val="18"/>
                <w:color w:val="auto"/>
              </w:rPr>
              <w:t>Net earnings from contnuing operatons atributable to</w:t>
            </w:r>
          </w:p>
        </w:tc>
        <w:tc>
          <w:tcPr>
            <w:tcW w:w="48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2"/>
        </w:trPr>
        <w:tc>
          <w:tcPr>
            <w:tcW w:w="6420" w:type="dxa"/>
            <w:vAlign w:val="bottom"/>
            <w:tcBorders>
              <w:right w:val="single" w:sz="8" w:color="007CBA"/>
            </w:tcBorders>
          </w:tcPr>
          <w:p>
            <w:pPr>
              <w:ind w:left="240"/>
              <w:spacing w:after="0" w:line="215" w:lineRule="exact"/>
              <w:rPr>
                <w:sz w:val="20"/>
                <w:szCs w:val="20"/>
                <w:color w:val="auto"/>
              </w:rPr>
            </w:pPr>
            <w:r>
              <w:rPr>
                <w:rFonts w:ascii="Calibri" w:cs="Calibri" w:eastAsia="Calibri" w:hAnsi="Calibri"/>
                <w:sz w:val="18"/>
                <w:szCs w:val="18"/>
                <w:color w:val="auto"/>
              </w:rPr>
              <w:t>Martn Marieta</w:t>
            </w:r>
          </w:p>
        </w:tc>
        <w:tc>
          <w:tcPr>
            <w:tcW w:w="480" w:type="dxa"/>
            <w:vAlign w:val="bottom"/>
          </w:tcPr>
          <w:p>
            <w:pPr>
              <w:jc w:val="right"/>
              <w:ind w:right="9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1,199.8</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856.3</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702.0</w:t>
            </w:r>
          </w:p>
        </w:tc>
      </w:tr>
      <w:tr>
        <w:trPr>
          <w:trHeight w:val="207"/>
        </w:trPr>
        <w:tc>
          <w:tcPr>
            <w:tcW w:w="6420" w:type="dxa"/>
            <w:vAlign w:val="bottom"/>
            <w:tcBorders>
              <w:right w:val="single" w:sz="8" w:color="E5F1F8"/>
            </w:tcBorders>
            <w:shd w:val="clear" w:color="auto" w:fill="E5F1F8"/>
          </w:tcPr>
          <w:p>
            <w:pPr>
              <w:ind w:left="120"/>
              <w:spacing w:after="0" w:line="207" w:lineRule="exact"/>
              <w:rPr>
                <w:sz w:val="20"/>
                <w:szCs w:val="20"/>
                <w:color w:val="auto"/>
              </w:rPr>
            </w:pPr>
            <w:r>
              <w:rPr>
                <w:rFonts w:ascii="Calibri" w:cs="Calibri" w:eastAsia="Calibri" w:hAnsi="Calibri"/>
                <w:sz w:val="18"/>
                <w:szCs w:val="18"/>
                <w:color w:val="auto"/>
              </w:rPr>
              <w:t>Less: distributed and undistributed earnings atributable to</w:t>
            </w:r>
          </w:p>
        </w:tc>
        <w:tc>
          <w:tcPr>
            <w:tcW w:w="480" w:type="dxa"/>
            <w:vAlign w:val="bottom"/>
            <w:shd w:val="clear" w:color="auto" w:fill="E5F1F8"/>
          </w:tcPr>
          <w:p>
            <w:pPr>
              <w:spacing w:after="0"/>
              <w:rPr>
                <w:sz w:val="18"/>
                <w:szCs w:val="18"/>
                <w:color w:val="auto"/>
              </w:rPr>
            </w:pPr>
          </w:p>
        </w:tc>
        <w:tc>
          <w:tcPr>
            <w:tcW w:w="1160" w:type="dxa"/>
            <w:vAlign w:val="bottom"/>
            <w:tcBorders>
              <w:right w:val="single" w:sz="8" w:color="E5F1F8"/>
            </w:tcBorders>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1140" w:type="dxa"/>
            <w:vAlign w:val="bottom"/>
            <w:tcBorders>
              <w:right w:val="single" w:sz="8" w:color="E5F1F8"/>
            </w:tcBorders>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1120" w:type="dxa"/>
            <w:vAlign w:val="bottom"/>
            <w:shd w:val="clear" w:color="auto" w:fill="E5F1F8"/>
          </w:tcPr>
          <w:p>
            <w:pPr>
              <w:spacing w:after="0"/>
              <w:rPr>
                <w:sz w:val="18"/>
                <w:szCs w:val="18"/>
                <w:color w:val="auto"/>
              </w:rPr>
            </w:pPr>
          </w:p>
        </w:tc>
      </w:tr>
      <w:tr>
        <w:trPr>
          <w:trHeight w:val="257"/>
        </w:trPr>
        <w:tc>
          <w:tcPr>
            <w:tcW w:w="6420" w:type="dxa"/>
            <w:vAlign w:val="bottom"/>
            <w:tcBorders>
              <w:bottom w:val="single" w:sz="8" w:color="E5F1F8"/>
              <w:right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unvested partcipatng securites</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E5F1F8"/>
            </w:tcBorders>
            <w:shd w:val="clear" w:color="auto" w:fill="E5F1F8"/>
          </w:tcPr>
          <w:p>
            <w:pPr>
              <w:spacing w:after="0"/>
              <w:rPr>
                <w:sz w:val="21"/>
                <w:szCs w:val="21"/>
                <w:color w:val="auto"/>
              </w:rPr>
            </w:pP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0.2</w:t>
            </w:r>
          </w:p>
        </w:tc>
      </w:tr>
      <w:tr>
        <w:trPr>
          <w:trHeight w:val="201"/>
        </w:trPr>
        <w:tc>
          <w:tcPr>
            <w:tcW w:w="6420" w:type="dxa"/>
            <w:vAlign w:val="bottom"/>
            <w:tcBorders>
              <w:top w:val="single" w:sz="8" w:color="auto"/>
            </w:tcBorders>
          </w:tcPr>
          <w:p>
            <w:pPr>
              <w:ind w:left="120"/>
              <w:spacing w:after="0" w:line="201" w:lineRule="exact"/>
              <w:rPr>
                <w:sz w:val="20"/>
                <w:szCs w:val="20"/>
                <w:color w:val="auto"/>
              </w:rPr>
            </w:pPr>
            <w:r>
              <w:rPr>
                <w:rFonts w:ascii="Calibri" w:cs="Calibri" w:eastAsia="Calibri" w:hAnsi="Calibri"/>
                <w:sz w:val="18"/>
                <w:szCs w:val="18"/>
                <w:color w:val="auto"/>
              </w:rPr>
              <w:t>Basic and diluted net earnings from contnuing operatons</w:t>
            </w:r>
          </w:p>
        </w:tc>
        <w:tc>
          <w:tcPr>
            <w:tcW w:w="4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15"/>
        </w:trPr>
        <w:tc>
          <w:tcPr>
            <w:tcW w:w="6420" w:type="dxa"/>
            <w:vAlign w:val="bottom"/>
          </w:tcPr>
          <w:p>
            <w:pPr>
              <w:ind w:left="240"/>
              <w:spacing w:after="0" w:line="215" w:lineRule="exact"/>
              <w:rPr>
                <w:sz w:val="20"/>
                <w:szCs w:val="20"/>
                <w:color w:val="auto"/>
              </w:rPr>
            </w:pPr>
            <w:r>
              <w:rPr>
                <w:rFonts w:ascii="Calibri" w:cs="Calibri" w:eastAsia="Calibri" w:hAnsi="Calibri"/>
                <w:sz w:val="18"/>
                <w:szCs w:val="18"/>
                <w:color w:val="auto"/>
              </w:rPr>
              <w:t>atributable to common shareholders atributable to Martn</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420" w:type="dxa"/>
            <w:vAlign w:val="bottom"/>
          </w:tcPr>
          <w:p>
            <w:pPr>
              <w:ind w:left="240"/>
              <w:spacing w:after="0" w:line="216" w:lineRule="exact"/>
              <w:rPr>
                <w:sz w:val="20"/>
                <w:szCs w:val="20"/>
                <w:color w:val="auto"/>
              </w:rPr>
            </w:pPr>
            <w:r>
              <w:rPr>
                <w:rFonts w:ascii="Calibri" w:cs="Calibri" w:eastAsia="Calibri" w:hAnsi="Calibri"/>
                <w:sz w:val="18"/>
                <w:szCs w:val="18"/>
                <w:color w:val="auto"/>
              </w:rPr>
              <w:t>Marieta</w:t>
            </w:r>
          </w:p>
        </w:tc>
        <w:tc>
          <w:tcPr>
            <w:tcW w:w="480" w:type="dxa"/>
            <w:vAlign w:val="bottom"/>
          </w:tcPr>
          <w:p>
            <w:pPr>
              <w:jc w:val="right"/>
              <w:ind w:right="90"/>
              <w:spacing w:after="0" w:line="216" w:lineRule="exact"/>
              <w:rPr>
                <w:sz w:val="20"/>
                <w:szCs w:val="20"/>
                <w:color w:val="auto"/>
              </w:rPr>
            </w:pPr>
            <w:r>
              <w:rPr>
                <w:rFonts w:ascii="Calibri" w:cs="Calibri" w:eastAsia="Calibri" w:hAnsi="Calibri"/>
                <w:sz w:val="18"/>
                <w:szCs w:val="18"/>
                <w:b w:val="1"/>
                <w:bCs w:val="1"/>
                <w:color w:val="auto"/>
              </w:rPr>
              <w:t>$</w:t>
            </w:r>
          </w:p>
        </w:tc>
        <w:tc>
          <w:tcPr>
            <w:tcW w:w="1160" w:type="dxa"/>
            <w:vAlign w:val="bottom"/>
          </w:tcPr>
          <w:p>
            <w:pPr>
              <w:jc w:val="right"/>
              <w:ind w:right="30"/>
              <w:spacing w:after="0" w:line="216" w:lineRule="exact"/>
              <w:rPr>
                <w:sz w:val="20"/>
                <w:szCs w:val="20"/>
                <w:color w:val="auto"/>
              </w:rPr>
            </w:pPr>
            <w:r>
              <w:rPr>
                <w:rFonts w:ascii="Calibri" w:cs="Calibri" w:eastAsia="Calibri" w:hAnsi="Calibri"/>
                <w:sz w:val="18"/>
                <w:szCs w:val="18"/>
                <w:b w:val="1"/>
                <w:bCs w:val="1"/>
                <w:color w:val="auto"/>
              </w:rPr>
              <w:t>1,199.8</w:t>
            </w:r>
          </w:p>
        </w:tc>
        <w:tc>
          <w:tcPr>
            <w:tcW w:w="460" w:type="dxa"/>
            <w:vAlign w:val="bottom"/>
          </w:tcPr>
          <w:p>
            <w:pPr>
              <w:jc w:val="right"/>
              <w:ind w:right="90"/>
              <w:spacing w:after="0" w:line="216"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50"/>
              <w:spacing w:after="0" w:line="216" w:lineRule="exact"/>
              <w:rPr>
                <w:sz w:val="20"/>
                <w:szCs w:val="20"/>
                <w:color w:val="auto"/>
              </w:rPr>
            </w:pPr>
            <w:r>
              <w:rPr>
                <w:rFonts w:ascii="Calibri" w:cs="Calibri" w:eastAsia="Calibri" w:hAnsi="Calibri"/>
                <w:sz w:val="18"/>
                <w:szCs w:val="18"/>
                <w:color w:val="auto"/>
              </w:rPr>
              <w:t>856.3</w:t>
            </w:r>
          </w:p>
        </w:tc>
        <w:tc>
          <w:tcPr>
            <w:tcW w:w="460" w:type="dxa"/>
            <w:vAlign w:val="bottom"/>
          </w:tcPr>
          <w:p>
            <w:pPr>
              <w:jc w:val="right"/>
              <w:ind w:right="110"/>
              <w:spacing w:after="0" w:line="216"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701.8</w:t>
            </w:r>
          </w:p>
        </w:tc>
      </w:tr>
      <w:tr>
        <w:trPr>
          <w:trHeight w:val="37"/>
        </w:trPr>
        <w:tc>
          <w:tcPr>
            <w:tcW w:w="64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6420" w:type="dxa"/>
            <w:vAlign w:val="bottom"/>
            <w:tcBorders>
              <w:right w:val="single" w:sz="8" w:color="007CBA"/>
            </w:tcBorders>
            <w:shd w:val="clear" w:color="auto" w:fill="E5F1F8"/>
          </w:tcPr>
          <w:p>
            <w:pPr>
              <w:spacing w:after="0"/>
              <w:rPr>
                <w:sz w:val="19"/>
                <w:szCs w:val="19"/>
                <w:color w:val="auto"/>
              </w:rPr>
            </w:pPr>
          </w:p>
        </w:tc>
        <w:tc>
          <w:tcPr>
            <w:tcW w:w="48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1120" w:type="dxa"/>
            <w:vAlign w:val="bottom"/>
            <w:shd w:val="clear" w:color="auto" w:fill="E5F1F8"/>
          </w:tcPr>
          <w:p>
            <w:pPr>
              <w:spacing w:after="0"/>
              <w:rPr>
                <w:sz w:val="19"/>
                <w:szCs w:val="19"/>
                <w:color w:val="auto"/>
              </w:rPr>
            </w:pPr>
          </w:p>
        </w:tc>
      </w:tr>
      <w:tr>
        <w:trPr>
          <w:trHeight w:val="243"/>
        </w:trPr>
        <w:tc>
          <w:tcPr>
            <w:tcW w:w="64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Basic weighted-average common shares outstanding</w:t>
            </w:r>
          </w:p>
        </w:tc>
        <w:tc>
          <w:tcPr>
            <w:tcW w:w="480" w:type="dxa"/>
            <w:vAlign w:val="bottom"/>
          </w:tcPr>
          <w:p>
            <w:pPr>
              <w:spacing w:after="0"/>
              <w:rPr>
                <w:sz w:val="21"/>
                <w:szCs w:val="21"/>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61.9</w:t>
            </w:r>
          </w:p>
        </w:tc>
        <w:tc>
          <w:tcPr>
            <w:tcW w:w="460" w:type="dxa"/>
            <w:vAlign w:val="bottom"/>
          </w:tcPr>
          <w:p>
            <w:pPr>
              <w:spacing w:after="0"/>
              <w:rPr>
                <w:sz w:val="21"/>
                <w:szCs w:val="21"/>
                <w:color w:val="auto"/>
              </w:rPr>
            </w:pPr>
          </w:p>
        </w:tc>
        <w:tc>
          <w:tcPr>
            <w:tcW w:w="11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62.3</w:t>
            </w:r>
          </w:p>
        </w:tc>
        <w:tc>
          <w:tcPr>
            <w:tcW w:w="460" w:type="dxa"/>
            <w:vAlign w:val="bottom"/>
          </w:tcPr>
          <w:p>
            <w:pPr>
              <w:spacing w:after="0"/>
              <w:rPr>
                <w:sz w:val="21"/>
                <w:szCs w:val="21"/>
                <w:color w:val="auto"/>
              </w:rPr>
            </w:pP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62.4</w:t>
            </w:r>
          </w:p>
        </w:tc>
      </w:tr>
      <w:tr>
        <w:trPr>
          <w:trHeight w:val="248"/>
        </w:trPr>
        <w:tc>
          <w:tcPr>
            <w:tcW w:w="642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Efect of dilutve employee and director awards</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0.2</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0.2</w:t>
            </w:r>
          </w:p>
        </w:tc>
        <w:tc>
          <w:tcPr>
            <w:tcW w:w="460" w:type="dxa"/>
            <w:vAlign w:val="bottom"/>
            <w:tcBorders>
              <w:bottom w:val="single" w:sz="8" w:color="E5F1F8"/>
            </w:tcBorders>
            <w:shd w:val="clear" w:color="auto" w:fill="E5F1F8"/>
          </w:tcPr>
          <w:p>
            <w:pPr>
              <w:spacing w:after="0"/>
              <w:rPr>
                <w:sz w:val="21"/>
                <w:szCs w:val="21"/>
                <w:color w:val="auto"/>
              </w:rPr>
            </w:pP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0.2</w:t>
            </w:r>
          </w:p>
        </w:tc>
      </w:tr>
      <w:tr>
        <w:trPr>
          <w:trHeight w:val="208"/>
        </w:trPr>
        <w:tc>
          <w:tcPr>
            <w:tcW w:w="642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Diluted weighted-average common shares outstanding</w:t>
            </w: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62.1</w:t>
            </w: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rPr>
              <w:t>62.5</w:t>
            </w: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62.6</w:t>
            </w:r>
          </w:p>
        </w:tc>
      </w:tr>
      <w:tr>
        <w:trPr>
          <w:trHeight w:val="28"/>
        </w:trPr>
        <w:tc>
          <w:tcPr>
            <w:tcW w:w="6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-1417955</wp:posOffset>
            </wp:positionV>
            <wp:extent cx="33655" cy="7797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33655" cy="779780"/>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-1417955</wp:posOffset>
            </wp:positionV>
            <wp:extent cx="33655" cy="77978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33655" cy="77978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-1417955</wp:posOffset>
            </wp:positionV>
            <wp:extent cx="33655" cy="7797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33655" cy="779780"/>
                    </a:xfrm>
                    <a:prstGeom prst="rect">
                      <a:avLst/>
                    </a:prstGeom>
                    <a:noFill/>
                  </pic:spPr>
                </pic:pic>
              </a:graphicData>
            </a:graphic>
          </wp:anchor>
        </w:drawing>
        <w:drawing>
          <wp:anchor simplePos="0" relativeHeight="251657728" behindDoc="1" locked="0" layoutInCell="0" allowOverlap="1">
            <wp:simplePos x="0" y="0"/>
            <wp:positionH relativeFrom="column">
              <wp:posOffset>4055745</wp:posOffset>
            </wp:positionH>
            <wp:positionV relativeFrom="paragraph">
              <wp:posOffset>-354965</wp:posOffset>
            </wp:positionV>
            <wp:extent cx="33655" cy="3683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5092700</wp:posOffset>
            </wp:positionH>
            <wp:positionV relativeFrom="paragraph">
              <wp:posOffset>-354965</wp:posOffset>
            </wp:positionV>
            <wp:extent cx="33655" cy="3683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-354965</wp:posOffset>
            </wp:positionV>
            <wp:extent cx="33655" cy="3683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Reclassifcatons. </w:t>
      </w:r>
      <w:r>
        <w:rPr>
          <w:rFonts w:ascii="Calibri" w:cs="Calibri" w:eastAsia="Calibri" w:hAnsi="Calibri"/>
          <w:sz w:val="18"/>
          <w:szCs w:val="18"/>
          <w:color w:val="000000"/>
        </w:rPr>
        <w:t>As of December 31, 2023, the Company combined products and services revenues and freight revenues into the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i w:val="1"/>
          <w:iCs w:val="1"/>
          <w:color w:val="000000"/>
        </w:rPr>
        <w:t>Total revenues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line item,</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 xml:space="preserve">and combined cost of revenues - products and services and cost of revenues - freight into the </w:t>
      </w:r>
      <w:r>
        <w:rPr>
          <w:rFonts w:ascii="Calibri" w:cs="Calibri" w:eastAsia="Calibri" w:hAnsi="Calibri"/>
          <w:sz w:val="18"/>
          <w:szCs w:val="18"/>
          <w:i w:val="1"/>
          <w:iCs w:val="1"/>
          <w:color w:val="000000"/>
        </w:rPr>
        <w:t>Total cost of revenues</w:t>
      </w:r>
      <w:r>
        <w:rPr>
          <w:rFonts w:ascii="Calibri" w:cs="Calibri" w:eastAsia="Calibri" w:hAnsi="Calibri"/>
          <w:sz w:val="18"/>
          <w:szCs w:val="18"/>
          <w:color w:val="000000"/>
        </w:rPr>
        <w:t xml:space="preserve"> line item on the Company's consolidated statements of earnings. Prior-year informaton has been reclassifed to conform to the current-year presentaton. The reclassifcatons had no impact on the Company's previously reported results of operatons, fnancial positon or cash fows.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New Accountng Pronouncements. </w:t>
      </w:r>
      <w:r>
        <w:rPr>
          <w:rFonts w:ascii="Calibri" w:cs="Calibri" w:eastAsia="Calibri" w:hAnsi="Calibri"/>
          <w:sz w:val="18"/>
          <w:szCs w:val="18"/>
          <w:color w:val="000000"/>
        </w:rPr>
        <w:t>In March 2023, the Financial Accountng Standards Board (FASB) issued Accountng Standards Update (ASU) 2023-02,</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i w:val="1"/>
          <w:iCs w:val="1"/>
          <w:color w:val="000000"/>
        </w:rPr>
        <w:t xml:space="preserve">Investments - Equity Method and Joint Ventures (Topic 323): Accountng for Investments in Tax Credit Structures Using the Proportonal Amortzaton Method, </w:t>
      </w:r>
      <w:r>
        <w:rPr>
          <w:rFonts w:ascii="Calibri" w:cs="Calibri" w:eastAsia="Calibri" w:hAnsi="Calibri"/>
          <w:sz w:val="18"/>
          <w:szCs w:val="18"/>
          <w:color w:val="000000"/>
        </w:rPr>
        <w:t>which amended the guidance related to accountng for investments in tax credit structures to allow the use of the proportonal amortzaton method if certain conditons are met. The amendments also require certain disclosures in annual and interim reportng periods about an entty's tax credit programs. The Company early adopted ASU 2023-02, which did not have a material impact on the Company's results of operatons, cash fows and fnancial conditon, in 2023.</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November 2023, the FASB issued ASU 2023-07, </w:t>
      </w:r>
      <w:r>
        <w:rPr>
          <w:rFonts w:ascii="Calibri" w:cs="Calibri" w:eastAsia="Calibri" w:hAnsi="Calibri"/>
          <w:sz w:val="18"/>
          <w:szCs w:val="18"/>
          <w:i w:val="1"/>
          <w:iCs w:val="1"/>
          <w:color w:val="auto"/>
        </w:rPr>
        <w:t>Segment Reportng (Topic 280): Improvements to Reportable Segment Disclosures</w:t>
      </w:r>
      <w:r>
        <w:rPr>
          <w:rFonts w:ascii="Calibri" w:cs="Calibri" w:eastAsia="Calibri" w:hAnsi="Calibri"/>
          <w:sz w:val="18"/>
          <w:szCs w:val="18"/>
          <w:color w:val="auto"/>
        </w:rPr>
        <w:t>, which requires a public entty to disclose signifcant segment expenses and other segment items on an annual and interim basis and provide in interim periods all disclosures about a reportable segment’s proft or loss and assets that are currently required annually. Additonally, it requires a public entty to disclose the ttle and positon of the Chief Operatng Decision Maker. The ASU does not change how a public entty identfes its operatng segments, aggregates them, or applies the quanttatve thresholds to determine its reportable segments. The new standard is efectve for fscal years beginning afer December 15, 2023, and interim periods within fscal years beginning afer December 15, 2024, with early adopton permited. This ASU requires companies to apply retrospectvely to all prior periods presented in the fnancial statements. The ASU will impact the Company's disclosures, but will have no impacts to its results of operatons, cash fows and fnancial conditon.</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December 2023, the FASB issued ASU 2023-09, </w:t>
      </w:r>
      <w:r>
        <w:rPr>
          <w:rFonts w:ascii="Calibri" w:cs="Calibri" w:eastAsia="Calibri" w:hAnsi="Calibri"/>
          <w:sz w:val="18"/>
          <w:szCs w:val="18"/>
          <w:i w:val="1"/>
          <w:iCs w:val="1"/>
          <w:color w:val="auto"/>
        </w:rPr>
        <w:t>Income Taxes (Topic 740): Improvements to Income Tax Disclosures</w:t>
      </w:r>
      <w:r>
        <w:rPr>
          <w:rFonts w:ascii="Calibri" w:cs="Calibri" w:eastAsia="Calibri" w:hAnsi="Calibri"/>
          <w:sz w:val="18"/>
          <w:szCs w:val="18"/>
          <w:color w:val="auto"/>
        </w:rPr>
        <w:t>, which focuses on the rate reconciliaton and income taxes paid. ASU 2023-09 requires public enttes to disclose, on annual basis, a tabular tax rate reconciliaton using both percentages and currency amounts with specifc categories, broken out into specifed categories with certain reconciling items further broken out by nature and jurisdicton to the extent those items exceed a specifed threshold. Additonally, all enttes are required to disclose income taxes paid, net of refunds received, disaggregated by federal, state/local,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68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5" w:name="page86"/>
    <w:bookmarkEnd w:id="85"/>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and foreign taxes and by individual jurisdicton if the amount is at least 5% of total income tax payments, net of refunds received. The ASU also requires additonal qualitatve disclosures. ASU 2023-09 is efectve prospectvely for annual periods beginning afer December 15, 2024, and early adopton and retrospectve applicaton are permited. The ASU will impact the Company's income tax disclosures, but not its results of operatons, cash fows and fnancial conditon.</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B: Business Combinatons, Divesttures, Discontnued Operatons and Assets and Liabilites Held for Sale</w:t>
      </w:r>
    </w:p>
    <w:p>
      <w:pPr>
        <w:spacing w:after="0" w:line="5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Business Combinatons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January 12, 2024, the Company wholly acquired Albert Frei &amp; Sons, Inc. (AFS), a leading aggregates producer in Colorado. This acquisiton provides more than 60 years (at 2023 producton levels) of high-quality, hard rock reserves to beter serve new and existng customers and enhances the Company's aggregates platorm in the high-growth Denver metropolitan area.</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11, 2024, the Company entered into a defnitve agreement to acquire 20 actve aggregates operatons in Alabama, South Carolina, South Florida, Tennessee, and Virginia from afliates of Blue Water Industries LLC (BWI Southeast) for $2.05 billion in cash. The BWI Southeast acquisiton complements Martn Marieta’s existng geographic footprint in the dynamic southeast region by allowing the Company to expand into new growth platorms in target markets including Nashville and Miami. The transacton is expected to close during 2024, subject to regulatory approvals and other customary closing conditons.</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Divesttures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November 21, 2023, the Company announced that it entered into a defnitve agreement to sell its South Texas cement business and certain of its related ready mixed concrete operatons to CRH Americas Materials, Inc., a subsidiary of CRH plc, for $2.1 billion in cash. Specifcally, the facilites to be divested include the Hunter cement plant in New Braunfels, Texas, related cement distributon terminals and 20 ready mixed concrete plants serving the Austn and San Antonio region. These operatons are reported in the West Group and classifed as assets held for sale as of December 31, 2023. The transacton, which optmizes the Company's product mix portolio and provides additonal balance sheet fexibility to redeploy net proceeds into pure-play aggregates acquisitons, closed on February 9, 2024.</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October 31, 2023, the Company completed the sale of its Tehachapi, California cement plant to UNACEM Corp S.A.A. for $315.0 million in cash. In connecton with the divestture, the Company recorded a $26.3 million pretax loss in discontnued operatons.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In May 2023, the Company divested its Stockton cement import terminal in California.</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June 2022, the Company completed the sale of its Redding, California cement plant, related cement distributon terminals and 14 California ready mix operatons for $235.0 million in cash. In additon, on July 15, 2022, the Company sold its interest in a joint venture that operates a California cement distributon terminal for $15.0 million.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April 2022, the Company divested its Colorado and Central Texas ready mixed concrete operatons to Smyrna Ready Mix Concrete LLC. This transacton optmized the Company's aggregates-led portolio and improved its ability to generate more atractve margins over the long term by reducing both business cyclicality and exposure to raw material cost infaton. The transacton resulted in a pretax gain of $151.9 million, which was included in </w:t>
      </w:r>
      <w:r>
        <w:rPr>
          <w:rFonts w:ascii="Calibri" w:cs="Calibri" w:eastAsia="Calibri" w:hAnsi="Calibri"/>
          <w:sz w:val="18"/>
          <w:szCs w:val="18"/>
          <w:i w:val="1"/>
          <w:iCs w:val="1"/>
          <w:color w:val="auto"/>
        </w:rPr>
        <w:t>Other operatng</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income, net, </w:t>
      </w:r>
      <w:r>
        <w:rPr>
          <w:rFonts w:ascii="Calibri" w:cs="Calibri" w:eastAsia="Calibri" w:hAnsi="Calibri"/>
          <w:sz w:val="18"/>
          <w:szCs w:val="18"/>
          <w:color w:val="auto"/>
        </w:rPr>
        <w:t>on the Company's consolidated statement of earnings for the year ended December 31, 2022 and was inclusive of expenses incurred due to the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divestture. The divested operatons and the gain on divestture were all reported in the West Group.</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Discontnued Operatons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Since October 1, 2021 and through their respectve divestture dates, the aforementoned California cement and ready mix operatons were part of the Company's West Group and classifed as assets held for sale on the Company’s consolidated balance sheets and the associated fnancial results were reported as discontnued operatons on the consolidated statements of earnings. As of December 31, 2023, there were no operatons classifed as discontnued operatons.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230505</wp:posOffset>
            </wp:positionV>
            <wp:extent cx="325755" cy="1974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366"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308"/>
        </w:trPr>
        <w:tc>
          <w:tcPr>
            <w:tcW w:w="6540" w:type="dxa"/>
            <w:vAlign w:val="bottom"/>
          </w:tcPr>
          <w:p>
            <w:pPr>
              <w:spacing w:after="0"/>
              <w:rPr>
                <w:sz w:val="24"/>
                <w:szCs w:val="24"/>
                <w:color w:val="auto"/>
              </w:rPr>
            </w:pPr>
          </w:p>
        </w:tc>
        <w:tc>
          <w:tcPr>
            <w:tcW w:w="4720" w:type="dxa"/>
            <w:vAlign w:val="bottom"/>
            <w:gridSpan w:val="7"/>
          </w:tcPr>
          <w:p>
            <w:pPr>
              <w:ind w:left="100"/>
              <w:spacing w:after="0"/>
              <w:rPr>
                <w:sz w:val="20"/>
                <w:szCs w:val="20"/>
                <w:color w:val="auto"/>
              </w:rPr>
            </w:pPr>
            <w:r>
              <w:rPr>
                <w:rFonts w:ascii="Calibri" w:cs="Calibri" w:eastAsia="Calibri" w:hAnsi="Calibri"/>
                <w:sz w:val="18"/>
                <w:szCs w:val="18"/>
                <w:color w:val="auto"/>
                <w:w w:val="98"/>
              </w:rPr>
              <w:t xml:space="preserve">Part II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8 – Financial Statements and Supplementary Data</w:t>
            </w:r>
          </w:p>
        </w:tc>
      </w:tr>
      <w:tr>
        <w:trPr>
          <w:trHeight w:val="362"/>
        </w:trPr>
        <w:tc>
          <w:tcPr>
            <w:tcW w:w="6540" w:type="dxa"/>
            <w:vAlign w:val="bottom"/>
          </w:tcPr>
          <w:p>
            <w:pPr>
              <w:spacing w:after="0"/>
              <w:rPr>
                <w:sz w:val="20"/>
                <w:szCs w:val="20"/>
                <w:color w:val="auto"/>
              </w:rPr>
            </w:pPr>
            <w:r>
              <w:rPr>
                <w:rFonts w:ascii="Calibri" w:cs="Calibri" w:eastAsia="Calibri" w:hAnsi="Calibri"/>
                <w:sz w:val="18"/>
                <w:szCs w:val="18"/>
                <w:color w:val="auto"/>
              </w:rPr>
              <w:t>Financial results for the Company's discontnued operatons are as follows:</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2"/>
        </w:trPr>
        <w:tc>
          <w:tcPr>
            <w:tcW w:w="6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7"/>
        </w:trPr>
        <w:tc>
          <w:tcPr>
            <w:tcW w:w="6540" w:type="dxa"/>
            <w:vAlign w:val="bottom"/>
            <w:tcBorders>
              <w:right w:val="single" w:sz="8" w:color="007CBA"/>
            </w:tcBorders>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460" w:type="dxa"/>
            <w:vAlign w:val="bottom"/>
            <w:shd w:val="clear" w:color="auto" w:fill="007CBA"/>
          </w:tcPr>
          <w:p>
            <w:pPr>
              <w:spacing w:after="0"/>
              <w:rPr>
                <w:sz w:val="18"/>
                <w:szCs w:val="18"/>
                <w:color w:val="auto"/>
              </w:rPr>
            </w:pPr>
          </w:p>
        </w:tc>
        <w:tc>
          <w:tcPr>
            <w:tcW w:w="120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0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080" w:type="dxa"/>
            <w:vAlign w:val="bottom"/>
            <w:shd w:val="clear" w:color="auto" w:fill="007CBA"/>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65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60" w:type="dxa"/>
            <w:vAlign w:val="bottom"/>
            <w:tcBorders>
              <w:bottom w:val="single" w:sz="8" w:color="007CBA"/>
            </w:tcBorders>
            <w:shd w:val="clear" w:color="auto" w:fill="007CBA"/>
          </w:tcPr>
          <w:p>
            <w:pPr>
              <w:spacing w:after="0"/>
              <w:rPr>
                <w:sz w:val="20"/>
                <w:szCs w:val="20"/>
                <w:color w:val="auto"/>
              </w:rPr>
            </w:pPr>
          </w:p>
        </w:tc>
        <w:tc>
          <w:tcPr>
            <w:tcW w:w="1200" w:type="dxa"/>
            <w:vAlign w:val="bottom"/>
            <w:tcBorders>
              <w:bottom w:val="single" w:sz="8" w:color="007CBA"/>
              <w:right w:val="single" w:sz="8" w:color="007CBA"/>
            </w:tcBorders>
            <w:shd w:val="clear" w:color="auto" w:fill="007CBA"/>
          </w:tcPr>
          <w:p>
            <w:pPr>
              <w:jc w:val="right"/>
              <w:ind w:right="550"/>
              <w:spacing w:after="0" w:line="215" w:lineRule="exact"/>
              <w:rPr>
                <w:sz w:val="20"/>
                <w:szCs w:val="20"/>
                <w:color w:val="auto"/>
              </w:rPr>
            </w:pPr>
            <w:r>
              <w:rPr>
                <w:rFonts w:ascii="Calibri" w:cs="Calibri" w:eastAsia="Calibri" w:hAnsi="Calibri"/>
                <w:sz w:val="18"/>
                <w:szCs w:val="18"/>
                <w:b w:val="1"/>
                <w:bCs w:val="1"/>
                <w:color w:val="FFFFFF"/>
              </w:rPr>
              <w:t>2023</w:t>
            </w:r>
          </w:p>
        </w:tc>
        <w:tc>
          <w:tcPr>
            <w:tcW w:w="440" w:type="dxa"/>
            <w:vAlign w:val="bottom"/>
            <w:tcBorders>
              <w:bottom w:val="single" w:sz="8" w:color="007CBA"/>
            </w:tcBorders>
            <w:shd w:val="clear" w:color="auto" w:fill="007CBA"/>
          </w:tcPr>
          <w:p>
            <w:pPr>
              <w:spacing w:after="0"/>
              <w:rPr>
                <w:sz w:val="20"/>
                <w:szCs w:val="20"/>
                <w:color w:val="auto"/>
              </w:rPr>
            </w:pPr>
          </w:p>
        </w:tc>
        <w:tc>
          <w:tcPr>
            <w:tcW w:w="1080" w:type="dxa"/>
            <w:vAlign w:val="bottom"/>
            <w:tcBorders>
              <w:bottom w:val="single" w:sz="8" w:color="007CBA"/>
              <w:right w:val="single" w:sz="8" w:color="007CBA"/>
            </w:tcBorders>
            <w:shd w:val="clear" w:color="auto" w:fill="007CBA"/>
          </w:tcPr>
          <w:p>
            <w:pPr>
              <w:jc w:val="right"/>
              <w:ind w:right="470"/>
              <w:spacing w:after="0" w:line="215" w:lineRule="exact"/>
              <w:rPr>
                <w:sz w:val="20"/>
                <w:szCs w:val="20"/>
                <w:color w:val="auto"/>
              </w:rPr>
            </w:pPr>
            <w:r>
              <w:rPr>
                <w:rFonts w:ascii="Calibri" w:cs="Calibri" w:eastAsia="Calibri" w:hAnsi="Calibri"/>
                <w:sz w:val="18"/>
                <w:szCs w:val="18"/>
                <w:b w:val="1"/>
                <w:bCs w:val="1"/>
                <w:color w:val="FFFFFF"/>
              </w:rPr>
              <w:t>2022</w:t>
            </w:r>
          </w:p>
        </w:tc>
        <w:tc>
          <w:tcPr>
            <w:tcW w:w="440" w:type="dxa"/>
            <w:vAlign w:val="bottom"/>
            <w:tcBorders>
              <w:bottom w:val="single" w:sz="8" w:color="007CBA"/>
            </w:tcBorders>
            <w:shd w:val="clear" w:color="auto" w:fill="007CBA"/>
          </w:tcPr>
          <w:p>
            <w:pPr>
              <w:spacing w:after="0"/>
              <w:rPr>
                <w:sz w:val="20"/>
                <w:szCs w:val="20"/>
                <w:color w:val="auto"/>
              </w:rPr>
            </w:pPr>
          </w:p>
        </w:tc>
        <w:tc>
          <w:tcPr>
            <w:tcW w:w="1080" w:type="dxa"/>
            <w:vAlign w:val="bottom"/>
            <w:tcBorders>
              <w:bottom w:val="single" w:sz="8" w:color="007CBA"/>
            </w:tcBorders>
            <w:shd w:val="clear" w:color="auto" w:fill="007CBA"/>
          </w:tcPr>
          <w:p>
            <w:pPr>
              <w:jc w:val="right"/>
              <w:ind w:right="450"/>
              <w:spacing w:after="0" w:line="215" w:lineRule="exact"/>
              <w:rPr>
                <w:sz w:val="20"/>
                <w:szCs w:val="20"/>
                <w:color w:val="auto"/>
              </w:rPr>
            </w:pPr>
            <w:r>
              <w:rPr>
                <w:rFonts w:ascii="Calibri" w:cs="Calibri" w:eastAsia="Calibri" w:hAnsi="Calibri"/>
                <w:sz w:val="18"/>
                <w:szCs w:val="18"/>
                <w:b w:val="1"/>
                <w:bCs w:val="1"/>
                <w:color w:val="FFFFFF"/>
              </w:rPr>
              <w:t>2021</w:t>
            </w:r>
          </w:p>
        </w:tc>
        <w:tc>
          <w:tcPr>
            <w:tcW w:w="20" w:type="dxa"/>
            <w:vAlign w:val="bottom"/>
          </w:tcPr>
          <w:p>
            <w:pPr>
              <w:spacing w:after="0"/>
              <w:rPr>
                <w:sz w:val="20"/>
                <w:szCs w:val="20"/>
                <w:color w:val="auto"/>
              </w:rPr>
            </w:pPr>
          </w:p>
        </w:tc>
      </w:tr>
      <w:tr>
        <w:trPr>
          <w:trHeight w:val="215"/>
        </w:trPr>
        <w:tc>
          <w:tcPr>
            <w:tcW w:w="6540" w:type="dxa"/>
            <w:vAlign w:val="bottom"/>
          </w:tcPr>
          <w:p>
            <w:pPr>
              <w:ind w:left="120"/>
              <w:spacing w:after="0" w:line="215" w:lineRule="exact"/>
              <w:rPr>
                <w:sz w:val="20"/>
                <w:szCs w:val="20"/>
                <w:color w:val="auto"/>
              </w:rPr>
            </w:pPr>
            <w:r>
              <w:rPr>
                <w:rFonts w:ascii="Calibri" w:cs="Calibri" w:eastAsia="Calibri" w:hAnsi="Calibri"/>
                <w:sz w:val="18"/>
                <w:szCs w:val="18"/>
                <w:color w:val="auto"/>
              </w:rPr>
              <w:t>Total revenues</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20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94.2</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308.6</w:t>
            </w:r>
          </w:p>
        </w:tc>
        <w:tc>
          <w:tcPr>
            <w:tcW w:w="44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79.2</w:t>
            </w:r>
          </w:p>
        </w:tc>
        <w:tc>
          <w:tcPr>
            <w:tcW w:w="20" w:type="dxa"/>
            <w:vAlign w:val="bottom"/>
          </w:tcPr>
          <w:p>
            <w:pPr>
              <w:spacing w:after="0"/>
              <w:rPr>
                <w:sz w:val="18"/>
                <w:szCs w:val="18"/>
                <w:color w:val="auto"/>
              </w:rPr>
            </w:pPr>
          </w:p>
        </w:tc>
      </w:tr>
      <w:tr>
        <w:trPr>
          <w:trHeight w:val="28"/>
        </w:trPr>
        <w:tc>
          <w:tcPr>
            <w:tcW w:w="6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6540" w:type="dxa"/>
            <w:vAlign w:val="bottom"/>
            <w:tcBorders>
              <w:right w:val="single" w:sz="8" w:color="007CBA"/>
            </w:tcBorders>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1200" w:type="dxa"/>
            <w:vAlign w:val="bottom"/>
            <w:tcBorders>
              <w:right w:val="single" w:sz="8" w:color="007CBA"/>
            </w:tcBorders>
            <w:shd w:val="clear" w:color="auto" w:fill="E5F1F8"/>
          </w:tcPr>
          <w:p>
            <w:pPr>
              <w:spacing w:after="0"/>
              <w:rPr>
                <w:sz w:val="19"/>
                <w:szCs w:val="19"/>
                <w:color w:val="auto"/>
              </w:rPr>
            </w:pPr>
          </w:p>
        </w:tc>
        <w:tc>
          <w:tcPr>
            <w:tcW w:w="440" w:type="dxa"/>
            <w:vAlign w:val="bottom"/>
            <w:shd w:val="clear" w:color="auto" w:fill="E5F1F8"/>
          </w:tcPr>
          <w:p>
            <w:pPr>
              <w:spacing w:after="0"/>
              <w:rPr>
                <w:sz w:val="19"/>
                <w:szCs w:val="19"/>
                <w:color w:val="auto"/>
              </w:rPr>
            </w:pPr>
          </w:p>
        </w:tc>
        <w:tc>
          <w:tcPr>
            <w:tcW w:w="1080" w:type="dxa"/>
            <w:vAlign w:val="bottom"/>
            <w:tcBorders>
              <w:right w:val="single" w:sz="8" w:color="007CBA"/>
            </w:tcBorders>
            <w:shd w:val="clear" w:color="auto" w:fill="E5F1F8"/>
          </w:tcPr>
          <w:p>
            <w:pPr>
              <w:spacing w:after="0"/>
              <w:rPr>
                <w:sz w:val="19"/>
                <w:szCs w:val="19"/>
                <w:color w:val="auto"/>
              </w:rPr>
            </w:pPr>
          </w:p>
        </w:tc>
        <w:tc>
          <w:tcPr>
            <w:tcW w:w="440" w:type="dxa"/>
            <w:vAlign w:val="bottom"/>
            <w:shd w:val="clear" w:color="auto" w:fill="E5F1F8"/>
          </w:tcPr>
          <w:p>
            <w:pPr>
              <w:spacing w:after="0"/>
              <w:rPr>
                <w:sz w:val="19"/>
                <w:szCs w:val="19"/>
                <w:color w:val="auto"/>
              </w:rPr>
            </w:pPr>
          </w:p>
        </w:tc>
        <w:tc>
          <w:tcPr>
            <w:tcW w:w="1080" w:type="dxa"/>
            <w:vAlign w:val="bottom"/>
            <w:shd w:val="clear" w:color="auto" w:fill="E5F1F8"/>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65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Pretax (loss) earnings from operatons</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20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(16.3 )</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16.2</w:t>
            </w:r>
          </w:p>
        </w:tc>
        <w:tc>
          <w:tcPr>
            <w:tcW w:w="44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6.6</w:t>
            </w:r>
          </w:p>
        </w:tc>
        <w:tc>
          <w:tcPr>
            <w:tcW w:w="20" w:type="dxa"/>
            <w:vAlign w:val="bottom"/>
          </w:tcPr>
          <w:p>
            <w:pPr>
              <w:spacing w:after="0"/>
              <w:rPr>
                <w:sz w:val="21"/>
                <w:szCs w:val="21"/>
                <w:color w:val="auto"/>
              </w:rPr>
            </w:pPr>
          </w:p>
        </w:tc>
      </w:tr>
      <w:tr>
        <w:trPr>
          <w:trHeight w:val="248"/>
        </w:trPr>
        <w:tc>
          <w:tcPr>
            <w:tcW w:w="65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Pretax loss on divesttures and sales of assets</w:t>
            </w:r>
          </w:p>
        </w:tc>
        <w:tc>
          <w:tcPr>
            <w:tcW w:w="460" w:type="dxa"/>
            <w:vAlign w:val="bottom"/>
            <w:tcBorders>
              <w:bottom w:val="single" w:sz="8" w:color="E5F1F8"/>
            </w:tcBorders>
            <w:shd w:val="clear" w:color="auto" w:fill="E5F1F8"/>
          </w:tcPr>
          <w:p>
            <w:pPr>
              <w:spacing w:after="0"/>
              <w:rPr>
                <w:sz w:val="21"/>
                <w:szCs w:val="21"/>
                <w:color w:val="auto"/>
              </w:rPr>
            </w:pPr>
          </w:p>
        </w:tc>
        <w:tc>
          <w:tcPr>
            <w:tcW w:w="120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(24.0 )</w:t>
            </w:r>
          </w:p>
        </w:tc>
        <w:tc>
          <w:tcPr>
            <w:tcW w:w="440" w:type="dxa"/>
            <w:vAlign w:val="bottom"/>
            <w:tcBorders>
              <w:bottom w:val="single" w:sz="8" w:color="E5F1F8"/>
            </w:tcBorders>
            <w:shd w:val="clear" w:color="auto" w:fill="E5F1F8"/>
          </w:tcPr>
          <w:p>
            <w:pPr>
              <w:spacing w:after="0"/>
              <w:rPr>
                <w:sz w:val="21"/>
                <w:szCs w:val="21"/>
                <w:color w:val="auto"/>
              </w:rPr>
            </w:pPr>
          </w:p>
        </w:tc>
        <w:tc>
          <w:tcPr>
            <w:tcW w:w="108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(0.7 )</w:t>
            </w:r>
          </w:p>
        </w:tc>
        <w:tc>
          <w:tcPr>
            <w:tcW w:w="440" w:type="dxa"/>
            <w:vAlign w:val="bottom"/>
            <w:tcBorders>
              <w:bottom w:val="single" w:sz="8" w:color="E5F1F8"/>
            </w:tcBorders>
            <w:shd w:val="clear" w:color="auto" w:fill="E5F1F8"/>
          </w:tcPr>
          <w:p>
            <w:pPr>
              <w:spacing w:after="0"/>
              <w:rPr>
                <w:sz w:val="21"/>
                <w:szCs w:val="21"/>
                <w:color w:val="auto"/>
              </w:rPr>
            </w:pPr>
          </w:p>
        </w:tc>
        <w:tc>
          <w:tcPr>
            <w:tcW w:w="108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(6.0 )</w:t>
            </w:r>
          </w:p>
        </w:tc>
        <w:tc>
          <w:tcPr>
            <w:tcW w:w="20" w:type="dxa"/>
            <w:vAlign w:val="bottom"/>
          </w:tcPr>
          <w:p>
            <w:pPr>
              <w:spacing w:after="0"/>
              <w:rPr>
                <w:sz w:val="21"/>
                <w:szCs w:val="21"/>
                <w:color w:val="auto"/>
              </w:rPr>
            </w:pPr>
          </w:p>
        </w:tc>
      </w:tr>
      <w:tr>
        <w:trPr>
          <w:trHeight w:val="237"/>
        </w:trPr>
        <w:tc>
          <w:tcPr>
            <w:tcW w:w="65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Pretax (loss) earnings</w:t>
            </w: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right w:val="single" w:sz="8" w:color="007CBA"/>
            </w:tcBorders>
          </w:tcPr>
          <w:p>
            <w:pPr>
              <w:jc w:val="right"/>
              <w:spacing w:after="0" w:line="208" w:lineRule="exact"/>
              <w:rPr>
                <w:sz w:val="20"/>
                <w:szCs w:val="20"/>
                <w:color w:val="auto"/>
              </w:rPr>
            </w:pPr>
            <w:r>
              <w:rPr>
                <w:rFonts w:ascii="Calibri" w:cs="Calibri" w:eastAsia="Calibri" w:hAnsi="Calibri"/>
                <w:sz w:val="18"/>
                <w:szCs w:val="18"/>
                <w:b w:val="1"/>
                <w:bCs w:val="1"/>
                <w:color w:val="auto"/>
              </w:rPr>
              <w:t>(40.3 )</w:t>
            </w:r>
          </w:p>
        </w:tc>
        <w:tc>
          <w:tcPr>
            <w:tcW w:w="440" w:type="dxa"/>
            <w:vAlign w:val="bottom"/>
            <w:tcBorders>
              <w:top w:val="single" w:sz="8" w:color="auto"/>
            </w:tcBorders>
          </w:tcPr>
          <w:p>
            <w:pPr>
              <w:spacing w:after="0"/>
              <w:rPr>
                <w:sz w:val="20"/>
                <w:szCs w:val="20"/>
                <w:color w:val="auto"/>
              </w:rPr>
            </w:pPr>
          </w:p>
        </w:tc>
        <w:tc>
          <w:tcPr>
            <w:tcW w:w="108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15.5</w:t>
            </w:r>
          </w:p>
        </w:tc>
        <w:tc>
          <w:tcPr>
            <w:tcW w:w="4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0.6</w:t>
            </w:r>
          </w:p>
        </w:tc>
        <w:tc>
          <w:tcPr>
            <w:tcW w:w="20" w:type="dxa"/>
            <w:vAlign w:val="bottom"/>
          </w:tcPr>
          <w:p>
            <w:pPr>
              <w:spacing w:after="0"/>
              <w:rPr>
                <w:sz w:val="20"/>
                <w:szCs w:val="20"/>
                <w:color w:val="auto"/>
              </w:rPr>
            </w:pPr>
          </w:p>
        </w:tc>
      </w:tr>
      <w:tr>
        <w:trPr>
          <w:trHeight w:val="248"/>
        </w:trPr>
        <w:tc>
          <w:tcPr>
            <w:tcW w:w="65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Income tax (beneft) expense</w:t>
            </w:r>
          </w:p>
        </w:tc>
        <w:tc>
          <w:tcPr>
            <w:tcW w:w="460" w:type="dxa"/>
            <w:vAlign w:val="bottom"/>
            <w:tcBorders>
              <w:bottom w:val="single" w:sz="8" w:color="E5F1F8"/>
            </w:tcBorders>
            <w:shd w:val="clear" w:color="auto" w:fill="E5F1F8"/>
          </w:tcPr>
          <w:p>
            <w:pPr>
              <w:spacing w:after="0"/>
              <w:rPr>
                <w:sz w:val="21"/>
                <w:szCs w:val="21"/>
                <w:color w:val="auto"/>
              </w:rPr>
            </w:pPr>
          </w:p>
        </w:tc>
        <w:tc>
          <w:tcPr>
            <w:tcW w:w="120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(9.4 )</w:t>
            </w:r>
          </w:p>
        </w:tc>
        <w:tc>
          <w:tcPr>
            <w:tcW w:w="440" w:type="dxa"/>
            <w:vAlign w:val="bottom"/>
            <w:tcBorders>
              <w:bottom w:val="single" w:sz="8" w:color="E5F1F8"/>
            </w:tcBorders>
            <w:shd w:val="clear" w:color="auto" w:fill="E5F1F8"/>
          </w:tcPr>
          <w:p>
            <w:pPr>
              <w:spacing w:after="0"/>
              <w:rPr>
                <w:sz w:val="21"/>
                <w:szCs w:val="21"/>
                <w:color w:val="auto"/>
              </w:rPr>
            </w:pPr>
          </w:p>
        </w:tc>
        <w:tc>
          <w:tcPr>
            <w:tcW w:w="108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5.0</w:t>
            </w:r>
          </w:p>
        </w:tc>
        <w:tc>
          <w:tcPr>
            <w:tcW w:w="440" w:type="dxa"/>
            <w:vAlign w:val="bottom"/>
            <w:tcBorders>
              <w:bottom w:val="single" w:sz="8" w:color="E5F1F8"/>
            </w:tcBorders>
            <w:shd w:val="clear" w:color="auto" w:fill="E5F1F8"/>
          </w:tcPr>
          <w:p>
            <w:pPr>
              <w:spacing w:after="0"/>
              <w:rPr>
                <w:sz w:val="21"/>
                <w:szCs w:val="21"/>
                <w:color w:val="auto"/>
              </w:rPr>
            </w:pPr>
          </w:p>
        </w:tc>
        <w:tc>
          <w:tcPr>
            <w:tcW w:w="10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0.1</w:t>
            </w:r>
          </w:p>
        </w:tc>
        <w:tc>
          <w:tcPr>
            <w:tcW w:w="20" w:type="dxa"/>
            <w:vAlign w:val="bottom"/>
          </w:tcPr>
          <w:p>
            <w:pPr>
              <w:spacing w:after="0"/>
              <w:rPr>
                <w:sz w:val="21"/>
                <w:szCs w:val="21"/>
                <w:color w:val="auto"/>
              </w:rPr>
            </w:pPr>
          </w:p>
        </w:tc>
      </w:tr>
      <w:tr>
        <w:trPr>
          <w:trHeight w:val="201"/>
        </w:trPr>
        <w:tc>
          <w:tcPr>
            <w:tcW w:w="6540" w:type="dxa"/>
            <w:vAlign w:val="bottom"/>
            <w:tcBorders>
              <w:top w:val="single" w:sz="8" w:color="auto"/>
            </w:tcBorders>
          </w:tcPr>
          <w:p>
            <w:pPr>
              <w:ind w:left="120"/>
              <w:spacing w:after="0" w:line="201" w:lineRule="exact"/>
              <w:rPr>
                <w:sz w:val="20"/>
                <w:szCs w:val="20"/>
                <w:color w:val="auto"/>
              </w:rPr>
            </w:pPr>
            <w:r>
              <w:rPr>
                <w:rFonts w:ascii="Calibri" w:cs="Calibri" w:eastAsia="Calibri" w:hAnsi="Calibri"/>
                <w:sz w:val="18"/>
                <w:szCs w:val="18"/>
                <w:color w:val="auto"/>
              </w:rPr>
              <w:t>(Loss) Earnings from discontnued operatons, net of income tax</w:t>
            </w:r>
          </w:p>
        </w:tc>
        <w:tc>
          <w:tcPr>
            <w:tcW w:w="4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6540" w:type="dxa"/>
            <w:vAlign w:val="bottom"/>
          </w:tcPr>
          <w:p>
            <w:pPr>
              <w:ind w:left="240"/>
              <w:spacing w:after="0" w:line="215" w:lineRule="exact"/>
              <w:rPr>
                <w:sz w:val="20"/>
                <w:szCs w:val="20"/>
                <w:color w:val="auto"/>
              </w:rPr>
            </w:pPr>
            <w:r>
              <w:rPr>
                <w:rFonts w:ascii="Calibri" w:cs="Calibri" w:eastAsia="Calibri" w:hAnsi="Calibri"/>
                <w:sz w:val="18"/>
                <w:szCs w:val="18"/>
                <w:color w:val="auto"/>
              </w:rPr>
              <w:t>(beneft) expense</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2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(30.9 )</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10.5</w:t>
            </w:r>
          </w:p>
        </w:tc>
        <w:tc>
          <w:tcPr>
            <w:tcW w:w="44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0.5</w:t>
            </w:r>
          </w:p>
        </w:tc>
        <w:tc>
          <w:tcPr>
            <w:tcW w:w="20" w:type="dxa"/>
            <w:vAlign w:val="bottom"/>
          </w:tcPr>
          <w:p>
            <w:pPr>
              <w:spacing w:after="0"/>
              <w:rPr>
                <w:sz w:val="18"/>
                <w:szCs w:val="18"/>
                <w:color w:val="auto"/>
              </w:rPr>
            </w:pPr>
          </w:p>
        </w:tc>
      </w:tr>
      <w:tr>
        <w:trPr>
          <w:trHeight w:val="37"/>
        </w:trPr>
        <w:tc>
          <w:tcPr>
            <w:tcW w:w="65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2"/>
        </w:trPr>
        <w:tc>
          <w:tcPr>
            <w:tcW w:w="6540" w:type="dxa"/>
            <w:vAlign w:val="bottom"/>
          </w:tcPr>
          <w:p>
            <w:pPr>
              <w:spacing w:after="0"/>
              <w:rPr>
                <w:sz w:val="20"/>
                <w:szCs w:val="20"/>
                <w:color w:val="auto"/>
              </w:rPr>
            </w:pPr>
            <w:r>
              <w:rPr>
                <w:rFonts w:ascii="Calibri" w:cs="Calibri" w:eastAsia="Calibri" w:hAnsi="Calibri"/>
                <w:sz w:val="18"/>
                <w:szCs w:val="18"/>
                <w:color w:val="auto"/>
              </w:rPr>
              <w:t>Cash fow informaton for the Company's discontnued operatons is as follows:</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1"/>
        </w:trPr>
        <w:tc>
          <w:tcPr>
            <w:tcW w:w="6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07"/>
        </w:trPr>
        <w:tc>
          <w:tcPr>
            <w:tcW w:w="6540" w:type="dxa"/>
            <w:vAlign w:val="bottom"/>
            <w:tcBorders>
              <w:right w:val="single" w:sz="8" w:color="007CBA"/>
            </w:tcBorders>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460" w:type="dxa"/>
            <w:vAlign w:val="bottom"/>
            <w:shd w:val="clear" w:color="auto" w:fill="007CBA"/>
          </w:tcPr>
          <w:p>
            <w:pPr>
              <w:spacing w:after="0"/>
              <w:rPr>
                <w:sz w:val="18"/>
                <w:szCs w:val="18"/>
                <w:color w:val="auto"/>
              </w:rPr>
            </w:pPr>
          </w:p>
        </w:tc>
        <w:tc>
          <w:tcPr>
            <w:tcW w:w="120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0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080" w:type="dxa"/>
            <w:vAlign w:val="bottom"/>
            <w:shd w:val="clear" w:color="auto" w:fill="007CBA"/>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65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60" w:type="dxa"/>
            <w:vAlign w:val="bottom"/>
            <w:tcBorders>
              <w:bottom w:val="single" w:sz="8" w:color="007CBA"/>
            </w:tcBorders>
            <w:shd w:val="clear" w:color="auto" w:fill="007CBA"/>
          </w:tcPr>
          <w:p>
            <w:pPr>
              <w:spacing w:after="0"/>
              <w:rPr>
                <w:sz w:val="20"/>
                <w:szCs w:val="20"/>
                <w:color w:val="auto"/>
              </w:rPr>
            </w:pPr>
          </w:p>
        </w:tc>
        <w:tc>
          <w:tcPr>
            <w:tcW w:w="1200" w:type="dxa"/>
            <w:vAlign w:val="bottom"/>
            <w:tcBorders>
              <w:bottom w:val="single" w:sz="8" w:color="007CBA"/>
              <w:right w:val="single" w:sz="8" w:color="007CBA"/>
            </w:tcBorders>
            <w:shd w:val="clear" w:color="auto" w:fill="007CBA"/>
          </w:tcPr>
          <w:p>
            <w:pPr>
              <w:jc w:val="right"/>
              <w:ind w:right="550"/>
              <w:spacing w:after="0" w:line="215" w:lineRule="exact"/>
              <w:rPr>
                <w:sz w:val="20"/>
                <w:szCs w:val="20"/>
                <w:color w:val="auto"/>
              </w:rPr>
            </w:pPr>
            <w:r>
              <w:rPr>
                <w:rFonts w:ascii="Calibri" w:cs="Calibri" w:eastAsia="Calibri" w:hAnsi="Calibri"/>
                <w:sz w:val="18"/>
                <w:szCs w:val="18"/>
                <w:b w:val="1"/>
                <w:bCs w:val="1"/>
                <w:color w:val="FFFFFF"/>
              </w:rPr>
              <w:t>2023</w:t>
            </w:r>
          </w:p>
        </w:tc>
        <w:tc>
          <w:tcPr>
            <w:tcW w:w="440" w:type="dxa"/>
            <w:vAlign w:val="bottom"/>
            <w:tcBorders>
              <w:bottom w:val="single" w:sz="8" w:color="007CBA"/>
            </w:tcBorders>
            <w:shd w:val="clear" w:color="auto" w:fill="007CBA"/>
          </w:tcPr>
          <w:p>
            <w:pPr>
              <w:spacing w:after="0"/>
              <w:rPr>
                <w:sz w:val="20"/>
                <w:szCs w:val="20"/>
                <w:color w:val="auto"/>
              </w:rPr>
            </w:pPr>
          </w:p>
        </w:tc>
        <w:tc>
          <w:tcPr>
            <w:tcW w:w="1080" w:type="dxa"/>
            <w:vAlign w:val="bottom"/>
            <w:tcBorders>
              <w:bottom w:val="single" w:sz="8" w:color="007CBA"/>
              <w:right w:val="single" w:sz="8" w:color="007CBA"/>
            </w:tcBorders>
            <w:shd w:val="clear" w:color="auto" w:fill="007CBA"/>
          </w:tcPr>
          <w:p>
            <w:pPr>
              <w:jc w:val="right"/>
              <w:ind w:right="470"/>
              <w:spacing w:after="0" w:line="215" w:lineRule="exact"/>
              <w:rPr>
                <w:sz w:val="20"/>
                <w:szCs w:val="20"/>
                <w:color w:val="auto"/>
              </w:rPr>
            </w:pPr>
            <w:r>
              <w:rPr>
                <w:rFonts w:ascii="Calibri" w:cs="Calibri" w:eastAsia="Calibri" w:hAnsi="Calibri"/>
                <w:sz w:val="18"/>
                <w:szCs w:val="18"/>
                <w:b w:val="1"/>
                <w:bCs w:val="1"/>
                <w:color w:val="FFFFFF"/>
              </w:rPr>
              <w:t>2022</w:t>
            </w:r>
          </w:p>
        </w:tc>
        <w:tc>
          <w:tcPr>
            <w:tcW w:w="440" w:type="dxa"/>
            <w:vAlign w:val="bottom"/>
            <w:tcBorders>
              <w:bottom w:val="single" w:sz="8" w:color="007CBA"/>
            </w:tcBorders>
            <w:shd w:val="clear" w:color="auto" w:fill="007CBA"/>
          </w:tcPr>
          <w:p>
            <w:pPr>
              <w:spacing w:after="0"/>
              <w:rPr>
                <w:sz w:val="20"/>
                <w:szCs w:val="20"/>
                <w:color w:val="auto"/>
              </w:rPr>
            </w:pPr>
          </w:p>
        </w:tc>
        <w:tc>
          <w:tcPr>
            <w:tcW w:w="1080" w:type="dxa"/>
            <w:vAlign w:val="bottom"/>
            <w:tcBorders>
              <w:bottom w:val="single" w:sz="8" w:color="007CBA"/>
            </w:tcBorders>
            <w:shd w:val="clear" w:color="auto" w:fill="007CBA"/>
          </w:tcPr>
          <w:p>
            <w:pPr>
              <w:jc w:val="right"/>
              <w:ind w:right="450"/>
              <w:spacing w:after="0" w:line="215" w:lineRule="exact"/>
              <w:rPr>
                <w:sz w:val="20"/>
                <w:szCs w:val="20"/>
                <w:color w:val="auto"/>
              </w:rPr>
            </w:pPr>
            <w:r>
              <w:rPr>
                <w:rFonts w:ascii="Calibri" w:cs="Calibri" w:eastAsia="Calibri" w:hAnsi="Calibri"/>
                <w:sz w:val="18"/>
                <w:szCs w:val="18"/>
                <w:b w:val="1"/>
                <w:bCs w:val="1"/>
                <w:color w:val="FFFFFF"/>
              </w:rPr>
              <w:t>2021</w:t>
            </w:r>
          </w:p>
        </w:tc>
        <w:tc>
          <w:tcPr>
            <w:tcW w:w="20" w:type="dxa"/>
            <w:vAlign w:val="bottom"/>
          </w:tcPr>
          <w:p>
            <w:pPr>
              <w:spacing w:after="0"/>
              <w:rPr>
                <w:sz w:val="20"/>
                <w:szCs w:val="20"/>
                <w:color w:val="auto"/>
              </w:rPr>
            </w:pPr>
          </w:p>
        </w:tc>
      </w:tr>
      <w:tr>
        <w:trPr>
          <w:trHeight w:val="215"/>
        </w:trPr>
        <w:tc>
          <w:tcPr>
            <w:tcW w:w="6540" w:type="dxa"/>
            <w:vAlign w:val="bottom"/>
          </w:tcPr>
          <w:p>
            <w:pPr>
              <w:ind w:left="120"/>
              <w:spacing w:after="0" w:line="215" w:lineRule="exact"/>
              <w:rPr>
                <w:sz w:val="20"/>
                <w:szCs w:val="20"/>
                <w:color w:val="auto"/>
              </w:rPr>
            </w:pPr>
            <w:r>
              <w:rPr>
                <w:rFonts w:ascii="Calibri" w:cs="Calibri" w:eastAsia="Calibri" w:hAnsi="Calibri"/>
                <w:sz w:val="18"/>
                <w:szCs w:val="18"/>
                <w:color w:val="auto"/>
              </w:rPr>
              <w:t>Net cash provided by (used for) operatng actvites</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20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0.6</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(31.6 )</w:t>
            </w:r>
          </w:p>
        </w:tc>
        <w:tc>
          <w:tcPr>
            <w:tcW w:w="44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(8.2 )</w:t>
            </w:r>
          </w:p>
        </w:tc>
        <w:tc>
          <w:tcPr>
            <w:tcW w:w="20" w:type="dxa"/>
            <w:vAlign w:val="bottom"/>
          </w:tcPr>
          <w:p>
            <w:pPr>
              <w:spacing w:after="0"/>
              <w:rPr>
                <w:sz w:val="18"/>
                <w:szCs w:val="18"/>
                <w:color w:val="auto"/>
              </w:rPr>
            </w:pPr>
          </w:p>
        </w:tc>
      </w:tr>
      <w:tr>
        <w:trPr>
          <w:trHeight w:val="28"/>
        </w:trPr>
        <w:tc>
          <w:tcPr>
            <w:tcW w:w="6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6540" w:type="dxa"/>
            <w:vAlign w:val="bottom"/>
            <w:tcBorders>
              <w:bottom w:val="single" w:sz="8" w:color="E5F1F8"/>
              <w:right w:val="single" w:sz="8" w:color="007CBA"/>
            </w:tcBorders>
            <w:shd w:val="clear" w:color="auto" w:fill="E5F1F8"/>
          </w:tcPr>
          <w:p>
            <w:pPr>
              <w:ind w:left="120"/>
              <w:spacing w:after="0" w:line="196" w:lineRule="exact"/>
              <w:rPr>
                <w:sz w:val="20"/>
                <w:szCs w:val="20"/>
                <w:color w:val="auto"/>
              </w:rPr>
            </w:pPr>
            <w:r>
              <w:rPr>
                <w:rFonts w:ascii="Calibri" w:cs="Calibri" w:eastAsia="Calibri" w:hAnsi="Calibri"/>
                <w:sz w:val="18"/>
                <w:szCs w:val="18"/>
                <w:color w:val="auto"/>
              </w:rPr>
              <w:t>Additons to property, plant and equipment</w:t>
            </w:r>
          </w:p>
        </w:tc>
        <w:tc>
          <w:tcPr>
            <w:tcW w:w="460" w:type="dxa"/>
            <w:vAlign w:val="bottom"/>
            <w:tcBorders>
              <w:bottom w:val="single" w:sz="8" w:color="E5F1F8"/>
            </w:tcBorders>
            <w:shd w:val="clear" w:color="auto" w:fill="E5F1F8"/>
          </w:tcPr>
          <w:p>
            <w:pPr>
              <w:jc w:val="right"/>
              <w:ind w:right="110"/>
              <w:spacing w:after="0" w:line="196" w:lineRule="exact"/>
              <w:rPr>
                <w:sz w:val="20"/>
                <w:szCs w:val="20"/>
                <w:color w:val="auto"/>
              </w:rPr>
            </w:pPr>
            <w:r>
              <w:rPr>
                <w:rFonts w:ascii="Calibri" w:cs="Calibri" w:eastAsia="Calibri" w:hAnsi="Calibri"/>
                <w:sz w:val="18"/>
                <w:szCs w:val="18"/>
                <w:b w:val="1"/>
                <w:bCs w:val="1"/>
                <w:color w:val="auto"/>
              </w:rPr>
              <w:t>$</w:t>
            </w:r>
          </w:p>
        </w:tc>
        <w:tc>
          <w:tcPr>
            <w:tcW w:w="1200" w:type="dxa"/>
            <w:vAlign w:val="bottom"/>
            <w:tcBorders>
              <w:bottom w:val="single" w:sz="8" w:color="E5F1F8"/>
              <w:right w:val="single" w:sz="8" w:color="007CBA"/>
            </w:tcBorders>
            <w:shd w:val="clear" w:color="auto" w:fill="E5F1F8"/>
          </w:tcPr>
          <w:p>
            <w:pPr>
              <w:jc w:val="right"/>
              <w:spacing w:after="0" w:line="196" w:lineRule="exact"/>
              <w:rPr>
                <w:sz w:val="20"/>
                <w:szCs w:val="20"/>
                <w:color w:val="auto"/>
              </w:rPr>
            </w:pPr>
            <w:r>
              <w:rPr>
                <w:rFonts w:ascii="Calibri" w:cs="Calibri" w:eastAsia="Calibri" w:hAnsi="Calibri"/>
                <w:sz w:val="18"/>
                <w:szCs w:val="18"/>
                <w:b w:val="1"/>
                <w:bCs w:val="1"/>
                <w:color w:val="auto"/>
              </w:rPr>
              <w:t>(3.0 )</w:t>
            </w:r>
          </w:p>
        </w:tc>
        <w:tc>
          <w:tcPr>
            <w:tcW w:w="440" w:type="dxa"/>
            <w:vAlign w:val="bottom"/>
            <w:tcBorders>
              <w:bottom w:val="single" w:sz="8" w:color="E5F1F8"/>
            </w:tcBorders>
            <w:shd w:val="clear" w:color="auto" w:fill="E5F1F8"/>
          </w:tcPr>
          <w:p>
            <w:pPr>
              <w:jc w:val="right"/>
              <w:ind w:right="90"/>
              <w:spacing w:after="0" w:line="196"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E5F1F8"/>
              <w:right w:val="single" w:sz="8" w:color="007CBA"/>
            </w:tcBorders>
            <w:shd w:val="clear" w:color="auto" w:fill="E5F1F8"/>
          </w:tcPr>
          <w:p>
            <w:pPr>
              <w:jc w:val="right"/>
              <w:spacing w:after="0" w:line="196" w:lineRule="exact"/>
              <w:rPr>
                <w:sz w:val="20"/>
                <w:szCs w:val="20"/>
                <w:color w:val="auto"/>
              </w:rPr>
            </w:pPr>
            <w:r>
              <w:rPr>
                <w:rFonts w:ascii="Calibri" w:cs="Calibri" w:eastAsia="Calibri" w:hAnsi="Calibri"/>
                <w:sz w:val="18"/>
                <w:szCs w:val="18"/>
                <w:color w:val="auto"/>
              </w:rPr>
              <w:t>(15.5 )</w:t>
            </w:r>
          </w:p>
        </w:tc>
        <w:tc>
          <w:tcPr>
            <w:tcW w:w="440" w:type="dxa"/>
            <w:vAlign w:val="bottom"/>
            <w:tcBorders>
              <w:bottom w:val="single" w:sz="8" w:color="E5F1F8"/>
            </w:tcBorders>
            <w:shd w:val="clear" w:color="auto" w:fill="E5F1F8"/>
          </w:tcPr>
          <w:p>
            <w:pPr>
              <w:jc w:val="right"/>
              <w:ind w:right="70"/>
              <w:spacing w:after="0" w:line="196"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E5F1F8"/>
            </w:tcBorders>
            <w:shd w:val="clear" w:color="auto" w:fill="E5F1F8"/>
          </w:tcPr>
          <w:p>
            <w:pPr>
              <w:jc w:val="right"/>
              <w:spacing w:after="0" w:line="196" w:lineRule="exact"/>
              <w:rPr>
                <w:sz w:val="20"/>
                <w:szCs w:val="20"/>
                <w:color w:val="auto"/>
              </w:rPr>
            </w:pPr>
            <w:r>
              <w:rPr>
                <w:rFonts w:ascii="Calibri" w:cs="Calibri" w:eastAsia="Calibri" w:hAnsi="Calibri"/>
                <w:sz w:val="18"/>
                <w:szCs w:val="18"/>
                <w:color w:val="auto"/>
              </w:rPr>
              <w:t>(3.7 )</w:t>
            </w:r>
          </w:p>
        </w:tc>
        <w:tc>
          <w:tcPr>
            <w:tcW w:w="20" w:type="dxa"/>
            <w:vAlign w:val="bottom"/>
          </w:tcPr>
          <w:p>
            <w:pPr>
              <w:spacing w:after="0"/>
              <w:rPr>
                <w:sz w:val="17"/>
                <w:szCs w:val="17"/>
                <w:color w:val="auto"/>
              </w:rPr>
            </w:pPr>
          </w:p>
        </w:tc>
      </w:tr>
      <w:tr>
        <w:trPr>
          <w:trHeight w:val="215"/>
        </w:trPr>
        <w:tc>
          <w:tcPr>
            <w:tcW w:w="6540" w:type="dxa"/>
            <w:vAlign w:val="bottom"/>
          </w:tcPr>
          <w:p>
            <w:pPr>
              <w:ind w:left="120"/>
              <w:spacing w:after="0" w:line="215" w:lineRule="exact"/>
              <w:rPr>
                <w:sz w:val="20"/>
                <w:szCs w:val="20"/>
                <w:color w:val="auto"/>
              </w:rPr>
            </w:pPr>
            <w:r>
              <w:rPr>
                <w:rFonts w:ascii="Calibri" w:cs="Calibri" w:eastAsia="Calibri" w:hAnsi="Calibri"/>
                <w:sz w:val="18"/>
                <w:szCs w:val="18"/>
                <w:color w:val="auto"/>
              </w:rPr>
              <w:t>Proceeds from divesttures and sales of assets</w:t>
            </w:r>
          </w:p>
        </w:tc>
        <w:tc>
          <w:tcPr>
            <w:tcW w:w="460" w:type="dxa"/>
            <w:vAlign w:val="bottom"/>
          </w:tcPr>
          <w:p>
            <w:pPr>
              <w:spacing w:after="0"/>
              <w:rPr>
                <w:sz w:val="18"/>
                <w:szCs w:val="18"/>
                <w:color w:val="auto"/>
              </w:rPr>
            </w:pPr>
          </w:p>
        </w:tc>
        <w:tc>
          <w:tcPr>
            <w:tcW w:w="120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372.0</w:t>
            </w:r>
          </w:p>
        </w:tc>
        <w:tc>
          <w:tcPr>
            <w:tcW w:w="440" w:type="dxa"/>
            <w:vAlign w:val="bottom"/>
          </w:tcPr>
          <w:p>
            <w:pPr>
              <w:spacing w:after="0"/>
              <w:rPr>
                <w:sz w:val="18"/>
                <w:szCs w:val="18"/>
                <w:color w:val="auto"/>
              </w:rPr>
            </w:pPr>
          </w:p>
        </w:tc>
        <w:tc>
          <w:tcPr>
            <w:tcW w:w="10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249.9</w:t>
            </w:r>
          </w:p>
        </w:tc>
        <w:tc>
          <w:tcPr>
            <w:tcW w:w="440" w:type="dxa"/>
            <w:vAlign w:val="bottom"/>
          </w:tcPr>
          <w:p>
            <w:pPr>
              <w:spacing w:after="0"/>
              <w:rPr>
                <w:sz w:val="18"/>
                <w:szCs w:val="18"/>
                <w:color w:val="auto"/>
              </w:rPr>
            </w:pPr>
          </w:p>
        </w:tc>
        <w:tc>
          <w:tcPr>
            <w:tcW w:w="10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r>
      <w:tr>
        <w:trPr>
          <w:trHeight w:val="28"/>
        </w:trPr>
        <w:tc>
          <w:tcPr>
            <w:tcW w:w="6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1"/>
        </w:trPr>
        <w:tc>
          <w:tcPr>
            <w:tcW w:w="654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Net cash provided by (used for) investng actvites</w:t>
            </w:r>
          </w:p>
        </w:tc>
        <w:tc>
          <w:tcPr>
            <w:tcW w:w="46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20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369.0</w:t>
            </w:r>
          </w:p>
        </w:tc>
        <w:tc>
          <w:tcPr>
            <w:tcW w:w="440" w:type="dxa"/>
            <w:vAlign w:val="bottom"/>
            <w:tcBorders>
              <w:bottom w:val="single" w:sz="8" w:color="E5F1F8"/>
            </w:tcBorders>
            <w:shd w:val="clear" w:color="auto" w:fill="E5F1F8"/>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234.4</w:t>
            </w:r>
          </w:p>
        </w:tc>
        <w:tc>
          <w:tcPr>
            <w:tcW w:w="440" w:type="dxa"/>
            <w:vAlign w:val="bottom"/>
            <w:tcBorders>
              <w:bottom w:val="single" w:sz="8" w:color="E5F1F8"/>
            </w:tcBorders>
            <w:shd w:val="clear" w:color="auto" w:fill="E5F1F8"/>
          </w:tcPr>
          <w:p>
            <w:pPr>
              <w:jc w:val="right"/>
              <w:ind w:right="70"/>
              <w:spacing w:after="0" w:line="208"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(3.7 )</w:t>
            </w:r>
          </w:p>
        </w:tc>
        <w:tc>
          <w:tcPr>
            <w:tcW w:w="20" w:type="dxa"/>
            <w:vAlign w:val="bottom"/>
          </w:tcPr>
          <w:p>
            <w:pPr>
              <w:spacing w:after="0"/>
              <w:rPr>
                <w:sz w:val="22"/>
                <w:szCs w:val="22"/>
                <w:color w:val="auto"/>
              </w:rPr>
            </w:pPr>
          </w:p>
        </w:tc>
      </w:tr>
      <w:tr>
        <w:trPr>
          <w:trHeight w:val="20"/>
        </w:trPr>
        <w:tc>
          <w:tcPr>
            <w:tcW w:w="6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-2566670</wp:posOffset>
            </wp:positionV>
            <wp:extent cx="33655" cy="2051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33655" cy="205105"/>
                    </a:xfrm>
                    <a:prstGeom prst="rect">
                      <a:avLst/>
                    </a:prstGeom>
                    <a:noFill/>
                  </pic:spPr>
                </pic:pic>
              </a:graphicData>
            </a:graphic>
          </wp:anchor>
        </w:drawing>
        <w:drawing>
          <wp:anchor simplePos="0" relativeHeight="251657728" behindDoc="1" locked="0" layoutInCell="0" allowOverlap="1">
            <wp:simplePos x="0" y="0"/>
            <wp:positionH relativeFrom="column">
              <wp:posOffset>5178425</wp:posOffset>
            </wp:positionH>
            <wp:positionV relativeFrom="paragraph">
              <wp:posOffset>-2566670</wp:posOffset>
            </wp:positionV>
            <wp:extent cx="33655" cy="2051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33655" cy="20510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-2566670</wp:posOffset>
            </wp:positionV>
            <wp:extent cx="33655" cy="2051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33655" cy="205105"/>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-2078355</wp:posOffset>
            </wp:positionV>
            <wp:extent cx="33655" cy="1885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5178425</wp:posOffset>
            </wp:positionH>
            <wp:positionV relativeFrom="paragraph">
              <wp:posOffset>-2078355</wp:posOffset>
            </wp:positionV>
            <wp:extent cx="33655" cy="1885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-2078355</wp:posOffset>
            </wp:positionV>
            <wp:extent cx="33655" cy="1885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-1760855</wp:posOffset>
            </wp:positionV>
            <wp:extent cx="33655" cy="5054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33655" cy="505460"/>
                    </a:xfrm>
                    <a:prstGeom prst="rect">
                      <a:avLst/>
                    </a:prstGeom>
                    <a:noFill/>
                  </pic:spPr>
                </pic:pic>
              </a:graphicData>
            </a:graphic>
          </wp:anchor>
        </w:drawing>
        <w:drawing>
          <wp:anchor simplePos="0" relativeHeight="251657728" behindDoc="1" locked="0" layoutInCell="0" allowOverlap="1">
            <wp:simplePos x="0" y="0"/>
            <wp:positionH relativeFrom="column">
              <wp:posOffset>5178425</wp:posOffset>
            </wp:positionH>
            <wp:positionV relativeFrom="paragraph">
              <wp:posOffset>-1760855</wp:posOffset>
            </wp:positionV>
            <wp:extent cx="33655" cy="5054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33655" cy="505460"/>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-1760855</wp:posOffset>
            </wp:positionV>
            <wp:extent cx="33655" cy="5054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33655" cy="505460"/>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-689610</wp:posOffset>
            </wp:positionV>
            <wp:extent cx="33655" cy="2051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33655" cy="205105"/>
                    </a:xfrm>
                    <a:prstGeom prst="rect">
                      <a:avLst/>
                    </a:prstGeom>
                    <a:noFill/>
                  </pic:spPr>
                </pic:pic>
              </a:graphicData>
            </a:graphic>
          </wp:anchor>
        </w:drawing>
        <w:drawing>
          <wp:anchor simplePos="0" relativeHeight="251657728" behindDoc="1" locked="0" layoutInCell="0" allowOverlap="1">
            <wp:simplePos x="0" y="0"/>
            <wp:positionH relativeFrom="column">
              <wp:posOffset>5178425</wp:posOffset>
            </wp:positionH>
            <wp:positionV relativeFrom="paragraph">
              <wp:posOffset>-689610</wp:posOffset>
            </wp:positionV>
            <wp:extent cx="33655" cy="2051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33655" cy="205105"/>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-689610</wp:posOffset>
            </wp:positionV>
            <wp:extent cx="33655" cy="2051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33655" cy="205105"/>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-354965</wp:posOffset>
            </wp:positionV>
            <wp:extent cx="33655" cy="3683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5178425</wp:posOffset>
            </wp:positionH>
            <wp:positionV relativeFrom="paragraph">
              <wp:posOffset>-354965</wp:posOffset>
            </wp:positionV>
            <wp:extent cx="33655" cy="3683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-354965</wp:posOffset>
            </wp:positionV>
            <wp:extent cx="33655" cy="3683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965F6E"/>
        </w:rPr>
        <w:t>Assets and Liabilites Held for Sale</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Current assets and current liabilites held for sale at December 31, 2023 included the South Texas cement plant, related cement distributon terminals, 20 ready mixed concrete plants that serve the Austn and San Antonio region and certain nonoperatng land. At December 31, 2022, assets and liabilites held for sale included the Tehachapi, California cement plant that was sold in October 2023, the Stockton, California cement terminal that was sold in May 2023 and certain nonoperatng land.</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Assets and liabilites held for sale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000" w:type="dxa"/>
            <w:vAlign w:val="bottom"/>
            <w:tcBorders>
              <w:right w:val="single" w:sz="8" w:color="007CBA"/>
            </w:tcBorders>
            <w:shd w:val="clear" w:color="auto" w:fill="007CBA"/>
          </w:tcPr>
          <w:p>
            <w:pPr>
              <w:spacing w:after="0"/>
              <w:rPr>
                <w:sz w:val="20"/>
                <w:szCs w:val="20"/>
                <w:color w:val="auto"/>
              </w:rPr>
            </w:pPr>
          </w:p>
        </w:tc>
        <w:tc>
          <w:tcPr>
            <w:tcW w:w="360" w:type="dxa"/>
            <w:vAlign w:val="bottom"/>
            <w:shd w:val="clear" w:color="auto" w:fill="007CBA"/>
          </w:tcPr>
          <w:p>
            <w:pPr>
              <w:spacing w:after="0"/>
              <w:rPr>
                <w:sz w:val="20"/>
                <w:szCs w:val="20"/>
                <w:color w:val="auto"/>
              </w:rPr>
            </w:pPr>
          </w:p>
        </w:tc>
        <w:tc>
          <w:tcPr>
            <w:tcW w:w="1880" w:type="dxa"/>
            <w:vAlign w:val="bottom"/>
            <w:shd w:val="clear" w:color="auto" w:fill="007CBA"/>
          </w:tcPr>
          <w:p>
            <w:pPr>
              <w:jc w:val="right"/>
              <w:ind w:right="790"/>
              <w:spacing w:after="0"/>
              <w:rPr>
                <w:sz w:val="20"/>
                <w:szCs w:val="20"/>
                <w:color w:val="auto"/>
              </w:rPr>
            </w:pPr>
            <w:r>
              <w:rPr>
                <w:rFonts w:ascii="Calibri" w:cs="Calibri" w:eastAsia="Calibri" w:hAnsi="Calibri"/>
                <w:sz w:val="18"/>
                <w:szCs w:val="18"/>
                <w:b w:val="1"/>
                <w:bCs w:val="1"/>
                <w:color w:val="FFFFFF"/>
              </w:rPr>
              <w:t>2023</w:t>
            </w:r>
          </w:p>
        </w:tc>
      </w:tr>
      <w:tr>
        <w:trPr>
          <w:trHeight w:val="228"/>
        </w:trPr>
        <w:tc>
          <w:tcPr>
            <w:tcW w:w="90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360" w:type="dxa"/>
            <w:vAlign w:val="bottom"/>
            <w:shd w:val="clear" w:color="auto" w:fill="007CBA"/>
          </w:tcPr>
          <w:p>
            <w:pPr>
              <w:spacing w:after="0"/>
              <w:rPr>
                <w:sz w:val="19"/>
                <w:szCs w:val="19"/>
                <w:color w:val="auto"/>
              </w:rPr>
            </w:pPr>
          </w:p>
        </w:tc>
        <w:tc>
          <w:tcPr>
            <w:tcW w:w="1880" w:type="dxa"/>
            <w:vAlign w:val="bottom"/>
            <w:shd w:val="clear" w:color="auto" w:fill="007CBA"/>
          </w:tcPr>
          <w:p>
            <w:pPr>
              <w:spacing w:after="0"/>
              <w:rPr>
                <w:sz w:val="19"/>
                <w:szCs w:val="19"/>
                <w:color w:val="auto"/>
              </w:rPr>
            </w:pPr>
          </w:p>
        </w:tc>
      </w:tr>
      <w:tr>
        <w:trPr>
          <w:trHeight w:val="233"/>
        </w:trPr>
        <w:tc>
          <w:tcPr>
            <w:tcW w:w="900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color w:val="FFFFFF"/>
              </w:rPr>
              <w:t>(in millions)</w:t>
            </w:r>
          </w:p>
        </w:tc>
        <w:tc>
          <w:tcPr>
            <w:tcW w:w="360" w:type="dxa"/>
            <w:vAlign w:val="bottom"/>
            <w:tcBorders>
              <w:bottom w:val="single" w:sz="8" w:color="007CBA"/>
            </w:tcBorders>
            <w:shd w:val="clear" w:color="auto" w:fill="007CBA"/>
          </w:tcPr>
          <w:p>
            <w:pPr>
              <w:spacing w:after="0"/>
              <w:rPr>
                <w:sz w:val="20"/>
                <w:szCs w:val="20"/>
                <w:color w:val="auto"/>
              </w:rPr>
            </w:pPr>
          </w:p>
        </w:tc>
        <w:tc>
          <w:tcPr>
            <w:tcW w:w="1880" w:type="dxa"/>
            <w:vAlign w:val="bottom"/>
            <w:tcBorders>
              <w:bottom w:val="single" w:sz="8" w:color="007CBA"/>
            </w:tcBorders>
            <w:shd w:val="clear" w:color="auto" w:fill="007CBA"/>
          </w:tcPr>
          <w:p>
            <w:pPr>
              <w:jc w:val="right"/>
              <w:ind w:right="150"/>
              <w:spacing w:after="0" w:line="216" w:lineRule="exact"/>
              <w:rPr>
                <w:sz w:val="20"/>
                <w:szCs w:val="20"/>
                <w:color w:val="auto"/>
              </w:rPr>
            </w:pPr>
            <w:r>
              <w:rPr>
                <w:rFonts w:ascii="Calibri" w:cs="Calibri" w:eastAsia="Calibri" w:hAnsi="Calibri"/>
                <w:sz w:val="18"/>
                <w:szCs w:val="18"/>
                <w:b w:val="1"/>
                <w:bCs w:val="1"/>
                <w:color w:val="FFFFFF"/>
              </w:rPr>
              <w:t>Contnuing Operatons</w:t>
            </w:r>
          </w:p>
        </w:tc>
      </w:tr>
      <w:tr>
        <w:trPr>
          <w:trHeight w:val="223"/>
        </w:trPr>
        <w:tc>
          <w:tcPr>
            <w:tcW w:w="90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Inventories, net</w:t>
            </w:r>
          </w:p>
        </w:tc>
        <w:tc>
          <w:tcPr>
            <w:tcW w:w="3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8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60.6</w:t>
            </w:r>
          </w:p>
        </w:tc>
      </w:tr>
      <w:tr>
        <w:trPr>
          <w:trHeight w:val="215"/>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Investment land</w:t>
            </w:r>
          </w:p>
        </w:tc>
        <w:tc>
          <w:tcPr>
            <w:tcW w:w="360" w:type="dxa"/>
            <w:vAlign w:val="bottom"/>
          </w:tcPr>
          <w:p>
            <w:pPr>
              <w:spacing w:after="0"/>
              <w:rPr>
                <w:sz w:val="18"/>
                <w:szCs w:val="18"/>
                <w:color w:val="auto"/>
              </w:rPr>
            </w:pPr>
          </w:p>
        </w:tc>
        <w:tc>
          <w:tcPr>
            <w:tcW w:w="188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17.9</w:t>
            </w:r>
          </w:p>
        </w:tc>
      </w:tr>
      <w:tr>
        <w:trPr>
          <w:trHeight w:val="28"/>
        </w:trPr>
        <w:tc>
          <w:tcPr>
            <w:tcW w:w="9000" w:type="dxa"/>
            <w:vAlign w:val="bottom"/>
            <w:tcBorders>
              <w:right w:val="single" w:sz="8" w:color="007CBA"/>
            </w:tcBorders>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3"/>
        </w:trPr>
        <w:tc>
          <w:tcPr>
            <w:tcW w:w="90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Other assets</w:t>
            </w:r>
          </w:p>
        </w:tc>
        <w:tc>
          <w:tcPr>
            <w:tcW w:w="360" w:type="dxa"/>
            <w:vAlign w:val="bottom"/>
            <w:tcBorders>
              <w:bottom w:val="single" w:sz="8" w:color="E5F1F8"/>
            </w:tcBorders>
            <w:shd w:val="clear" w:color="auto" w:fill="E5F1F8"/>
          </w:tcPr>
          <w:p>
            <w:pPr>
              <w:spacing w:after="0"/>
              <w:rPr>
                <w:sz w:val="19"/>
                <w:szCs w:val="19"/>
                <w:color w:val="auto"/>
              </w:rPr>
            </w:pPr>
          </w:p>
        </w:tc>
        <w:tc>
          <w:tcPr>
            <w:tcW w:w="18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3.7</w:t>
            </w:r>
          </w:p>
        </w:tc>
      </w:tr>
      <w:tr>
        <w:trPr>
          <w:trHeight w:val="215"/>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Property, plant and equipment</w:t>
            </w:r>
          </w:p>
        </w:tc>
        <w:tc>
          <w:tcPr>
            <w:tcW w:w="360" w:type="dxa"/>
            <w:vAlign w:val="bottom"/>
          </w:tcPr>
          <w:p>
            <w:pPr>
              <w:spacing w:after="0"/>
              <w:rPr>
                <w:sz w:val="18"/>
                <w:szCs w:val="18"/>
                <w:color w:val="auto"/>
              </w:rPr>
            </w:pPr>
          </w:p>
        </w:tc>
        <w:tc>
          <w:tcPr>
            <w:tcW w:w="188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327.2</w:t>
            </w:r>
          </w:p>
        </w:tc>
      </w:tr>
      <w:tr>
        <w:trPr>
          <w:trHeight w:val="28"/>
        </w:trPr>
        <w:tc>
          <w:tcPr>
            <w:tcW w:w="9000" w:type="dxa"/>
            <w:vAlign w:val="bottom"/>
            <w:tcBorders>
              <w:right w:val="single" w:sz="8" w:color="007CBA"/>
            </w:tcBorders>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3"/>
        </w:trPr>
        <w:tc>
          <w:tcPr>
            <w:tcW w:w="90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Intangible assets, excluding goodwill</w:t>
            </w:r>
          </w:p>
        </w:tc>
        <w:tc>
          <w:tcPr>
            <w:tcW w:w="360" w:type="dxa"/>
            <w:vAlign w:val="bottom"/>
            <w:tcBorders>
              <w:bottom w:val="single" w:sz="8" w:color="E5F1F8"/>
            </w:tcBorders>
            <w:shd w:val="clear" w:color="auto" w:fill="E5F1F8"/>
          </w:tcPr>
          <w:p>
            <w:pPr>
              <w:spacing w:after="0"/>
              <w:rPr>
                <w:sz w:val="19"/>
                <w:szCs w:val="19"/>
                <w:color w:val="auto"/>
              </w:rPr>
            </w:pPr>
          </w:p>
        </w:tc>
        <w:tc>
          <w:tcPr>
            <w:tcW w:w="18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122.3</w:t>
            </w:r>
          </w:p>
        </w:tc>
      </w:tr>
      <w:tr>
        <w:trPr>
          <w:trHeight w:val="243"/>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lease right-of-use assets</w:t>
            </w:r>
          </w:p>
        </w:tc>
        <w:tc>
          <w:tcPr>
            <w:tcW w:w="360" w:type="dxa"/>
            <w:vAlign w:val="bottom"/>
          </w:tcPr>
          <w:p>
            <w:pPr>
              <w:spacing w:after="0"/>
              <w:rPr>
                <w:sz w:val="21"/>
                <w:szCs w:val="21"/>
                <w:color w:val="auto"/>
              </w:rPr>
            </w:pPr>
          </w:p>
        </w:tc>
        <w:tc>
          <w:tcPr>
            <w:tcW w:w="188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15.4</w:t>
            </w:r>
          </w:p>
        </w:tc>
      </w:tr>
      <w:tr>
        <w:trPr>
          <w:trHeight w:val="248"/>
        </w:trPr>
        <w:tc>
          <w:tcPr>
            <w:tcW w:w="90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Goodwill</w:t>
            </w:r>
          </w:p>
        </w:tc>
        <w:tc>
          <w:tcPr>
            <w:tcW w:w="360" w:type="dxa"/>
            <w:vAlign w:val="bottom"/>
            <w:tcBorders>
              <w:bottom w:val="single" w:sz="8" w:color="E5F1F8"/>
            </w:tcBorders>
            <w:shd w:val="clear" w:color="auto" w:fill="E5F1F8"/>
          </w:tcPr>
          <w:p>
            <w:pPr>
              <w:spacing w:after="0"/>
              <w:rPr>
                <w:sz w:val="21"/>
                <w:szCs w:val="21"/>
                <w:color w:val="auto"/>
              </w:rPr>
            </w:pPr>
          </w:p>
        </w:tc>
        <w:tc>
          <w:tcPr>
            <w:tcW w:w="18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260.0</w:t>
            </w:r>
          </w:p>
        </w:tc>
      </w:tr>
      <w:tr>
        <w:trPr>
          <w:trHeight w:val="208"/>
        </w:trPr>
        <w:tc>
          <w:tcPr>
            <w:tcW w:w="90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current assets held for sale</w:t>
            </w:r>
          </w:p>
        </w:tc>
        <w:tc>
          <w:tcPr>
            <w:tcW w:w="3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18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807.1</w:t>
            </w:r>
          </w:p>
        </w:tc>
      </w:tr>
      <w:tr>
        <w:trPr>
          <w:trHeight w:val="28"/>
        </w:trPr>
        <w:tc>
          <w:tcPr>
            <w:tcW w:w="9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9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23"/>
        </w:trPr>
        <w:tc>
          <w:tcPr>
            <w:tcW w:w="9000" w:type="dxa"/>
            <w:vAlign w:val="bottom"/>
            <w:tcBorders>
              <w:right w:val="single" w:sz="8" w:color="007CBA"/>
            </w:tcBorders>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3"/>
        </w:trPr>
        <w:tc>
          <w:tcPr>
            <w:tcW w:w="90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Lease obligatons</w:t>
            </w:r>
          </w:p>
        </w:tc>
        <w:tc>
          <w:tcPr>
            <w:tcW w:w="3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88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(16.3 )</w:t>
            </w:r>
          </w:p>
        </w:tc>
      </w:tr>
      <w:tr>
        <w:trPr>
          <w:trHeight w:val="215"/>
        </w:trPr>
        <w:tc>
          <w:tcPr>
            <w:tcW w:w="9000" w:type="dxa"/>
            <w:vAlign w:val="bottom"/>
          </w:tcPr>
          <w:p>
            <w:pPr>
              <w:ind w:left="120"/>
              <w:spacing w:after="0" w:line="215" w:lineRule="exact"/>
              <w:rPr>
                <w:sz w:val="20"/>
                <w:szCs w:val="20"/>
                <w:color w:val="auto"/>
              </w:rPr>
            </w:pPr>
            <w:r>
              <w:rPr>
                <w:rFonts w:ascii="Calibri" w:cs="Calibri" w:eastAsia="Calibri" w:hAnsi="Calibri"/>
                <w:sz w:val="18"/>
                <w:szCs w:val="18"/>
                <w:color w:val="auto"/>
              </w:rPr>
              <w:t>Asset retrement obligatons</w:t>
            </w:r>
          </w:p>
        </w:tc>
        <w:tc>
          <w:tcPr>
            <w:tcW w:w="360" w:type="dxa"/>
            <w:vAlign w:val="bottom"/>
          </w:tcPr>
          <w:p>
            <w:pPr>
              <w:spacing w:after="0"/>
              <w:rPr>
                <w:sz w:val="18"/>
                <w:szCs w:val="18"/>
                <w:color w:val="auto"/>
              </w:rPr>
            </w:pPr>
          </w:p>
        </w:tc>
        <w:tc>
          <w:tcPr>
            <w:tcW w:w="188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(1.9 )</w:t>
            </w:r>
          </w:p>
        </w:tc>
      </w:tr>
      <w:tr>
        <w:trPr>
          <w:trHeight w:val="28"/>
        </w:trPr>
        <w:tc>
          <w:tcPr>
            <w:tcW w:w="9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2"/>
        </w:trPr>
        <w:tc>
          <w:tcPr>
            <w:tcW w:w="900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current liabilites held for sale</w:t>
            </w:r>
          </w:p>
        </w:tc>
        <w:tc>
          <w:tcPr>
            <w:tcW w:w="36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188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(18.2 )</w:t>
            </w:r>
          </w:p>
        </w:tc>
      </w:tr>
      <w:tr>
        <w:trPr>
          <w:trHeight w:val="20"/>
        </w:trPr>
        <w:tc>
          <w:tcPr>
            <w:tcW w:w="9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-2219325</wp:posOffset>
            </wp:positionV>
            <wp:extent cx="14230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-1006475</wp:posOffset>
            </wp:positionV>
            <wp:extent cx="34290" cy="3683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-354965</wp:posOffset>
            </wp:positionV>
            <wp:extent cx="34290" cy="3683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213995</wp:posOffset>
            </wp:positionV>
            <wp:extent cx="325755" cy="1968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308"/>
        </w:trPr>
        <w:tc>
          <w:tcPr>
            <w:tcW w:w="6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00" w:type="dxa"/>
            <w:vAlign w:val="bottom"/>
            <w:gridSpan w:val="9"/>
          </w:tcPr>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tc>
      </w:tr>
      <w:tr>
        <w:trPr>
          <w:trHeight w:val="237"/>
        </w:trPr>
        <w:tc>
          <w:tcPr>
            <w:tcW w:w="6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5"/>
        </w:trPr>
        <w:tc>
          <w:tcPr>
            <w:tcW w:w="6180" w:type="dxa"/>
            <w:vAlign w:val="bottom"/>
            <w:tcBorders>
              <w:right w:val="single" w:sz="8" w:color="007CBA"/>
            </w:tcBorders>
            <w:shd w:val="clear" w:color="auto" w:fill="007CBA"/>
          </w:tcPr>
          <w:p>
            <w:pPr>
              <w:spacing w:after="0"/>
              <w:rPr>
                <w:sz w:val="18"/>
                <w:szCs w:val="18"/>
                <w:color w:val="auto"/>
              </w:rPr>
            </w:pPr>
          </w:p>
        </w:tc>
        <w:tc>
          <w:tcPr>
            <w:tcW w:w="36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1080" w:type="dxa"/>
            <w:vAlign w:val="bottom"/>
            <w:tcBorders>
              <w:right w:val="single" w:sz="8" w:color="007CBA"/>
            </w:tcBorders>
            <w:shd w:val="clear" w:color="auto" w:fill="007CBA"/>
          </w:tcPr>
          <w:p>
            <w:pPr>
              <w:spacing w:after="0"/>
              <w:rPr>
                <w:sz w:val="18"/>
                <w:szCs w:val="18"/>
                <w:color w:val="auto"/>
              </w:rPr>
            </w:pPr>
          </w:p>
        </w:tc>
        <w:tc>
          <w:tcPr>
            <w:tcW w:w="160" w:type="dxa"/>
            <w:vAlign w:val="bottom"/>
            <w:shd w:val="clear" w:color="auto" w:fill="007CBA"/>
          </w:tcPr>
          <w:p>
            <w:pPr>
              <w:spacing w:after="0"/>
              <w:rPr>
                <w:sz w:val="18"/>
                <w:szCs w:val="18"/>
                <w:color w:val="auto"/>
              </w:rPr>
            </w:pPr>
          </w:p>
        </w:tc>
        <w:tc>
          <w:tcPr>
            <w:tcW w:w="14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jc w:val="right"/>
              <w:ind w:right="390"/>
              <w:spacing w:after="0" w:line="215" w:lineRule="exact"/>
              <w:rPr>
                <w:sz w:val="20"/>
                <w:szCs w:val="20"/>
                <w:color w:val="auto"/>
              </w:rPr>
            </w:pPr>
            <w:r>
              <w:rPr>
                <w:rFonts w:ascii="Calibri" w:cs="Calibri" w:eastAsia="Calibri" w:hAnsi="Calibri"/>
                <w:sz w:val="18"/>
                <w:szCs w:val="18"/>
                <w:b w:val="1"/>
                <w:bCs w:val="1"/>
                <w:color w:val="FFFFFF"/>
              </w:rPr>
              <w:t>2022</w:t>
            </w:r>
          </w:p>
        </w:tc>
        <w:tc>
          <w:tcPr>
            <w:tcW w:w="140" w:type="dxa"/>
            <w:vAlign w:val="bottom"/>
            <w:tcBorders>
              <w:right w:val="single" w:sz="8" w:color="007CBA"/>
            </w:tcBorders>
            <w:shd w:val="clear" w:color="auto" w:fill="007CBA"/>
          </w:tcPr>
          <w:p>
            <w:pPr>
              <w:spacing w:after="0"/>
              <w:rPr>
                <w:sz w:val="18"/>
                <w:szCs w:val="18"/>
                <w:color w:val="auto"/>
              </w:rPr>
            </w:pPr>
          </w:p>
        </w:tc>
        <w:tc>
          <w:tcPr>
            <w:tcW w:w="400" w:type="dxa"/>
            <w:vAlign w:val="bottom"/>
            <w:shd w:val="clear" w:color="auto" w:fill="007CBA"/>
          </w:tcPr>
          <w:p>
            <w:pPr>
              <w:spacing w:after="0"/>
              <w:rPr>
                <w:sz w:val="18"/>
                <w:szCs w:val="18"/>
                <w:color w:val="auto"/>
              </w:rPr>
            </w:pPr>
          </w:p>
        </w:tc>
        <w:tc>
          <w:tcPr>
            <w:tcW w:w="1120" w:type="dxa"/>
            <w:vAlign w:val="bottom"/>
            <w:shd w:val="clear" w:color="auto" w:fill="007CBA"/>
          </w:tcPr>
          <w:p>
            <w:pPr>
              <w:spacing w:after="0"/>
              <w:rPr>
                <w:sz w:val="18"/>
                <w:szCs w:val="18"/>
                <w:color w:val="auto"/>
              </w:rPr>
            </w:pPr>
          </w:p>
        </w:tc>
      </w:tr>
      <w:tr>
        <w:trPr>
          <w:trHeight w:val="248"/>
        </w:trPr>
        <w:tc>
          <w:tcPr>
            <w:tcW w:w="61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360" w:type="dxa"/>
            <w:vAlign w:val="bottom"/>
            <w:tcBorders>
              <w:right w:val="single" w:sz="8" w:color="007CBA"/>
            </w:tcBorders>
            <w:shd w:val="clear" w:color="auto" w:fill="007CBA"/>
          </w:tcPr>
          <w:p>
            <w:pPr>
              <w:spacing w:after="0"/>
              <w:rPr>
                <w:sz w:val="21"/>
                <w:szCs w:val="21"/>
                <w:color w:val="auto"/>
              </w:rPr>
            </w:pPr>
          </w:p>
        </w:tc>
        <w:tc>
          <w:tcPr>
            <w:tcW w:w="280" w:type="dxa"/>
            <w:vAlign w:val="bottom"/>
            <w:shd w:val="clear" w:color="auto" w:fill="007CBA"/>
          </w:tcPr>
          <w:p>
            <w:pPr>
              <w:spacing w:after="0"/>
              <w:rPr>
                <w:sz w:val="21"/>
                <w:szCs w:val="21"/>
                <w:color w:val="auto"/>
              </w:rPr>
            </w:pPr>
          </w:p>
        </w:tc>
        <w:tc>
          <w:tcPr>
            <w:tcW w:w="1240" w:type="dxa"/>
            <w:vAlign w:val="bottom"/>
            <w:gridSpan w:val="2"/>
            <w:shd w:val="clear" w:color="auto" w:fill="007CBA"/>
          </w:tcPr>
          <w:p>
            <w:pPr>
              <w:jc w:val="right"/>
              <w:ind w:right="210"/>
              <w:spacing w:after="0"/>
              <w:rPr>
                <w:sz w:val="20"/>
                <w:szCs w:val="20"/>
                <w:color w:val="auto"/>
              </w:rPr>
            </w:pPr>
            <w:r>
              <w:rPr>
                <w:rFonts w:ascii="Calibri" w:cs="Calibri" w:eastAsia="Calibri" w:hAnsi="Calibri"/>
                <w:sz w:val="18"/>
                <w:szCs w:val="18"/>
                <w:b w:val="1"/>
                <w:bCs w:val="1"/>
                <w:color w:val="FFFFFF"/>
              </w:rPr>
              <w:t>Contnuing</w:t>
            </w:r>
          </w:p>
        </w:tc>
        <w:tc>
          <w:tcPr>
            <w:tcW w:w="140" w:type="dxa"/>
            <w:vAlign w:val="bottom"/>
            <w:tcBorders>
              <w:right w:val="single" w:sz="8" w:color="007CBA"/>
            </w:tcBorders>
            <w:shd w:val="clear" w:color="auto" w:fill="007CBA"/>
          </w:tcPr>
          <w:p>
            <w:pPr>
              <w:spacing w:after="0"/>
              <w:rPr>
                <w:sz w:val="21"/>
                <w:szCs w:val="21"/>
                <w:color w:val="auto"/>
              </w:rPr>
            </w:pPr>
          </w:p>
        </w:tc>
        <w:tc>
          <w:tcPr>
            <w:tcW w:w="280" w:type="dxa"/>
            <w:vAlign w:val="bottom"/>
            <w:shd w:val="clear" w:color="auto" w:fill="007CBA"/>
          </w:tcPr>
          <w:p>
            <w:pPr>
              <w:spacing w:after="0"/>
              <w:rPr>
                <w:sz w:val="21"/>
                <w:szCs w:val="21"/>
                <w:color w:val="auto"/>
              </w:rPr>
            </w:pPr>
          </w:p>
        </w:tc>
        <w:tc>
          <w:tcPr>
            <w:tcW w:w="1240" w:type="dxa"/>
            <w:vAlign w:val="bottom"/>
            <w:tcBorders>
              <w:right w:val="single" w:sz="8" w:color="007CBA"/>
            </w:tcBorders>
            <w:gridSpan w:val="2"/>
            <w:shd w:val="clear" w:color="auto" w:fill="007CBA"/>
          </w:tcPr>
          <w:p>
            <w:pPr>
              <w:jc w:val="right"/>
              <w:ind w:right="280"/>
              <w:spacing w:after="0"/>
              <w:rPr>
                <w:sz w:val="20"/>
                <w:szCs w:val="20"/>
                <w:color w:val="auto"/>
              </w:rPr>
            </w:pPr>
            <w:r>
              <w:rPr>
                <w:rFonts w:ascii="Calibri" w:cs="Calibri" w:eastAsia="Calibri" w:hAnsi="Calibri"/>
                <w:sz w:val="18"/>
                <w:szCs w:val="18"/>
                <w:b w:val="1"/>
                <w:bCs w:val="1"/>
                <w:color w:val="FFFFFF"/>
                <w:w w:val="99"/>
              </w:rPr>
              <w:t>Discontnued</w:t>
            </w:r>
          </w:p>
        </w:tc>
        <w:tc>
          <w:tcPr>
            <w:tcW w:w="400" w:type="dxa"/>
            <w:vAlign w:val="bottom"/>
            <w:shd w:val="clear" w:color="auto" w:fill="007CBA"/>
          </w:tcPr>
          <w:p>
            <w:pPr>
              <w:spacing w:after="0"/>
              <w:rPr>
                <w:sz w:val="21"/>
                <w:szCs w:val="21"/>
                <w:color w:val="auto"/>
              </w:rPr>
            </w:pPr>
          </w:p>
        </w:tc>
        <w:tc>
          <w:tcPr>
            <w:tcW w:w="1120" w:type="dxa"/>
            <w:vAlign w:val="bottom"/>
            <w:shd w:val="clear" w:color="auto" w:fill="007CBA"/>
          </w:tcPr>
          <w:p>
            <w:pPr>
              <w:spacing w:after="0"/>
              <w:rPr>
                <w:sz w:val="21"/>
                <w:szCs w:val="21"/>
                <w:color w:val="auto"/>
              </w:rPr>
            </w:pPr>
          </w:p>
        </w:tc>
      </w:tr>
      <w:tr>
        <w:trPr>
          <w:trHeight w:val="233"/>
        </w:trPr>
        <w:tc>
          <w:tcPr>
            <w:tcW w:w="618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color w:val="FFFFFF"/>
              </w:rPr>
              <w:t>(in millions)</w:t>
            </w:r>
          </w:p>
        </w:tc>
        <w:tc>
          <w:tcPr>
            <w:tcW w:w="360" w:type="dxa"/>
            <w:vAlign w:val="bottom"/>
            <w:tcBorders>
              <w:bottom w:val="single" w:sz="8" w:color="007CBA"/>
              <w:right w:val="single" w:sz="8" w:color="007CBA"/>
            </w:tcBorders>
            <w:shd w:val="clear" w:color="auto" w:fill="007CBA"/>
          </w:tcPr>
          <w:p>
            <w:pPr>
              <w:spacing w:after="0"/>
              <w:rPr>
                <w:sz w:val="20"/>
                <w:szCs w:val="20"/>
                <w:color w:val="auto"/>
              </w:rPr>
            </w:pPr>
          </w:p>
        </w:tc>
        <w:tc>
          <w:tcPr>
            <w:tcW w:w="280" w:type="dxa"/>
            <w:vAlign w:val="bottom"/>
            <w:tcBorders>
              <w:bottom w:val="single" w:sz="8" w:color="007CBA"/>
            </w:tcBorders>
            <w:shd w:val="clear" w:color="auto" w:fill="007CBA"/>
          </w:tcPr>
          <w:p>
            <w:pPr>
              <w:spacing w:after="0"/>
              <w:rPr>
                <w:sz w:val="20"/>
                <w:szCs w:val="20"/>
                <w:color w:val="auto"/>
              </w:rPr>
            </w:pPr>
          </w:p>
        </w:tc>
        <w:tc>
          <w:tcPr>
            <w:tcW w:w="1240" w:type="dxa"/>
            <w:vAlign w:val="bottom"/>
            <w:tcBorders>
              <w:bottom w:val="single" w:sz="8" w:color="007CBA"/>
            </w:tcBorders>
            <w:gridSpan w:val="2"/>
            <w:shd w:val="clear" w:color="auto" w:fill="007CBA"/>
          </w:tcPr>
          <w:p>
            <w:pPr>
              <w:jc w:val="right"/>
              <w:ind w:right="170"/>
              <w:spacing w:after="0" w:line="216" w:lineRule="exact"/>
              <w:rPr>
                <w:sz w:val="20"/>
                <w:szCs w:val="20"/>
                <w:color w:val="auto"/>
              </w:rPr>
            </w:pPr>
            <w:r>
              <w:rPr>
                <w:rFonts w:ascii="Calibri" w:cs="Calibri" w:eastAsia="Calibri" w:hAnsi="Calibri"/>
                <w:sz w:val="18"/>
                <w:szCs w:val="18"/>
                <w:b w:val="1"/>
                <w:bCs w:val="1"/>
                <w:color w:val="FFFFFF"/>
              </w:rPr>
              <w:t>Operatons</w:t>
            </w:r>
          </w:p>
        </w:tc>
        <w:tc>
          <w:tcPr>
            <w:tcW w:w="140" w:type="dxa"/>
            <w:vAlign w:val="bottom"/>
            <w:tcBorders>
              <w:bottom w:val="single" w:sz="8" w:color="007CBA"/>
              <w:right w:val="single" w:sz="8" w:color="007CBA"/>
            </w:tcBorders>
            <w:shd w:val="clear" w:color="auto" w:fill="007CBA"/>
          </w:tcPr>
          <w:p>
            <w:pPr>
              <w:spacing w:after="0"/>
              <w:rPr>
                <w:sz w:val="20"/>
                <w:szCs w:val="20"/>
                <w:color w:val="auto"/>
              </w:rPr>
            </w:pPr>
          </w:p>
        </w:tc>
        <w:tc>
          <w:tcPr>
            <w:tcW w:w="280" w:type="dxa"/>
            <w:vAlign w:val="bottom"/>
            <w:tcBorders>
              <w:bottom w:val="single" w:sz="8" w:color="007CBA"/>
            </w:tcBorders>
            <w:shd w:val="clear" w:color="auto" w:fill="007CBA"/>
          </w:tcPr>
          <w:p>
            <w:pPr>
              <w:spacing w:after="0"/>
              <w:rPr>
                <w:sz w:val="20"/>
                <w:szCs w:val="20"/>
                <w:color w:val="auto"/>
              </w:rPr>
            </w:pPr>
          </w:p>
        </w:tc>
        <w:tc>
          <w:tcPr>
            <w:tcW w:w="1240" w:type="dxa"/>
            <w:vAlign w:val="bottom"/>
            <w:tcBorders>
              <w:bottom w:val="single" w:sz="8" w:color="007CBA"/>
              <w:right w:val="single" w:sz="8" w:color="007CBA"/>
            </w:tcBorders>
            <w:gridSpan w:val="2"/>
            <w:shd w:val="clear" w:color="auto" w:fill="007CBA"/>
          </w:tcPr>
          <w:p>
            <w:pPr>
              <w:ind w:left="100"/>
              <w:spacing w:after="0" w:line="216" w:lineRule="exact"/>
              <w:rPr>
                <w:sz w:val="20"/>
                <w:szCs w:val="20"/>
                <w:color w:val="auto"/>
              </w:rPr>
            </w:pPr>
            <w:r>
              <w:rPr>
                <w:rFonts w:ascii="Calibri" w:cs="Calibri" w:eastAsia="Calibri" w:hAnsi="Calibri"/>
                <w:sz w:val="18"/>
                <w:szCs w:val="18"/>
                <w:b w:val="1"/>
                <w:bCs w:val="1"/>
                <w:color w:val="FFFFFF"/>
              </w:rPr>
              <w:t>Operatons</w:t>
            </w:r>
          </w:p>
        </w:tc>
        <w:tc>
          <w:tcPr>
            <w:tcW w:w="400" w:type="dxa"/>
            <w:vAlign w:val="bottom"/>
            <w:tcBorders>
              <w:bottom w:val="single" w:sz="8" w:color="007CBA"/>
            </w:tcBorders>
            <w:shd w:val="clear" w:color="auto" w:fill="007CBA"/>
          </w:tcPr>
          <w:p>
            <w:pPr>
              <w:spacing w:after="0"/>
              <w:rPr>
                <w:sz w:val="20"/>
                <w:szCs w:val="20"/>
                <w:color w:val="auto"/>
              </w:rPr>
            </w:pPr>
          </w:p>
        </w:tc>
        <w:tc>
          <w:tcPr>
            <w:tcW w:w="1120" w:type="dxa"/>
            <w:vAlign w:val="bottom"/>
            <w:tcBorders>
              <w:bottom w:val="single" w:sz="8" w:color="007CBA"/>
            </w:tcBorders>
            <w:shd w:val="clear" w:color="auto" w:fill="007CBA"/>
          </w:tcPr>
          <w:p>
            <w:pPr>
              <w:jc w:val="right"/>
              <w:ind w:right="470"/>
              <w:spacing w:after="0" w:line="216" w:lineRule="exact"/>
              <w:rPr>
                <w:sz w:val="20"/>
                <w:szCs w:val="20"/>
                <w:color w:val="auto"/>
              </w:rPr>
            </w:pPr>
            <w:r>
              <w:rPr>
                <w:rFonts w:ascii="Calibri" w:cs="Calibri" w:eastAsia="Calibri" w:hAnsi="Calibri"/>
                <w:sz w:val="18"/>
                <w:szCs w:val="18"/>
                <w:b w:val="1"/>
                <w:bCs w:val="1"/>
                <w:color w:val="FFFFFF"/>
              </w:rPr>
              <w:t>Total</w:t>
            </w:r>
          </w:p>
        </w:tc>
      </w:tr>
      <w:tr>
        <w:trPr>
          <w:trHeight w:val="223"/>
        </w:trPr>
        <w:tc>
          <w:tcPr>
            <w:tcW w:w="61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Inventories, net</w:t>
            </w:r>
          </w:p>
        </w:tc>
        <w:tc>
          <w:tcPr>
            <w:tcW w:w="360" w:type="dxa"/>
            <w:vAlign w:val="bottom"/>
            <w:tcBorders>
              <w:bottom w:val="single" w:sz="8" w:color="E5F1F8"/>
              <w:right w:val="single" w:sz="8" w:color="007CBA"/>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E5F1F8"/>
              <w:right w:val="single" w:sz="8" w:color="E5F1F8"/>
            </w:tcBorders>
            <w:shd w:val="clear" w:color="auto" w:fill="E5F1F8"/>
          </w:tcPr>
          <w:p>
            <w:pPr>
              <w:spacing w:after="0"/>
              <w:rPr>
                <w:sz w:val="19"/>
                <w:szCs w:val="19"/>
                <w:color w:val="auto"/>
              </w:rPr>
            </w:pPr>
          </w:p>
        </w:tc>
        <w:tc>
          <w:tcPr>
            <w:tcW w:w="1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w w:val="85"/>
              </w:rPr>
              <w:t>—</w:t>
            </w:r>
          </w:p>
        </w:tc>
        <w:tc>
          <w:tcPr>
            <w:tcW w:w="140" w:type="dxa"/>
            <w:vAlign w:val="bottom"/>
            <w:tcBorders>
              <w:bottom w:val="single" w:sz="8" w:color="E5F1F8"/>
              <w:right w:val="single" w:sz="8" w:color="007CBA"/>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E5F1F8"/>
              <w:right w:val="single" w:sz="8" w:color="007CBA"/>
            </w:tcBorders>
            <w:gridSpan w:val="2"/>
            <w:shd w:val="clear" w:color="auto" w:fill="E5F1F8"/>
          </w:tcPr>
          <w:p>
            <w:pPr>
              <w:jc w:val="right"/>
              <w:ind w:right="120"/>
              <w:spacing w:after="0" w:line="215" w:lineRule="exact"/>
              <w:rPr>
                <w:sz w:val="20"/>
                <w:szCs w:val="20"/>
                <w:color w:val="auto"/>
              </w:rPr>
            </w:pPr>
            <w:r>
              <w:rPr>
                <w:rFonts w:ascii="Calibri" w:cs="Calibri" w:eastAsia="Calibri" w:hAnsi="Calibri"/>
                <w:sz w:val="18"/>
                <w:szCs w:val="18"/>
                <w:color w:val="auto"/>
              </w:rPr>
              <w:t>31.3</w:t>
            </w:r>
          </w:p>
        </w:tc>
        <w:tc>
          <w:tcPr>
            <w:tcW w:w="4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31.3</w:t>
            </w:r>
          </w:p>
        </w:tc>
      </w:tr>
      <w:tr>
        <w:trPr>
          <w:trHeight w:val="243"/>
        </w:trPr>
        <w:tc>
          <w:tcPr>
            <w:tcW w:w="6180" w:type="dxa"/>
            <w:vAlign w:val="bottom"/>
          </w:tcPr>
          <w:p>
            <w:pPr>
              <w:ind w:left="120"/>
              <w:spacing w:after="0" w:line="215" w:lineRule="exact"/>
              <w:rPr>
                <w:sz w:val="20"/>
                <w:szCs w:val="20"/>
                <w:color w:val="auto"/>
              </w:rPr>
            </w:pPr>
            <w:r>
              <w:rPr>
                <w:rFonts w:ascii="Calibri" w:cs="Calibri" w:eastAsia="Calibri" w:hAnsi="Calibri"/>
                <w:sz w:val="18"/>
                <w:szCs w:val="18"/>
                <w:color w:val="auto"/>
              </w:rPr>
              <w:t>Investment land</w:t>
            </w:r>
          </w:p>
        </w:tc>
        <w:tc>
          <w:tcPr>
            <w:tcW w:w="360" w:type="dxa"/>
            <w:vAlign w:val="bottom"/>
            <w:tcBorders>
              <w:right w:val="single" w:sz="8" w:color="007CBA"/>
            </w:tcBorders>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40.6</w:t>
            </w:r>
          </w:p>
        </w:tc>
        <w:tc>
          <w:tcPr>
            <w:tcW w:w="140" w:type="dxa"/>
            <w:vAlign w:val="bottom"/>
            <w:tcBorders>
              <w:right w:val="single" w:sz="8" w:color="007CBA"/>
            </w:tcBorders>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Borders>
              <w:right w:val="single" w:sz="8" w:color="007CBA"/>
            </w:tcBorders>
            <w:gridSpan w:val="2"/>
          </w:tcPr>
          <w:p>
            <w:pPr>
              <w:jc w:val="right"/>
              <w:ind w:right="120"/>
              <w:spacing w:after="0" w:line="215" w:lineRule="exact"/>
              <w:rPr>
                <w:sz w:val="20"/>
                <w:szCs w:val="20"/>
                <w:color w:val="auto"/>
              </w:rPr>
            </w:pPr>
            <w:r>
              <w:rPr>
                <w:rFonts w:ascii="Calibri" w:cs="Calibri" w:eastAsia="Calibri" w:hAnsi="Calibri"/>
                <w:sz w:val="18"/>
                <w:szCs w:val="18"/>
                <w:color w:val="auto"/>
              </w:rPr>
              <w:t>—</w:t>
            </w:r>
          </w:p>
        </w:tc>
        <w:tc>
          <w:tcPr>
            <w:tcW w:w="400" w:type="dxa"/>
            <w:vAlign w:val="bottom"/>
          </w:tcPr>
          <w:p>
            <w:pPr>
              <w:spacing w:after="0"/>
              <w:rPr>
                <w:sz w:val="21"/>
                <w:szCs w:val="21"/>
                <w:color w:val="auto"/>
              </w:rPr>
            </w:pP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40.6</w:t>
            </w:r>
          </w:p>
        </w:tc>
      </w:tr>
      <w:tr>
        <w:trPr>
          <w:trHeight w:val="248"/>
        </w:trPr>
        <w:tc>
          <w:tcPr>
            <w:tcW w:w="61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Other assets</w:t>
            </w:r>
          </w:p>
        </w:tc>
        <w:tc>
          <w:tcPr>
            <w:tcW w:w="360" w:type="dxa"/>
            <w:vAlign w:val="bottom"/>
            <w:tcBorders>
              <w:bottom w:val="single" w:sz="8" w:color="E5F1F8"/>
              <w:right w:val="single" w:sz="8" w:color="E5F1F8"/>
            </w:tcBorders>
            <w:shd w:val="clear" w:color="auto" w:fill="E5F1F8"/>
          </w:tcPr>
          <w:p>
            <w:pPr>
              <w:spacing w:after="0"/>
              <w:rPr>
                <w:sz w:val="21"/>
                <w:szCs w:val="21"/>
                <w:color w:val="auto"/>
              </w:rPr>
            </w:pPr>
          </w:p>
        </w:tc>
        <w:tc>
          <w:tcPr>
            <w:tcW w:w="280" w:type="dxa"/>
            <w:vAlign w:val="bottom"/>
            <w:tcBorders>
              <w:bottom w:val="single" w:sz="8" w:color="E5F1F8"/>
            </w:tcBorders>
            <w:shd w:val="clear" w:color="auto" w:fill="E5F1F8"/>
          </w:tcPr>
          <w:p>
            <w:pPr>
              <w:spacing w:after="0"/>
              <w:rPr>
                <w:sz w:val="21"/>
                <w:szCs w:val="21"/>
                <w:color w:val="auto"/>
              </w:rPr>
            </w:pPr>
          </w:p>
        </w:tc>
        <w:tc>
          <w:tcPr>
            <w:tcW w:w="1080" w:type="dxa"/>
            <w:vAlign w:val="bottom"/>
            <w:tcBorders>
              <w:bottom w:val="single" w:sz="8" w:color="E5F1F8"/>
              <w:right w:val="single" w:sz="8" w:color="E5F1F8"/>
            </w:tcBorders>
            <w:shd w:val="clear" w:color="auto" w:fill="E5F1F8"/>
          </w:tcPr>
          <w:p>
            <w:pPr>
              <w:spacing w:after="0"/>
              <w:rPr>
                <w:sz w:val="21"/>
                <w:szCs w:val="21"/>
                <w:color w:val="auto"/>
              </w:rPr>
            </w:pPr>
          </w:p>
        </w:tc>
        <w:tc>
          <w:tcPr>
            <w:tcW w:w="1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w w:val="85"/>
              </w:rPr>
              <w:t>—</w:t>
            </w:r>
          </w:p>
        </w:tc>
        <w:tc>
          <w:tcPr>
            <w:tcW w:w="140" w:type="dxa"/>
            <w:vAlign w:val="bottom"/>
            <w:tcBorders>
              <w:bottom w:val="single" w:sz="8" w:color="E5F1F8"/>
              <w:right w:val="single" w:sz="8" w:color="E5F1F8"/>
            </w:tcBorders>
            <w:shd w:val="clear" w:color="auto" w:fill="E5F1F8"/>
          </w:tcPr>
          <w:p>
            <w:pPr>
              <w:spacing w:after="0"/>
              <w:rPr>
                <w:sz w:val="21"/>
                <w:szCs w:val="21"/>
                <w:color w:val="auto"/>
              </w:rPr>
            </w:pPr>
          </w:p>
        </w:tc>
        <w:tc>
          <w:tcPr>
            <w:tcW w:w="280" w:type="dxa"/>
            <w:vAlign w:val="bottom"/>
            <w:tcBorders>
              <w:bottom w:val="single" w:sz="8" w:color="E5F1F8"/>
            </w:tcBorders>
            <w:shd w:val="clear" w:color="auto" w:fill="E5F1F8"/>
          </w:tcPr>
          <w:p>
            <w:pPr>
              <w:spacing w:after="0"/>
              <w:rPr>
                <w:sz w:val="21"/>
                <w:szCs w:val="21"/>
                <w:color w:val="auto"/>
              </w:rPr>
            </w:pPr>
          </w:p>
        </w:tc>
        <w:tc>
          <w:tcPr>
            <w:tcW w:w="1240" w:type="dxa"/>
            <w:vAlign w:val="bottom"/>
            <w:tcBorders>
              <w:bottom w:val="single" w:sz="8" w:color="E5F1F8"/>
              <w:right w:val="single" w:sz="8" w:color="E5F1F8"/>
            </w:tcBorders>
            <w:gridSpan w:val="2"/>
            <w:shd w:val="clear" w:color="auto" w:fill="E5F1F8"/>
          </w:tcPr>
          <w:p>
            <w:pPr>
              <w:jc w:val="right"/>
              <w:ind w:right="120"/>
              <w:spacing w:after="0" w:line="215" w:lineRule="exact"/>
              <w:rPr>
                <w:sz w:val="20"/>
                <w:szCs w:val="20"/>
                <w:color w:val="auto"/>
              </w:rPr>
            </w:pPr>
            <w:r>
              <w:rPr>
                <w:rFonts w:ascii="Calibri" w:cs="Calibri" w:eastAsia="Calibri" w:hAnsi="Calibri"/>
                <w:sz w:val="18"/>
                <w:szCs w:val="18"/>
                <w:color w:val="auto"/>
              </w:rPr>
              <w:t>1.3</w:t>
            </w:r>
          </w:p>
        </w:tc>
        <w:tc>
          <w:tcPr>
            <w:tcW w:w="400" w:type="dxa"/>
            <w:vAlign w:val="bottom"/>
            <w:tcBorders>
              <w:bottom w:val="single" w:sz="8" w:color="E5F1F8"/>
            </w:tcBorders>
            <w:shd w:val="clear" w:color="auto" w:fill="E5F1F8"/>
          </w:tcPr>
          <w:p>
            <w:pPr>
              <w:spacing w:after="0"/>
              <w:rPr>
                <w:sz w:val="21"/>
                <w:szCs w:val="21"/>
                <w:color w:val="auto"/>
              </w:rPr>
            </w:pP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1.3</w:t>
            </w:r>
          </w:p>
        </w:tc>
      </w:tr>
      <w:tr>
        <w:trPr>
          <w:trHeight w:val="208"/>
        </w:trPr>
        <w:tc>
          <w:tcPr>
            <w:tcW w:w="618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current assets held for sale</w:t>
            </w:r>
          </w:p>
        </w:tc>
        <w:tc>
          <w:tcPr>
            <w:tcW w:w="640" w:type="dxa"/>
            <w:vAlign w:val="bottom"/>
            <w:tcBorders>
              <w:top w:val="single" w:sz="8" w:color="auto"/>
            </w:tcBorders>
            <w:gridSpan w:val="2"/>
          </w:tcPr>
          <w:p>
            <w:pPr>
              <w:jc w:val="right"/>
              <w:spacing w:after="0" w:line="208" w:lineRule="exact"/>
              <w:rPr>
                <w:sz w:val="20"/>
                <w:szCs w:val="20"/>
                <w:color w:val="auto"/>
              </w:rPr>
            </w:pPr>
            <w:r>
              <w:rPr>
                <w:rFonts w:ascii="Calibri" w:cs="Calibri" w:eastAsia="Calibri" w:hAnsi="Calibri"/>
                <w:sz w:val="18"/>
                <w:szCs w:val="18"/>
                <w:color w:val="auto"/>
              </w:rPr>
              <w:t>$</w:t>
            </w:r>
          </w:p>
        </w:tc>
        <w:tc>
          <w:tcPr>
            <w:tcW w:w="1240" w:type="dxa"/>
            <w:vAlign w:val="bottom"/>
            <w:tcBorders>
              <w:top w:val="single" w:sz="8" w:color="auto"/>
            </w:tcBorders>
            <w:gridSpan w:val="2"/>
          </w:tcPr>
          <w:p>
            <w:pPr>
              <w:jc w:val="right"/>
              <w:spacing w:after="0" w:line="208" w:lineRule="exact"/>
              <w:rPr>
                <w:sz w:val="20"/>
                <w:szCs w:val="20"/>
                <w:color w:val="auto"/>
              </w:rPr>
            </w:pPr>
            <w:r>
              <w:rPr>
                <w:rFonts w:ascii="Calibri" w:cs="Calibri" w:eastAsia="Calibri" w:hAnsi="Calibri"/>
                <w:sz w:val="18"/>
                <w:szCs w:val="18"/>
                <w:color w:val="auto"/>
              </w:rPr>
              <w:t>40.6</w:t>
            </w:r>
          </w:p>
        </w:tc>
        <w:tc>
          <w:tcPr>
            <w:tcW w:w="420" w:type="dxa"/>
            <w:vAlign w:val="bottom"/>
            <w:tcBorders>
              <w:top w:val="single" w:sz="8" w:color="auto"/>
            </w:tcBorders>
            <w:gridSpan w:val="2"/>
          </w:tcPr>
          <w:p>
            <w:pPr>
              <w:jc w:val="right"/>
              <w:spacing w:after="0" w:line="208" w:lineRule="exact"/>
              <w:rPr>
                <w:sz w:val="20"/>
                <w:szCs w:val="20"/>
                <w:color w:val="auto"/>
              </w:rPr>
            </w:pPr>
            <w:r>
              <w:rPr>
                <w:rFonts w:ascii="Calibri" w:cs="Calibri" w:eastAsia="Calibri" w:hAnsi="Calibri"/>
                <w:sz w:val="18"/>
                <w:szCs w:val="18"/>
                <w:color w:val="auto"/>
              </w:rPr>
              <w:t>$</w:t>
            </w:r>
          </w:p>
        </w:tc>
        <w:tc>
          <w:tcPr>
            <w:tcW w:w="1240" w:type="dxa"/>
            <w:vAlign w:val="bottom"/>
            <w:tcBorders>
              <w:top w:val="single" w:sz="8" w:color="auto"/>
            </w:tcBorders>
            <w:gridSpan w:val="2"/>
          </w:tcPr>
          <w:p>
            <w:pPr>
              <w:jc w:val="right"/>
              <w:ind w:right="120"/>
              <w:spacing w:after="0" w:line="208" w:lineRule="exact"/>
              <w:rPr>
                <w:sz w:val="20"/>
                <w:szCs w:val="20"/>
                <w:color w:val="auto"/>
              </w:rPr>
            </w:pPr>
            <w:r>
              <w:rPr>
                <w:rFonts w:ascii="Calibri" w:cs="Calibri" w:eastAsia="Calibri" w:hAnsi="Calibri"/>
                <w:sz w:val="18"/>
                <w:szCs w:val="18"/>
                <w:color w:val="auto"/>
              </w:rPr>
              <w:t>32.6</w:t>
            </w:r>
          </w:p>
        </w:tc>
        <w:tc>
          <w:tcPr>
            <w:tcW w:w="4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73.2</w:t>
            </w:r>
          </w:p>
        </w:tc>
      </w:tr>
      <w:tr>
        <w:trPr>
          <w:trHeight w:val="28"/>
        </w:trPr>
        <w:tc>
          <w:tcPr>
            <w:tcW w:w="6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180" w:type="dxa"/>
            <w:vAlign w:val="bottom"/>
          </w:tcPr>
          <w:p>
            <w:pPr>
              <w:spacing w:after="0"/>
              <w:rPr>
                <w:sz w:val="19"/>
                <w:szCs w:val="19"/>
                <w:color w:val="auto"/>
              </w:rPr>
            </w:pPr>
          </w:p>
        </w:tc>
        <w:tc>
          <w:tcPr>
            <w:tcW w:w="360" w:type="dxa"/>
            <w:vAlign w:val="bottom"/>
            <w:tcBorders>
              <w:right w:val="single" w:sz="8" w:color="007CBA"/>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right w:val="single" w:sz="8" w:color="007CBA"/>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right w:val="single" w:sz="8" w:color="007CBA"/>
            </w:tcBorders>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61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Property, plant and equipment</w:t>
            </w:r>
          </w:p>
        </w:tc>
        <w:tc>
          <w:tcPr>
            <w:tcW w:w="360" w:type="dxa"/>
            <w:vAlign w:val="bottom"/>
            <w:tcBorders>
              <w:bottom w:val="single" w:sz="8" w:color="E5F1F8"/>
              <w:right w:val="single" w:sz="8" w:color="007CBA"/>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E5F1F8"/>
              <w:right w:val="single" w:sz="8" w:color="E5F1F8"/>
            </w:tcBorders>
            <w:shd w:val="clear" w:color="auto" w:fill="E5F1F8"/>
          </w:tcPr>
          <w:p>
            <w:pPr>
              <w:spacing w:after="0"/>
              <w:rPr>
                <w:sz w:val="19"/>
                <w:szCs w:val="19"/>
                <w:color w:val="auto"/>
              </w:rPr>
            </w:pPr>
          </w:p>
        </w:tc>
        <w:tc>
          <w:tcPr>
            <w:tcW w:w="1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w w:val="85"/>
              </w:rPr>
              <w:t>—</w:t>
            </w:r>
          </w:p>
        </w:tc>
        <w:tc>
          <w:tcPr>
            <w:tcW w:w="140" w:type="dxa"/>
            <w:vAlign w:val="bottom"/>
            <w:tcBorders>
              <w:bottom w:val="single" w:sz="8" w:color="E5F1F8"/>
              <w:right w:val="single" w:sz="8" w:color="007CBA"/>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E5F1F8"/>
              <w:right w:val="single" w:sz="8" w:color="007CBA"/>
            </w:tcBorders>
            <w:gridSpan w:val="2"/>
            <w:shd w:val="clear" w:color="auto" w:fill="E5F1F8"/>
          </w:tcPr>
          <w:p>
            <w:pPr>
              <w:jc w:val="right"/>
              <w:ind w:right="120"/>
              <w:spacing w:after="0" w:line="215" w:lineRule="exact"/>
              <w:rPr>
                <w:sz w:val="20"/>
                <w:szCs w:val="20"/>
                <w:color w:val="auto"/>
              </w:rPr>
            </w:pPr>
            <w:r>
              <w:rPr>
                <w:rFonts w:ascii="Calibri" w:cs="Calibri" w:eastAsia="Calibri" w:hAnsi="Calibri"/>
                <w:sz w:val="18"/>
                <w:szCs w:val="18"/>
                <w:color w:val="auto"/>
              </w:rPr>
              <w:t>124.5</w:t>
            </w:r>
          </w:p>
        </w:tc>
        <w:tc>
          <w:tcPr>
            <w:tcW w:w="4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124.5</w:t>
            </w:r>
          </w:p>
        </w:tc>
      </w:tr>
      <w:tr>
        <w:trPr>
          <w:trHeight w:val="215"/>
        </w:trPr>
        <w:tc>
          <w:tcPr>
            <w:tcW w:w="6180" w:type="dxa"/>
            <w:vAlign w:val="bottom"/>
          </w:tcPr>
          <w:p>
            <w:pPr>
              <w:ind w:left="120"/>
              <w:spacing w:after="0" w:line="215" w:lineRule="exact"/>
              <w:rPr>
                <w:sz w:val="20"/>
                <w:szCs w:val="20"/>
                <w:color w:val="auto"/>
              </w:rPr>
            </w:pPr>
            <w:r>
              <w:rPr>
                <w:rFonts w:ascii="Calibri" w:cs="Calibri" w:eastAsia="Calibri" w:hAnsi="Calibri"/>
                <w:sz w:val="18"/>
                <w:szCs w:val="18"/>
                <w:color w:val="auto"/>
              </w:rPr>
              <w:t>Intangible assets, excluding goodwill</w:t>
            </w:r>
          </w:p>
        </w:tc>
        <w:tc>
          <w:tcPr>
            <w:tcW w:w="360" w:type="dxa"/>
            <w:vAlign w:val="bottom"/>
            <w:tcBorders>
              <w:right w:val="single" w:sz="8" w:color="007CBA"/>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5"/>
              </w:rPr>
              <w:t>—</w:t>
            </w:r>
          </w:p>
        </w:tc>
        <w:tc>
          <w:tcPr>
            <w:tcW w:w="140" w:type="dxa"/>
            <w:vAlign w:val="bottom"/>
            <w:tcBorders>
              <w:right w:val="single" w:sz="8" w:color="007CBA"/>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right w:val="single" w:sz="8" w:color="007CBA"/>
            </w:tcBorders>
            <w:gridSpan w:val="2"/>
          </w:tcPr>
          <w:p>
            <w:pPr>
              <w:jc w:val="right"/>
              <w:ind w:right="120"/>
              <w:spacing w:after="0" w:line="215" w:lineRule="exact"/>
              <w:rPr>
                <w:sz w:val="20"/>
                <w:szCs w:val="20"/>
                <w:color w:val="auto"/>
              </w:rPr>
            </w:pPr>
            <w:r>
              <w:rPr>
                <w:rFonts w:ascii="Calibri" w:cs="Calibri" w:eastAsia="Calibri" w:hAnsi="Calibri"/>
                <w:sz w:val="18"/>
                <w:szCs w:val="18"/>
                <w:color w:val="auto"/>
              </w:rPr>
              <w:t>208.5</w:t>
            </w:r>
          </w:p>
        </w:tc>
        <w:tc>
          <w:tcPr>
            <w:tcW w:w="400" w:type="dxa"/>
            <w:vAlign w:val="bottom"/>
          </w:tcPr>
          <w:p>
            <w:pPr>
              <w:spacing w:after="0"/>
              <w:rPr>
                <w:sz w:val="18"/>
                <w:szCs w:val="18"/>
                <w:color w:val="auto"/>
              </w:rPr>
            </w:pP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208.5</w:t>
            </w:r>
          </w:p>
        </w:tc>
      </w:tr>
      <w:tr>
        <w:trPr>
          <w:trHeight w:val="28"/>
        </w:trPr>
        <w:tc>
          <w:tcPr>
            <w:tcW w:w="6180" w:type="dxa"/>
            <w:vAlign w:val="bottom"/>
          </w:tcPr>
          <w:p>
            <w:pPr>
              <w:spacing w:after="0"/>
              <w:rPr>
                <w:sz w:val="2"/>
                <w:szCs w:val="2"/>
                <w:color w:val="auto"/>
              </w:rPr>
            </w:pPr>
          </w:p>
        </w:tc>
        <w:tc>
          <w:tcPr>
            <w:tcW w:w="360" w:type="dxa"/>
            <w:vAlign w:val="bottom"/>
            <w:tcBorders>
              <w:right w:val="single" w:sz="8" w:color="007CBA"/>
            </w:tcBorders>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right w:val="single" w:sz="8" w:color="007CBA"/>
            </w:tcBorders>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Borders>
              <w:right w:val="single" w:sz="8" w:color="007CBA"/>
            </w:tcBorders>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61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Operatng lease right-of-use assets</w:t>
            </w:r>
          </w:p>
        </w:tc>
        <w:tc>
          <w:tcPr>
            <w:tcW w:w="360" w:type="dxa"/>
            <w:vAlign w:val="bottom"/>
            <w:tcBorders>
              <w:bottom w:val="single" w:sz="8" w:color="E5F1F8"/>
              <w:right w:val="single" w:sz="8" w:color="007CBA"/>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spacing w:after="0"/>
              <w:rPr>
                <w:sz w:val="19"/>
                <w:szCs w:val="19"/>
                <w:color w:val="auto"/>
              </w:rPr>
            </w:pPr>
          </w:p>
        </w:tc>
        <w:tc>
          <w:tcPr>
            <w:tcW w:w="1080" w:type="dxa"/>
            <w:vAlign w:val="bottom"/>
            <w:tcBorders>
              <w:bottom w:val="single" w:sz="8" w:color="E5F1F8"/>
              <w:right w:val="single" w:sz="8" w:color="E5F1F8"/>
            </w:tcBorders>
            <w:shd w:val="clear" w:color="auto" w:fill="E5F1F8"/>
          </w:tcPr>
          <w:p>
            <w:pPr>
              <w:spacing w:after="0"/>
              <w:rPr>
                <w:sz w:val="19"/>
                <w:szCs w:val="19"/>
                <w:color w:val="auto"/>
              </w:rPr>
            </w:pPr>
          </w:p>
        </w:tc>
        <w:tc>
          <w:tcPr>
            <w:tcW w:w="1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w w:val="85"/>
              </w:rPr>
              <w:t>—</w:t>
            </w:r>
          </w:p>
        </w:tc>
        <w:tc>
          <w:tcPr>
            <w:tcW w:w="140" w:type="dxa"/>
            <w:vAlign w:val="bottom"/>
            <w:tcBorders>
              <w:bottom w:val="single" w:sz="8" w:color="E5F1F8"/>
              <w:right w:val="single" w:sz="8" w:color="007CBA"/>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spacing w:after="0"/>
              <w:rPr>
                <w:sz w:val="19"/>
                <w:szCs w:val="19"/>
                <w:color w:val="auto"/>
              </w:rPr>
            </w:pPr>
          </w:p>
        </w:tc>
        <w:tc>
          <w:tcPr>
            <w:tcW w:w="1240" w:type="dxa"/>
            <w:vAlign w:val="bottom"/>
            <w:tcBorders>
              <w:bottom w:val="single" w:sz="8" w:color="E5F1F8"/>
              <w:right w:val="single" w:sz="8" w:color="007CBA"/>
            </w:tcBorders>
            <w:gridSpan w:val="2"/>
            <w:shd w:val="clear" w:color="auto" w:fill="E5F1F8"/>
          </w:tcPr>
          <w:p>
            <w:pPr>
              <w:jc w:val="right"/>
              <w:ind w:right="120"/>
              <w:spacing w:after="0" w:line="215" w:lineRule="exact"/>
              <w:rPr>
                <w:sz w:val="20"/>
                <w:szCs w:val="20"/>
                <w:color w:val="auto"/>
              </w:rPr>
            </w:pPr>
            <w:r>
              <w:rPr>
                <w:rFonts w:ascii="Calibri" w:cs="Calibri" w:eastAsia="Calibri" w:hAnsi="Calibri"/>
                <w:sz w:val="18"/>
                <w:szCs w:val="18"/>
                <w:color w:val="auto"/>
              </w:rPr>
              <w:t>12.1</w:t>
            </w:r>
          </w:p>
        </w:tc>
        <w:tc>
          <w:tcPr>
            <w:tcW w:w="400" w:type="dxa"/>
            <w:vAlign w:val="bottom"/>
            <w:tcBorders>
              <w:bottom w:val="single" w:sz="8" w:color="E5F1F8"/>
            </w:tcBorders>
            <w:shd w:val="clear" w:color="auto" w:fill="E5F1F8"/>
          </w:tcPr>
          <w:p>
            <w:pPr>
              <w:spacing w:after="0"/>
              <w:rPr>
                <w:sz w:val="19"/>
                <w:szCs w:val="19"/>
                <w:color w:val="auto"/>
              </w:rPr>
            </w:pP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12.1</w:t>
            </w:r>
          </w:p>
        </w:tc>
      </w:tr>
      <w:tr>
        <w:trPr>
          <w:trHeight w:val="243"/>
        </w:trPr>
        <w:tc>
          <w:tcPr>
            <w:tcW w:w="6180" w:type="dxa"/>
            <w:vAlign w:val="bottom"/>
          </w:tcPr>
          <w:p>
            <w:pPr>
              <w:ind w:left="120"/>
              <w:spacing w:after="0" w:line="215" w:lineRule="exact"/>
              <w:rPr>
                <w:sz w:val="20"/>
                <w:szCs w:val="20"/>
                <w:color w:val="auto"/>
              </w:rPr>
            </w:pPr>
            <w:r>
              <w:rPr>
                <w:rFonts w:ascii="Calibri" w:cs="Calibri" w:eastAsia="Calibri" w:hAnsi="Calibri"/>
                <w:sz w:val="18"/>
                <w:szCs w:val="18"/>
                <w:color w:val="auto"/>
              </w:rPr>
              <w:t>Goodwill</w:t>
            </w:r>
          </w:p>
        </w:tc>
        <w:tc>
          <w:tcPr>
            <w:tcW w:w="360" w:type="dxa"/>
            <w:vAlign w:val="bottom"/>
            <w:tcBorders>
              <w:right w:val="single" w:sz="8" w:color="007CBA"/>
            </w:tcBorders>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5"/>
              </w:rPr>
              <w:t>—</w:t>
            </w:r>
          </w:p>
        </w:tc>
        <w:tc>
          <w:tcPr>
            <w:tcW w:w="140" w:type="dxa"/>
            <w:vAlign w:val="bottom"/>
            <w:tcBorders>
              <w:right w:val="single" w:sz="8" w:color="007CBA"/>
            </w:tcBorders>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Borders>
              <w:right w:val="single" w:sz="8" w:color="007CBA"/>
            </w:tcBorders>
            <w:gridSpan w:val="2"/>
          </w:tcPr>
          <w:p>
            <w:pPr>
              <w:jc w:val="right"/>
              <w:ind w:right="120"/>
              <w:spacing w:after="0" w:line="215" w:lineRule="exact"/>
              <w:rPr>
                <w:sz w:val="20"/>
                <w:szCs w:val="20"/>
                <w:color w:val="auto"/>
              </w:rPr>
            </w:pPr>
            <w:r>
              <w:rPr>
                <w:rFonts w:ascii="Calibri" w:cs="Calibri" w:eastAsia="Calibri" w:hAnsi="Calibri"/>
                <w:sz w:val="18"/>
                <w:szCs w:val="18"/>
                <w:color w:val="auto"/>
              </w:rPr>
              <w:t>31.9</w:t>
            </w:r>
          </w:p>
        </w:tc>
        <w:tc>
          <w:tcPr>
            <w:tcW w:w="400" w:type="dxa"/>
            <w:vAlign w:val="bottom"/>
          </w:tcPr>
          <w:p>
            <w:pPr>
              <w:spacing w:after="0"/>
              <w:rPr>
                <w:sz w:val="21"/>
                <w:szCs w:val="21"/>
                <w:color w:val="auto"/>
              </w:rPr>
            </w:pP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31.9</w:t>
            </w:r>
          </w:p>
        </w:tc>
      </w:tr>
      <w:tr>
        <w:trPr>
          <w:trHeight w:val="248"/>
        </w:trPr>
        <w:tc>
          <w:tcPr>
            <w:tcW w:w="61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Valuaton allowance for loss on sale</w:t>
            </w:r>
          </w:p>
        </w:tc>
        <w:tc>
          <w:tcPr>
            <w:tcW w:w="360" w:type="dxa"/>
            <w:vAlign w:val="bottom"/>
            <w:tcBorders>
              <w:bottom w:val="single" w:sz="8" w:color="E5F1F8"/>
              <w:right w:val="single" w:sz="8" w:color="E5F1F8"/>
            </w:tcBorders>
            <w:shd w:val="clear" w:color="auto" w:fill="E5F1F8"/>
          </w:tcPr>
          <w:p>
            <w:pPr>
              <w:spacing w:after="0"/>
              <w:rPr>
                <w:sz w:val="21"/>
                <w:szCs w:val="21"/>
                <w:color w:val="auto"/>
              </w:rPr>
            </w:pPr>
          </w:p>
        </w:tc>
        <w:tc>
          <w:tcPr>
            <w:tcW w:w="280" w:type="dxa"/>
            <w:vAlign w:val="bottom"/>
            <w:tcBorders>
              <w:bottom w:val="single" w:sz="8" w:color="E5F1F8"/>
            </w:tcBorders>
            <w:shd w:val="clear" w:color="auto" w:fill="E5F1F8"/>
          </w:tcPr>
          <w:p>
            <w:pPr>
              <w:spacing w:after="0"/>
              <w:rPr>
                <w:sz w:val="21"/>
                <w:szCs w:val="21"/>
                <w:color w:val="auto"/>
              </w:rPr>
            </w:pPr>
          </w:p>
        </w:tc>
        <w:tc>
          <w:tcPr>
            <w:tcW w:w="1080" w:type="dxa"/>
            <w:vAlign w:val="bottom"/>
            <w:tcBorders>
              <w:bottom w:val="single" w:sz="8" w:color="E5F1F8"/>
              <w:right w:val="single" w:sz="8" w:color="E5F1F8"/>
            </w:tcBorders>
            <w:shd w:val="clear" w:color="auto" w:fill="E5F1F8"/>
          </w:tcPr>
          <w:p>
            <w:pPr>
              <w:spacing w:after="0"/>
              <w:rPr>
                <w:sz w:val="21"/>
                <w:szCs w:val="21"/>
                <w:color w:val="auto"/>
              </w:rPr>
            </w:pPr>
          </w:p>
        </w:tc>
        <w:tc>
          <w:tcPr>
            <w:tcW w:w="1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w w:val="85"/>
              </w:rPr>
              <w:t>—</w:t>
            </w:r>
          </w:p>
        </w:tc>
        <w:tc>
          <w:tcPr>
            <w:tcW w:w="140" w:type="dxa"/>
            <w:vAlign w:val="bottom"/>
            <w:tcBorders>
              <w:bottom w:val="single" w:sz="8" w:color="E5F1F8"/>
              <w:right w:val="single" w:sz="8" w:color="E5F1F8"/>
            </w:tcBorders>
            <w:shd w:val="clear" w:color="auto" w:fill="E5F1F8"/>
          </w:tcPr>
          <w:p>
            <w:pPr>
              <w:spacing w:after="0"/>
              <w:rPr>
                <w:sz w:val="21"/>
                <w:szCs w:val="21"/>
                <w:color w:val="auto"/>
              </w:rPr>
            </w:pPr>
          </w:p>
        </w:tc>
        <w:tc>
          <w:tcPr>
            <w:tcW w:w="280" w:type="dxa"/>
            <w:vAlign w:val="bottom"/>
            <w:tcBorders>
              <w:bottom w:val="single" w:sz="8" w:color="E5F1F8"/>
            </w:tcBorders>
            <w:shd w:val="clear" w:color="auto" w:fill="E5F1F8"/>
          </w:tcPr>
          <w:p>
            <w:pPr>
              <w:spacing w:after="0"/>
              <w:rPr>
                <w:sz w:val="21"/>
                <w:szCs w:val="21"/>
                <w:color w:val="auto"/>
              </w:rPr>
            </w:pPr>
          </w:p>
        </w:tc>
        <w:tc>
          <w:tcPr>
            <w:tcW w:w="1240" w:type="dxa"/>
            <w:vAlign w:val="bottom"/>
            <w:tcBorders>
              <w:bottom w:val="single" w:sz="8" w:color="E5F1F8"/>
              <w:right w:val="single" w:sz="8" w:color="E5F1F8"/>
            </w:tcBorders>
            <w:gridSpan w:val="2"/>
            <w:shd w:val="clear" w:color="auto" w:fill="E5F1F8"/>
          </w:tcPr>
          <w:p>
            <w:pPr>
              <w:jc w:val="right"/>
              <w:ind w:right="40"/>
              <w:spacing w:after="0" w:line="215" w:lineRule="exact"/>
              <w:rPr>
                <w:sz w:val="20"/>
                <w:szCs w:val="20"/>
                <w:color w:val="auto"/>
              </w:rPr>
            </w:pPr>
            <w:r>
              <w:rPr>
                <w:rFonts w:ascii="Calibri" w:cs="Calibri" w:eastAsia="Calibri" w:hAnsi="Calibri"/>
                <w:sz w:val="18"/>
                <w:szCs w:val="18"/>
                <w:color w:val="auto"/>
              </w:rPr>
              <w:t>(4.5 )</w:t>
            </w:r>
          </w:p>
        </w:tc>
        <w:tc>
          <w:tcPr>
            <w:tcW w:w="400" w:type="dxa"/>
            <w:vAlign w:val="bottom"/>
            <w:tcBorders>
              <w:bottom w:val="single" w:sz="8" w:color="E5F1F8"/>
            </w:tcBorders>
            <w:shd w:val="clear" w:color="auto" w:fill="E5F1F8"/>
          </w:tcPr>
          <w:p>
            <w:pPr>
              <w:spacing w:after="0"/>
              <w:rPr>
                <w:sz w:val="21"/>
                <w:szCs w:val="21"/>
                <w:color w:val="auto"/>
              </w:rPr>
            </w:pPr>
          </w:p>
        </w:tc>
        <w:tc>
          <w:tcPr>
            <w:tcW w:w="11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(4.5 )</w:t>
            </w:r>
          </w:p>
        </w:tc>
      </w:tr>
      <w:tr>
        <w:trPr>
          <w:trHeight w:val="208"/>
        </w:trPr>
        <w:tc>
          <w:tcPr>
            <w:tcW w:w="618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noncurrent assets held for sale</w:t>
            </w:r>
          </w:p>
        </w:tc>
        <w:tc>
          <w:tcPr>
            <w:tcW w:w="640" w:type="dxa"/>
            <w:vAlign w:val="bottom"/>
            <w:tcBorders>
              <w:top w:val="single" w:sz="8" w:color="auto"/>
            </w:tcBorders>
            <w:gridSpan w:val="2"/>
          </w:tcPr>
          <w:p>
            <w:pPr>
              <w:jc w:val="right"/>
              <w:spacing w:after="0" w:line="208" w:lineRule="exact"/>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5"/>
              </w:rPr>
              <w:t>—</w:t>
            </w:r>
          </w:p>
        </w:tc>
        <w:tc>
          <w:tcPr>
            <w:tcW w:w="420" w:type="dxa"/>
            <w:vAlign w:val="bottom"/>
            <w:tcBorders>
              <w:top w:val="single" w:sz="8" w:color="auto"/>
            </w:tcBorders>
            <w:gridSpan w:val="2"/>
          </w:tcPr>
          <w:p>
            <w:pPr>
              <w:jc w:val="right"/>
              <w:spacing w:after="0" w:line="208" w:lineRule="exact"/>
              <w:rPr>
                <w:sz w:val="20"/>
                <w:szCs w:val="20"/>
                <w:color w:val="auto"/>
              </w:rPr>
            </w:pPr>
            <w:r>
              <w:rPr>
                <w:rFonts w:ascii="Calibri" w:cs="Calibri" w:eastAsia="Calibri" w:hAnsi="Calibri"/>
                <w:sz w:val="18"/>
                <w:szCs w:val="18"/>
                <w:color w:val="auto"/>
              </w:rPr>
              <w:t>$</w:t>
            </w:r>
          </w:p>
        </w:tc>
        <w:tc>
          <w:tcPr>
            <w:tcW w:w="1240" w:type="dxa"/>
            <w:vAlign w:val="bottom"/>
            <w:tcBorders>
              <w:top w:val="single" w:sz="8" w:color="auto"/>
            </w:tcBorders>
            <w:gridSpan w:val="2"/>
          </w:tcPr>
          <w:p>
            <w:pPr>
              <w:jc w:val="right"/>
              <w:ind w:right="120"/>
              <w:spacing w:after="0" w:line="208" w:lineRule="exact"/>
              <w:rPr>
                <w:sz w:val="20"/>
                <w:szCs w:val="20"/>
                <w:color w:val="auto"/>
              </w:rPr>
            </w:pPr>
            <w:r>
              <w:rPr>
                <w:rFonts w:ascii="Calibri" w:cs="Calibri" w:eastAsia="Calibri" w:hAnsi="Calibri"/>
                <w:sz w:val="18"/>
                <w:szCs w:val="18"/>
                <w:color w:val="auto"/>
              </w:rPr>
              <w:t>372.5</w:t>
            </w:r>
          </w:p>
        </w:tc>
        <w:tc>
          <w:tcPr>
            <w:tcW w:w="4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372.5</w:t>
            </w:r>
          </w:p>
        </w:tc>
      </w:tr>
      <w:tr>
        <w:trPr>
          <w:trHeight w:val="28"/>
        </w:trPr>
        <w:tc>
          <w:tcPr>
            <w:tcW w:w="6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180" w:type="dxa"/>
            <w:vAlign w:val="bottom"/>
          </w:tcPr>
          <w:p>
            <w:pPr>
              <w:spacing w:after="0"/>
              <w:rPr>
                <w:sz w:val="19"/>
                <w:szCs w:val="19"/>
                <w:color w:val="auto"/>
              </w:rPr>
            </w:pPr>
          </w:p>
        </w:tc>
        <w:tc>
          <w:tcPr>
            <w:tcW w:w="360" w:type="dxa"/>
            <w:vAlign w:val="bottom"/>
            <w:tcBorders>
              <w:right w:val="single" w:sz="8" w:color="007CBA"/>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right w:val="single" w:sz="8" w:color="007CBA"/>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right w:val="single" w:sz="8" w:color="007CBA"/>
            </w:tcBorders>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8"/>
        </w:trPr>
        <w:tc>
          <w:tcPr>
            <w:tcW w:w="61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Lease obligatons</w:t>
            </w:r>
          </w:p>
        </w:tc>
        <w:tc>
          <w:tcPr>
            <w:tcW w:w="640" w:type="dxa"/>
            <w:vAlign w:val="bottom"/>
            <w:tcBorders>
              <w:bottom w:val="single" w:sz="8" w:color="E5F1F8"/>
            </w:tcBorders>
            <w:gridSpan w:val="2"/>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E5F1F8"/>
              <w:right w:val="single" w:sz="8" w:color="E5F1F8"/>
            </w:tcBorders>
            <w:shd w:val="clear" w:color="auto" w:fill="E5F1F8"/>
          </w:tcPr>
          <w:p>
            <w:pPr>
              <w:spacing w:after="0"/>
              <w:rPr>
                <w:sz w:val="21"/>
                <w:szCs w:val="21"/>
                <w:color w:val="auto"/>
              </w:rPr>
            </w:pPr>
          </w:p>
        </w:tc>
        <w:tc>
          <w:tcPr>
            <w:tcW w:w="1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w w:val="85"/>
              </w:rPr>
              <w:t>—</w:t>
            </w:r>
          </w:p>
        </w:tc>
        <w:tc>
          <w:tcPr>
            <w:tcW w:w="420" w:type="dxa"/>
            <w:vAlign w:val="bottom"/>
            <w:tcBorders>
              <w:bottom w:val="single" w:sz="8" w:color="E5F1F8"/>
            </w:tcBorders>
            <w:gridSpan w:val="2"/>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E5F1F8"/>
              <w:right w:val="single" w:sz="8" w:color="E5F1F8"/>
            </w:tcBorders>
            <w:gridSpan w:val="2"/>
            <w:shd w:val="clear" w:color="auto" w:fill="E5F1F8"/>
          </w:tcPr>
          <w:p>
            <w:pPr>
              <w:jc w:val="right"/>
              <w:ind w:right="40"/>
              <w:spacing w:after="0" w:line="215" w:lineRule="exact"/>
              <w:rPr>
                <w:sz w:val="20"/>
                <w:szCs w:val="20"/>
                <w:color w:val="auto"/>
              </w:rPr>
            </w:pPr>
            <w:r>
              <w:rPr>
                <w:rFonts w:ascii="Calibri" w:cs="Calibri" w:eastAsia="Calibri" w:hAnsi="Calibri"/>
                <w:sz w:val="18"/>
                <w:szCs w:val="18"/>
                <w:color w:val="auto"/>
              </w:rPr>
              <w:t>(4.5 )</w:t>
            </w:r>
          </w:p>
        </w:tc>
        <w:tc>
          <w:tcPr>
            <w:tcW w:w="4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(4.5 )</w:t>
            </w:r>
          </w:p>
        </w:tc>
      </w:tr>
      <w:tr>
        <w:trPr>
          <w:trHeight w:val="208"/>
        </w:trPr>
        <w:tc>
          <w:tcPr>
            <w:tcW w:w="618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current liabilites held for sale</w:t>
            </w:r>
          </w:p>
        </w:tc>
        <w:tc>
          <w:tcPr>
            <w:tcW w:w="640" w:type="dxa"/>
            <w:vAlign w:val="bottom"/>
            <w:tcBorders>
              <w:top w:val="single" w:sz="8" w:color="auto"/>
            </w:tcBorders>
            <w:gridSpan w:val="2"/>
          </w:tcPr>
          <w:p>
            <w:pPr>
              <w:jc w:val="right"/>
              <w:spacing w:after="0" w:line="208" w:lineRule="exact"/>
              <w:rPr>
                <w:sz w:val="20"/>
                <w:szCs w:val="20"/>
                <w:color w:val="auto"/>
              </w:rPr>
            </w:pPr>
            <w:r>
              <w:rPr>
                <w:rFonts w:ascii="Calibri" w:cs="Calibri" w:eastAsia="Calibri" w:hAnsi="Calibri"/>
                <w:sz w:val="18"/>
                <w:szCs w:val="18"/>
                <w:color w:val="auto"/>
              </w:rPr>
              <w:t>$</w:t>
            </w: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5"/>
              </w:rPr>
              <w:t>—</w:t>
            </w:r>
          </w:p>
        </w:tc>
        <w:tc>
          <w:tcPr>
            <w:tcW w:w="420" w:type="dxa"/>
            <w:vAlign w:val="bottom"/>
            <w:tcBorders>
              <w:top w:val="single" w:sz="8" w:color="auto"/>
            </w:tcBorders>
            <w:gridSpan w:val="2"/>
          </w:tcPr>
          <w:p>
            <w:pPr>
              <w:jc w:val="right"/>
              <w:spacing w:after="0" w:line="208" w:lineRule="exact"/>
              <w:rPr>
                <w:sz w:val="20"/>
                <w:szCs w:val="20"/>
                <w:color w:val="auto"/>
              </w:rPr>
            </w:pPr>
            <w:r>
              <w:rPr>
                <w:rFonts w:ascii="Calibri" w:cs="Calibri" w:eastAsia="Calibri" w:hAnsi="Calibri"/>
                <w:sz w:val="18"/>
                <w:szCs w:val="18"/>
                <w:color w:val="auto"/>
              </w:rPr>
              <w:t>$</w:t>
            </w:r>
          </w:p>
        </w:tc>
        <w:tc>
          <w:tcPr>
            <w:tcW w:w="1240" w:type="dxa"/>
            <w:vAlign w:val="bottom"/>
            <w:tcBorders>
              <w:top w:val="single" w:sz="8" w:color="auto"/>
            </w:tcBorders>
            <w:gridSpan w:val="2"/>
          </w:tcPr>
          <w:p>
            <w:pPr>
              <w:jc w:val="right"/>
              <w:ind w:right="40"/>
              <w:spacing w:after="0" w:line="208" w:lineRule="exact"/>
              <w:rPr>
                <w:sz w:val="20"/>
                <w:szCs w:val="20"/>
                <w:color w:val="auto"/>
              </w:rPr>
            </w:pPr>
            <w:r>
              <w:rPr>
                <w:rFonts w:ascii="Calibri" w:cs="Calibri" w:eastAsia="Calibri" w:hAnsi="Calibri"/>
                <w:sz w:val="18"/>
                <w:szCs w:val="18"/>
                <w:color w:val="auto"/>
              </w:rPr>
              <w:t>(4.5 )</w:t>
            </w:r>
          </w:p>
        </w:tc>
        <w:tc>
          <w:tcPr>
            <w:tcW w:w="4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(4.5 )</w:t>
            </w:r>
          </w:p>
        </w:tc>
      </w:tr>
      <w:tr>
        <w:trPr>
          <w:trHeight w:val="28"/>
        </w:trPr>
        <w:tc>
          <w:tcPr>
            <w:tcW w:w="6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6180" w:type="dxa"/>
            <w:vAlign w:val="bottom"/>
          </w:tcPr>
          <w:p>
            <w:pPr>
              <w:spacing w:after="0"/>
              <w:rPr>
                <w:sz w:val="19"/>
                <w:szCs w:val="19"/>
                <w:color w:val="auto"/>
              </w:rPr>
            </w:pPr>
          </w:p>
        </w:tc>
        <w:tc>
          <w:tcPr>
            <w:tcW w:w="360" w:type="dxa"/>
            <w:vAlign w:val="bottom"/>
            <w:tcBorders>
              <w:right w:val="single" w:sz="8" w:color="007CBA"/>
            </w:tcBorders>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right w:val="single" w:sz="8" w:color="007CBA"/>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Borders>
              <w:right w:val="single" w:sz="8" w:color="007CBA"/>
            </w:tcBorders>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61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Lease obligatons</w:t>
            </w:r>
          </w:p>
        </w:tc>
        <w:tc>
          <w:tcPr>
            <w:tcW w:w="360" w:type="dxa"/>
            <w:vAlign w:val="bottom"/>
            <w:tcBorders>
              <w:bottom w:val="single" w:sz="8" w:color="E5F1F8"/>
              <w:right w:val="single" w:sz="8" w:color="007CBA"/>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E5F1F8"/>
              <w:right w:val="single" w:sz="8" w:color="E5F1F8"/>
            </w:tcBorders>
            <w:shd w:val="clear" w:color="auto" w:fill="E5F1F8"/>
          </w:tcPr>
          <w:p>
            <w:pPr>
              <w:spacing w:after="0"/>
              <w:rPr>
                <w:sz w:val="19"/>
                <w:szCs w:val="19"/>
                <w:color w:val="auto"/>
              </w:rPr>
            </w:pPr>
          </w:p>
        </w:tc>
        <w:tc>
          <w:tcPr>
            <w:tcW w:w="1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w w:val="85"/>
              </w:rPr>
              <w:t>—</w:t>
            </w:r>
          </w:p>
        </w:tc>
        <w:tc>
          <w:tcPr>
            <w:tcW w:w="140" w:type="dxa"/>
            <w:vAlign w:val="bottom"/>
            <w:tcBorders>
              <w:bottom w:val="single" w:sz="8" w:color="E5F1F8"/>
              <w:right w:val="single" w:sz="8" w:color="007CBA"/>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E5F1F8"/>
              <w:right w:val="single" w:sz="8" w:color="007CBA"/>
            </w:tcBorders>
            <w:gridSpan w:val="2"/>
            <w:shd w:val="clear" w:color="auto" w:fill="E5F1F8"/>
          </w:tcPr>
          <w:p>
            <w:pPr>
              <w:jc w:val="right"/>
              <w:ind w:right="40"/>
              <w:spacing w:after="0" w:line="215" w:lineRule="exact"/>
              <w:rPr>
                <w:sz w:val="20"/>
                <w:szCs w:val="20"/>
                <w:color w:val="auto"/>
              </w:rPr>
            </w:pPr>
            <w:r>
              <w:rPr>
                <w:rFonts w:ascii="Calibri" w:cs="Calibri" w:eastAsia="Calibri" w:hAnsi="Calibri"/>
                <w:sz w:val="18"/>
                <w:szCs w:val="18"/>
                <w:color w:val="auto"/>
              </w:rPr>
              <w:t>(4.1 )</w:t>
            </w:r>
          </w:p>
        </w:tc>
        <w:tc>
          <w:tcPr>
            <w:tcW w:w="4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(4.1 )</w:t>
            </w:r>
          </w:p>
        </w:tc>
      </w:tr>
      <w:tr>
        <w:trPr>
          <w:trHeight w:val="215"/>
        </w:trPr>
        <w:tc>
          <w:tcPr>
            <w:tcW w:w="6180" w:type="dxa"/>
            <w:vAlign w:val="bottom"/>
          </w:tcPr>
          <w:p>
            <w:pPr>
              <w:ind w:left="120"/>
              <w:spacing w:after="0" w:line="215" w:lineRule="exact"/>
              <w:rPr>
                <w:sz w:val="20"/>
                <w:szCs w:val="20"/>
                <w:color w:val="auto"/>
              </w:rPr>
            </w:pPr>
            <w:r>
              <w:rPr>
                <w:rFonts w:ascii="Calibri" w:cs="Calibri" w:eastAsia="Calibri" w:hAnsi="Calibri"/>
                <w:sz w:val="18"/>
                <w:szCs w:val="18"/>
                <w:color w:val="auto"/>
              </w:rPr>
              <w:t>Asset retrement obligatons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5"/>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40"/>
              <w:spacing w:after="0" w:line="215" w:lineRule="exact"/>
              <w:rPr>
                <w:sz w:val="20"/>
                <w:szCs w:val="20"/>
                <w:color w:val="auto"/>
              </w:rPr>
            </w:pPr>
            <w:r>
              <w:rPr>
                <w:rFonts w:ascii="Calibri" w:cs="Calibri" w:eastAsia="Calibri" w:hAnsi="Calibri"/>
                <w:sz w:val="18"/>
                <w:szCs w:val="18"/>
                <w:color w:val="auto"/>
              </w:rPr>
              <w:t>(17.7 )</w:t>
            </w:r>
          </w:p>
        </w:tc>
        <w:tc>
          <w:tcPr>
            <w:tcW w:w="400" w:type="dxa"/>
            <w:vAlign w:val="bottom"/>
          </w:tcPr>
          <w:p>
            <w:pPr>
              <w:spacing w:after="0"/>
              <w:rPr>
                <w:sz w:val="18"/>
                <w:szCs w:val="18"/>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(17.7 )</w:t>
            </w:r>
          </w:p>
        </w:tc>
      </w:tr>
      <w:tr>
        <w:trPr>
          <w:trHeight w:val="28"/>
        </w:trPr>
        <w:tc>
          <w:tcPr>
            <w:tcW w:w="6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1"/>
        </w:trPr>
        <w:tc>
          <w:tcPr>
            <w:tcW w:w="618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noncurrent liabilites held for sale</w:t>
            </w:r>
          </w:p>
        </w:tc>
        <w:tc>
          <w:tcPr>
            <w:tcW w:w="640" w:type="dxa"/>
            <w:vAlign w:val="bottom"/>
            <w:tcBorders>
              <w:bottom w:val="single" w:sz="8" w:color="E5F1F8"/>
            </w:tcBorders>
            <w:gridSpan w:val="2"/>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w:t>
            </w:r>
          </w:p>
        </w:tc>
        <w:tc>
          <w:tcPr>
            <w:tcW w:w="1080" w:type="dxa"/>
            <w:vAlign w:val="bottom"/>
            <w:tcBorders>
              <w:bottom w:val="single" w:sz="8" w:color="E5F1F8"/>
              <w:right w:val="single" w:sz="8" w:color="E5F1F8"/>
            </w:tcBorders>
            <w:shd w:val="clear" w:color="auto" w:fill="E5F1F8"/>
          </w:tcPr>
          <w:p>
            <w:pPr>
              <w:spacing w:after="0"/>
              <w:rPr>
                <w:sz w:val="24"/>
                <w:szCs w:val="24"/>
                <w:color w:val="auto"/>
              </w:rPr>
            </w:pPr>
          </w:p>
        </w:tc>
        <w:tc>
          <w:tcPr>
            <w:tcW w:w="16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w w:val="85"/>
              </w:rPr>
              <w:t>—</w:t>
            </w:r>
          </w:p>
        </w:tc>
        <w:tc>
          <w:tcPr>
            <w:tcW w:w="420" w:type="dxa"/>
            <w:vAlign w:val="bottom"/>
            <w:tcBorders>
              <w:bottom w:val="single" w:sz="8" w:color="E5F1F8"/>
            </w:tcBorders>
            <w:gridSpan w:val="2"/>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E5F1F8"/>
              <w:right w:val="single" w:sz="8" w:color="E5F1F8"/>
            </w:tcBorders>
            <w:gridSpan w:val="2"/>
            <w:shd w:val="clear" w:color="auto" w:fill="E5F1F8"/>
          </w:tcPr>
          <w:p>
            <w:pPr>
              <w:jc w:val="right"/>
              <w:ind w:right="40"/>
              <w:spacing w:after="0" w:line="208" w:lineRule="exact"/>
              <w:rPr>
                <w:sz w:val="20"/>
                <w:szCs w:val="20"/>
                <w:color w:val="auto"/>
              </w:rPr>
            </w:pPr>
            <w:r>
              <w:rPr>
                <w:rFonts w:ascii="Calibri" w:cs="Calibri" w:eastAsia="Calibri" w:hAnsi="Calibri"/>
                <w:sz w:val="18"/>
                <w:szCs w:val="18"/>
                <w:color w:val="auto"/>
              </w:rPr>
              <w:t>(21.8 )</w:t>
            </w:r>
          </w:p>
        </w:tc>
        <w:tc>
          <w:tcPr>
            <w:tcW w:w="40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(21.8 )</w:t>
            </w:r>
          </w:p>
        </w:tc>
      </w:tr>
      <w:tr>
        <w:trPr>
          <w:trHeight w:val="654"/>
        </w:trPr>
        <w:tc>
          <w:tcPr>
            <w:tcW w:w="6180" w:type="dxa"/>
            <w:vAlign w:val="bottom"/>
            <w:tcBorders>
              <w:top w:val="single" w:sz="8" w:color="auto"/>
            </w:tcBorders>
          </w:tcPr>
          <w:p>
            <w:pPr>
              <w:spacing w:after="0"/>
              <w:rPr>
                <w:sz w:val="20"/>
                <w:szCs w:val="20"/>
                <w:color w:val="auto"/>
              </w:rPr>
            </w:pPr>
            <w:r>
              <w:rPr>
                <w:rFonts w:ascii="Calibri" w:cs="Calibri" w:eastAsia="Calibri" w:hAnsi="Calibri"/>
                <w:sz w:val="22"/>
                <w:szCs w:val="22"/>
                <w:b w:val="1"/>
                <w:bCs w:val="1"/>
                <w:color w:val="007DC6"/>
              </w:rPr>
              <w:t>Note C: Goodwill and Other Intangible Assets</w:t>
            </w: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75"/>
        </w:trPr>
        <w:tc>
          <w:tcPr>
            <w:tcW w:w="6180" w:type="dxa"/>
            <w:vAlign w:val="bottom"/>
          </w:tcPr>
          <w:p>
            <w:pPr>
              <w:spacing w:after="0"/>
              <w:rPr>
                <w:sz w:val="20"/>
                <w:szCs w:val="20"/>
                <w:color w:val="auto"/>
              </w:rPr>
            </w:pPr>
            <w:r>
              <w:rPr>
                <w:rFonts w:ascii="Calibri" w:cs="Calibri" w:eastAsia="Calibri" w:hAnsi="Calibri"/>
                <w:sz w:val="18"/>
                <w:szCs w:val="18"/>
                <w:color w:val="auto"/>
                <w:w w:val="97"/>
              </w:rPr>
              <w:t>The following table shows the changes in goodwill by reportable segment and in total:</w:t>
            </w: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131"/>
        </w:trPr>
        <w:tc>
          <w:tcPr>
            <w:tcW w:w="6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07"/>
        </w:trPr>
        <w:tc>
          <w:tcPr>
            <w:tcW w:w="6180" w:type="dxa"/>
            <w:vAlign w:val="bottom"/>
            <w:tcBorders>
              <w:right w:val="single" w:sz="8" w:color="007CBA"/>
            </w:tcBorders>
            <w:shd w:val="clear" w:color="auto" w:fill="007CBA"/>
          </w:tcPr>
          <w:p>
            <w:pPr>
              <w:spacing w:after="0"/>
              <w:rPr>
                <w:sz w:val="18"/>
                <w:szCs w:val="18"/>
                <w:color w:val="auto"/>
              </w:rPr>
            </w:pPr>
          </w:p>
        </w:tc>
        <w:tc>
          <w:tcPr>
            <w:tcW w:w="36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1240" w:type="dxa"/>
            <w:vAlign w:val="bottom"/>
            <w:gridSpan w:val="2"/>
            <w:shd w:val="clear" w:color="auto" w:fill="007CBA"/>
          </w:tcPr>
          <w:p>
            <w:pPr>
              <w:jc w:val="right"/>
              <w:ind w:right="770"/>
              <w:spacing w:after="0" w:line="207" w:lineRule="exact"/>
              <w:rPr>
                <w:sz w:val="20"/>
                <w:szCs w:val="20"/>
                <w:color w:val="auto"/>
              </w:rPr>
            </w:pPr>
            <w:r>
              <w:rPr>
                <w:rFonts w:ascii="Calibri" w:cs="Calibri" w:eastAsia="Calibri" w:hAnsi="Calibri"/>
                <w:sz w:val="18"/>
                <w:szCs w:val="18"/>
                <w:b w:val="1"/>
                <w:bCs w:val="1"/>
                <w:color w:val="FFFFFF"/>
              </w:rPr>
              <w:t>East</w:t>
            </w:r>
          </w:p>
        </w:tc>
        <w:tc>
          <w:tcPr>
            <w:tcW w:w="14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1240" w:type="dxa"/>
            <w:vAlign w:val="bottom"/>
            <w:tcBorders>
              <w:right w:val="single" w:sz="8" w:color="007CBA"/>
            </w:tcBorders>
            <w:gridSpan w:val="2"/>
            <w:shd w:val="clear" w:color="auto" w:fill="007CBA"/>
          </w:tcPr>
          <w:p>
            <w:pPr>
              <w:ind w:left="80"/>
              <w:spacing w:after="0" w:line="207" w:lineRule="exact"/>
              <w:rPr>
                <w:sz w:val="20"/>
                <w:szCs w:val="20"/>
                <w:color w:val="auto"/>
              </w:rPr>
            </w:pPr>
            <w:r>
              <w:rPr>
                <w:rFonts w:ascii="Calibri" w:cs="Calibri" w:eastAsia="Calibri" w:hAnsi="Calibri"/>
                <w:sz w:val="18"/>
                <w:szCs w:val="18"/>
                <w:b w:val="1"/>
                <w:bCs w:val="1"/>
                <w:color w:val="FFFFFF"/>
              </w:rPr>
              <w:t>West</w:t>
            </w:r>
          </w:p>
        </w:tc>
        <w:tc>
          <w:tcPr>
            <w:tcW w:w="400" w:type="dxa"/>
            <w:vAlign w:val="bottom"/>
            <w:shd w:val="clear" w:color="auto" w:fill="007CBA"/>
          </w:tcPr>
          <w:p>
            <w:pPr>
              <w:spacing w:after="0"/>
              <w:rPr>
                <w:sz w:val="18"/>
                <w:szCs w:val="18"/>
                <w:color w:val="auto"/>
              </w:rPr>
            </w:pPr>
          </w:p>
        </w:tc>
        <w:tc>
          <w:tcPr>
            <w:tcW w:w="1120" w:type="dxa"/>
            <w:vAlign w:val="bottom"/>
            <w:shd w:val="clear" w:color="auto" w:fill="007CBA"/>
          </w:tcPr>
          <w:p>
            <w:pPr>
              <w:spacing w:after="0"/>
              <w:rPr>
                <w:sz w:val="18"/>
                <w:szCs w:val="18"/>
                <w:color w:val="auto"/>
              </w:rPr>
            </w:pPr>
          </w:p>
        </w:tc>
      </w:tr>
      <w:tr>
        <w:trPr>
          <w:trHeight w:val="228"/>
        </w:trPr>
        <w:tc>
          <w:tcPr>
            <w:tcW w:w="61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360" w:type="dxa"/>
            <w:vAlign w:val="bottom"/>
            <w:tcBorders>
              <w:right w:val="single" w:sz="8" w:color="007CBA"/>
            </w:tcBorders>
            <w:shd w:val="clear" w:color="auto" w:fill="007CBA"/>
          </w:tcPr>
          <w:p>
            <w:pPr>
              <w:spacing w:after="0"/>
              <w:rPr>
                <w:sz w:val="19"/>
                <w:szCs w:val="19"/>
                <w:color w:val="auto"/>
              </w:rPr>
            </w:pPr>
          </w:p>
        </w:tc>
        <w:tc>
          <w:tcPr>
            <w:tcW w:w="280" w:type="dxa"/>
            <w:vAlign w:val="bottom"/>
            <w:shd w:val="clear" w:color="auto" w:fill="007CBA"/>
          </w:tcPr>
          <w:p>
            <w:pPr>
              <w:spacing w:after="0"/>
              <w:rPr>
                <w:sz w:val="19"/>
                <w:szCs w:val="19"/>
                <w:color w:val="auto"/>
              </w:rPr>
            </w:pPr>
          </w:p>
        </w:tc>
        <w:tc>
          <w:tcPr>
            <w:tcW w:w="1240" w:type="dxa"/>
            <w:vAlign w:val="bottom"/>
            <w:gridSpan w:val="2"/>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w w:val="98"/>
              </w:rPr>
              <w:t>Group</w:t>
            </w:r>
          </w:p>
        </w:tc>
        <w:tc>
          <w:tcPr>
            <w:tcW w:w="140" w:type="dxa"/>
            <w:vAlign w:val="bottom"/>
            <w:tcBorders>
              <w:right w:val="single" w:sz="8" w:color="007CBA"/>
            </w:tcBorders>
            <w:shd w:val="clear" w:color="auto" w:fill="007CBA"/>
          </w:tcPr>
          <w:p>
            <w:pPr>
              <w:spacing w:after="0"/>
              <w:rPr>
                <w:sz w:val="19"/>
                <w:szCs w:val="19"/>
                <w:color w:val="auto"/>
              </w:rPr>
            </w:pPr>
          </w:p>
        </w:tc>
        <w:tc>
          <w:tcPr>
            <w:tcW w:w="280" w:type="dxa"/>
            <w:vAlign w:val="bottom"/>
            <w:shd w:val="clear" w:color="auto" w:fill="007CBA"/>
          </w:tcPr>
          <w:p>
            <w:pPr>
              <w:spacing w:after="0"/>
              <w:rPr>
                <w:sz w:val="19"/>
                <w:szCs w:val="19"/>
                <w:color w:val="auto"/>
              </w:rPr>
            </w:pPr>
          </w:p>
        </w:tc>
        <w:tc>
          <w:tcPr>
            <w:tcW w:w="1240" w:type="dxa"/>
            <w:vAlign w:val="bottom"/>
            <w:tcBorders>
              <w:right w:val="single" w:sz="8" w:color="007CBA"/>
            </w:tcBorders>
            <w:gridSpan w:val="2"/>
            <w:shd w:val="clear" w:color="auto" w:fill="007CBA"/>
          </w:tcPr>
          <w:p>
            <w:pPr>
              <w:jc w:val="right"/>
              <w:ind w:right="720"/>
              <w:spacing w:after="0" w:line="215" w:lineRule="exact"/>
              <w:rPr>
                <w:sz w:val="20"/>
                <w:szCs w:val="20"/>
                <w:color w:val="auto"/>
              </w:rPr>
            </w:pPr>
            <w:r>
              <w:rPr>
                <w:rFonts w:ascii="Calibri" w:cs="Calibri" w:eastAsia="Calibri" w:hAnsi="Calibri"/>
                <w:sz w:val="18"/>
                <w:szCs w:val="18"/>
                <w:b w:val="1"/>
                <w:bCs w:val="1"/>
                <w:color w:val="FFFFFF"/>
              </w:rPr>
              <w:t>Group</w:t>
            </w:r>
          </w:p>
        </w:tc>
        <w:tc>
          <w:tcPr>
            <w:tcW w:w="400" w:type="dxa"/>
            <w:vAlign w:val="bottom"/>
            <w:shd w:val="clear" w:color="auto" w:fill="007CBA"/>
          </w:tcPr>
          <w:p>
            <w:pPr>
              <w:spacing w:after="0"/>
              <w:rPr>
                <w:sz w:val="19"/>
                <w:szCs w:val="19"/>
                <w:color w:val="auto"/>
              </w:rPr>
            </w:pPr>
          </w:p>
        </w:tc>
        <w:tc>
          <w:tcPr>
            <w:tcW w:w="1120" w:type="dxa"/>
            <w:vAlign w:val="bottom"/>
            <w:shd w:val="clear" w:color="auto" w:fill="007CBA"/>
          </w:tcPr>
          <w:p>
            <w:pPr>
              <w:jc w:val="right"/>
              <w:ind w:right="530"/>
              <w:spacing w:after="0" w:line="215" w:lineRule="exact"/>
              <w:rPr>
                <w:sz w:val="20"/>
                <w:szCs w:val="20"/>
                <w:color w:val="auto"/>
              </w:rPr>
            </w:pPr>
            <w:r>
              <w:rPr>
                <w:rFonts w:ascii="Calibri" w:cs="Calibri" w:eastAsia="Calibri" w:hAnsi="Calibri"/>
                <w:sz w:val="18"/>
                <w:szCs w:val="18"/>
                <w:b w:val="1"/>
                <w:bCs w:val="1"/>
                <w:color w:val="FFFFFF"/>
              </w:rPr>
              <w:t>Total</w:t>
            </w:r>
          </w:p>
        </w:tc>
      </w:tr>
      <w:tr>
        <w:trPr>
          <w:trHeight w:val="260"/>
        </w:trPr>
        <w:tc>
          <w:tcPr>
            <w:tcW w:w="618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360" w:type="dxa"/>
            <w:vAlign w:val="bottom"/>
            <w:tcBorders>
              <w:bottom w:val="single" w:sz="8" w:color="007CBA"/>
              <w:right w:val="single" w:sz="8" w:color="007CBA"/>
            </w:tcBorders>
            <w:shd w:val="clear" w:color="auto" w:fill="007CBA"/>
          </w:tcPr>
          <w:p>
            <w:pPr>
              <w:spacing w:after="0"/>
              <w:rPr>
                <w:sz w:val="22"/>
                <w:szCs w:val="22"/>
                <w:color w:val="auto"/>
              </w:rPr>
            </w:pPr>
          </w:p>
        </w:tc>
        <w:tc>
          <w:tcPr>
            <w:tcW w:w="280" w:type="dxa"/>
            <w:vAlign w:val="bottom"/>
            <w:tcBorders>
              <w:bottom w:val="single" w:sz="8" w:color="007CBA"/>
            </w:tcBorders>
            <w:shd w:val="clear" w:color="auto" w:fill="007CBA"/>
          </w:tcPr>
          <w:p>
            <w:pPr>
              <w:spacing w:after="0"/>
              <w:rPr>
                <w:sz w:val="22"/>
                <w:szCs w:val="22"/>
                <w:color w:val="auto"/>
              </w:rPr>
            </w:pPr>
          </w:p>
        </w:tc>
        <w:tc>
          <w:tcPr>
            <w:tcW w:w="1080" w:type="dxa"/>
            <w:vAlign w:val="bottom"/>
            <w:tcBorders>
              <w:bottom w:val="single" w:sz="8" w:color="007CBA"/>
              <w:right w:val="single" w:sz="8" w:color="007CBA"/>
            </w:tcBorders>
            <w:shd w:val="clear" w:color="auto" w:fill="007CBA"/>
          </w:tcPr>
          <w:p>
            <w:pPr>
              <w:spacing w:after="0"/>
              <w:rPr>
                <w:sz w:val="22"/>
                <w:szCs w:val="22"/>
                <w:color w:val="auto"/>
              </w:rPr>
            </w:pPr>
          </w:p>
        </w:tc>
        <w:tc>
          <w:tcPr>
            <w:tcW w:w="160" w:type="dxa"/>
            <w:vAlign w:val="bottom"/>
            <w:tcBorders>
              <w:bottom w:val="single" w:sz="8" w:color="007CBA"/>
            </w:tcBorders>
            <w:shd w:val="clear" w:color="auto" w:fill="007CBA"/>
          </w:tcPr>
          <w:p>
            <w:pPr>
              <w:spacing w:after="0"/>
              <w:rPr>
                <w:sz w:val="22"/>
                <w:szCs w:val="22"/>
                <w:color w:val="auto"/>
              </w:rPr>
            </w:pPr>
          </w:p>
        </w:tc>
        <w:tc>
          <w:tcPr>
            <w:tcW w:w="140" w:type="dxa"/>
            <w:vAlign w:val="bottom"/>
            <w:tcBorders>
              <w:bottom w:val="single" w:sz="8" w:color="007CBA"/>
              <w:right w:val="single" w:sz="8" w:color="007CBA"/>
            </w:tcBorders>
            <w:shd w:val="clear" w:color="auto" w:fill="007CBA"/>
          </w:tcPr>
          <w:p>
            <w:pPr>
              <w:spacing w:after="0"/>
              <w:rPr>
                <w:sz w:val="22"/>
                <w:szCs w:val="22"/>
                <w:color w:val="auto"/>
              </w:rPr>
            </w:pPr>
          </w:p>
        </w:tc>
        <w:tc>
          <w:tcPr>
            <w:tcW w:w="280" w:type="dxa"/>
            <w:vAlign w:val="bottom"/>
            <w:tcBorders>
              <w:bottom w:val="single" w:sz="8" w:color="007CBA"/>
            </w:tcBorders>
            <w:shd w:val="clear" w:color="auto" w:fill="007CBA"/>
          </w:tcPr>
          <w:p>
            <w:pPr>
              <w:spacing w:after="0"/>
              <w:rPr>
                <w:sz w:val="22"/>
                <w:szCs w:val="22"/>
                <w:color w:val="auto"/>
              </w:rPr>
            </w:pPr>
          </w:p>
        </w:tc>
        <w:tc>
          <w:tcPr>
            <w:tcW w:w="1100" w:type="dxa"/>
            <w:vAlign w:val="bottom"/>
            <w:tcBorders>
              <w:bottom w:val="single" w:sz="8" w:color="007CBA"/>
              <w:right w:val="single" w:sz="8" w:color="007CBA"/>
            </w:tcBorders>
            <w:shd w:val="clear" w:color="auto" w:fill="007CBA"/>
          </w:tcPr>
          <w:p>
            <w:pPr>
              <w:ind w:left="80"/>
              <w:spacing w:after="0"/>
              <w:rPr>
                <w:sz w:val="20"/>
                <w:szCs w:val="20"/>
                <w:color w:val="auto"/>
              </w:rPr>
            </w:pPr>
            <w:r>
              <w:rPr>
                <w:rFonts w:ascii="Calibri" w:cs="Calibri" w:eastAsia="Calibri" w:hAnsi="Calibri"/>
                <w:sz w:val="18"/>
                <w:szCs w:val="18"/>
                <w:b w:val="1"/>
                <w:bCs w:val="1"/>
                <w:color w:val="FFFFFF"/>
              </w:rPr>
              <w:t>2023</w:t>
            </w:r>
          </w:p>
        </w:tc>
        <w:tc>
          <w:tcPr>
            <w:tcW w:w="140" w:type="dxa"/>
            <w:vAlign w:val="bottom"/>
            <w:tcBorders>
              <w:bottom w:val="single" w:sz="8" w:color="007CBA"/>
              <w:right w:val="single" w:sz="8" w:color="007CBA"/>
            </w:tcBorders>
            <w:shd w:val="clear" w:color="auto" w:fill="007CBA"/>
          </w:tcPr>
          <w:p>
            <w:pPr>
              <w:spacing w:after="0"/>
              <w:rPr>
                <w:sz w:val="22"/>
                <w:szCs w:val="22"/>
                <w:color w:val="auto"/>
              </w:rPr>
            </w:pPr>
          </w:p>
        </w:tc>
        <w:tc>
          <w:tcPr>
            <w:tcW w:w="400" w:type="dxa"/>
            <w:vAlign w:val="bottom"/>
            <w:tcBorders>
              <w:bottom w:val="single" w:sz="8" w:color="007CBA"/>
            </w:tcBorders>
            <w:shd w:val="clear" w:color="auto" w:fill="007CBA"/>
          </w:tcPr>
          <w:p>
            <w:pPr>
              <w:spacing w:after="0"/>
              <w:rPr>
                <w:sz w:val="22"/>
                <w:szCs w:val="22"/>
                <w:color w:val="auto"/>
              </w:rPr>
            </w:pPr>
          </w:p>
        </w:tc>
        <w:tc>
          <w:tcPr>
            <w:tcW w:w="1120" w:type="dxa"/>
            <w:vAlign w:val="bottom"/>
            <w:tcBorders>
              <w:bottom w:val="single" w:sz="8" w:color="007CBA"/>
            </w:tcBorders>
            <w:shd w:val="clear" w:color="auto" w:fill="007CBA"/>
          </w:tcPr>
          <w:p>
            <w:pPr>
              <w:spacing w:after="0"/>
              <w:rPr>
                <w:sz w:val="22"/>
                <w:szCs w:val="22"/>
                <w:color w:val="auto"/>
              </w:rPr>
            </w:pPr>
          </w:p>
        </w:tc>
      </w:tr>
      <w:tr>
        <w:trPr>
          <w:trHeight w:val="223"/>
        </w:trPr>
        <w:tc>
          <w:tcPr>
            <w:tcW w:w="61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Balance at beginning of period</w:t>
            </w:r>
          </w:p>
        </w:tc>
        <w:tc>
          <w:tcPr>
            <w:tcW w:w="3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280" w:type="dxa"/>
            <w:vAlign w:val="bottom"/>
            <w:tcBorders>
              <w:bottom w:val="single" w:sz="8" w:color="E5F1F8"/>
            </w:tcBorders>
            <w:shd w:val="clear" w:color="auto" w:fill="E5F1F8"/>
          </w:tcPr>
          <w:p>
            <w:pPr>
              <w:spacing w:after="0"/>
              <w:rPr>
                <w:sz w:val="19"/>
                <w:szCs w:val="19"/>
                <w:color w:val="auto"/>
              </w:rPr>
            </w:pPr>
          </w:p>
        </w:tc>
        <w:tc>
          <w:tcPr>
            <w:tcW w:w="10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764.4</w:t>
            </w:r>
          </w:p>
        </w:tc>
        <w:tc>
          <w:tcPr>
            <w:tcW w:w="160" w:type="dxa"/>
            <w:vAlign w:val="bottom"/>
            <w:tcBorders>
              <w:bottom w:val="single" w:sz="8" w:color="E5F1F8"/>
            </w:tcBorders>
            <w:shd w:val="clear" w:color="auto" w:fill="E5F1F8"/>
          </w:tcPr>
          <w:p>
            <w:pPr>
              <w:spacing w:after="0"/>
              <w:rPr>
                <w:sz w:val="19"/>
                <w:szCs w:val="19"/>
                <w:color w:val="auto"/>
              </w:rPr>
            </w:pPr>
          </w:p>
        </w:tc>
        <w:tc>
          <w:tcPr>
            <w:tcW w:w="1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280" w:type="dxa"/>
            <w:vAlign w:val="bottom"/>
            <w:tcBorders>
              <w:bottom w:val="single" w:sz="8" w:color="E5F1F8"/>
            </w:tcBorders>
            <w:shd w:val="clear" w:color="auto" w:fill="E5F1F8"/>
          </w:tcPr>
          <w:p>
            <w:pPr>
              <w:spacing w:after="0"/>
              <w:rPr>
                <w:sz w:val="19"/>
                <w:szCs w:val="19"/>
                <w:color w:val="auto"/>
              </w:rPr>
            </w:pPr>
          </w:p>
        </w:tc>
        <w:tc>
          <w:tcPr>
            <w:tcW w:w="11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2,885.1</w:t>
            </w:r>
          </w:p>
        </w:tc>
        <w:tc>
          <w:tcPr>
            <w:tcW w:w="140" w:type="dxa"/>
            <w:vAlign w:val="bottom"/>
            <w:tcBorders>
              <w:bottom w:val="single" w:sz="8" w:color="E5F1F8"/>
              <w:right w:val="single" w:sz="8" w:color="E5F1F8"/>
            </w:tcBorders>
            <w:shd w:val="clear" w:color="auto" w:fill="E5F1F8"/>
          </w:tcPr>
          <w:p>
            <w:pPr>
              <w:spacing w:after="0"/>
              <w:rPr>
                <w:sz w:val="19"/>
                <w:szCs w:val="19"/>
                <w:color w:val="auto"/>
              </w:rPr>
            </w:pPr>
          </w:p>
        </w:tc>
        <w:tc>
          <w:tcPr>
            <w:tcW w:w="40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3,649.5</w:t>
            </w:r>
          </w:p>
        </w:tc>
      </w:tr>
      <w:tr>
        <w:trPr>
          <w:trHeight w:val="243"/>
        </w:trPr>
        <w:tc>
          <w:tcPr>
            <w:tcW w:w="61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Goodwill allocated to assets held for sale</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(260.0 )</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(260.0 )</w:t>
            </w:r>
          </w:p>
        </w:tc>
      </w:tr>
      <w:tr>
        <w:trPr>
          <w:trHeight w:val="281"/>
        </w:trPr>
        <w:tc>
          <w:tcPr>
            <w:tcW w:w="6180" w:type="dxa"/>
            <w:vAlign w:val="bottom"/>
            <w:tcBorders>
              <w:top w:val="single" w:sz="8" w:color="auto"/>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Balance at end of period</w:t>
            </w:r>
          </w:p>
        </w:tc>
        <w:tc>
          <w:tcPr>
            <w:tcW w:w="360" w:type="dxa"/>
            <w:vAlign w:val="bottom"/>
            <w:tcBorders>
              <w:top w:val="single" w:sz="8" w:color="auto"/>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280" w:type="dxa"/>
            <w:vAlign w:val="bottom"/>
            <w:tcBorders>
              <w:top w:val="single" w:sz="8" w:color="auto"/>
              <w:bottom w:val="single" w:sz="8" w:color="E5F1F8"/>
            </w:tcBorders>
            <w:shd w:val="clear" w:color="auto" w:fill="E5F1F8"/>
          </w:tcPr>
          <w:p>
            <w:pPr>
              <w:spacing w:after="0"/>
              <w:rPr>
                <w:sz w:val="24"/>
                <w:szCs w:val="24"/>
                <w:color w:val="auto"/>
              </w:rPr>
            </w:pPr>
          </w:p>
        </w:tc>
        <w:tc>
          <w:tcPr>
            <w:tcW w:w="1080" w:type="dxa"/>
            <w:vAlign w:val="bottom"/>
            <w:tcBorders>
              <w:top w:val="single" w:sz="8" w:color="auto"/>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764.4</w:t>
            </w:r>
          </w:p>
        </w:tc>
        <w:tc>
          <w:tcPr>
            <w:tcW w:w="160" w:type="dxa"/>
            <w:vAlign w:val="bottom"/>
            <w:tcBorders>
              <w:top w:val="single" w:sz="8" w:color="auto"/>
              <w:bottom w:val="single" w:sz="8" w:color="E5F1F8"/>
            </w:tcBorders>
            <w:shd w:val="clear" w:color="auto" w:fill="E5F1F8"/>
          </w:tcPr>
          <w:p>
            <w:pPr>
              <w:spacing w:after="0"/>
              <w:rPr>
                <w:sz w:val="24"/>
                <w:szCs w:val="24"/>
                <w:color w:val="auto"/>
              </w:rPr>
            </w:pPr>
          </w:p>
        </w:tc>
        <w:tc>
          <w:tcPr>
            <w:tcW w:w="140" w:type="dxa"/>
            <w:vAlign w:val="bottom"/>
            <w:tcBorders>
              <w:top w:val="single" w:sz="8" w:color="auto"/>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280" w:type="dxa"/>
            <w:vAlign w:val="bottom"/>
            <w:tcBorders>
              <w:top w:val="single" w:sz="8" w:color="auto"/>
              <w:bottom w:val="single" w:sz="8" w:color="E5F1F8"/>
            </w:tcBorders>
            <w:shd w:val="clear" w:color="auto" w:fill="E5F1F8"/>
          </w:tcPr>
          <w:p>
            <w:pPr>
              <w:spacing w:after="0"/>
              <w:rPr>
                <w:sz w:val="24"/>
                <w:szCs w:val="24"/>
                <w:color w:val="auto"/>
              </w:rPr>
            </w:pPr>
          </w:p>
        </w:tc>
        <w:tc>
          <w:tcPr>
            <w:tcW w:w="1100" w:type="dxa"/>
            <w:vAlign w:val="bottom"/>
            <w:tcBorders>
              <w:top w:val="single" w:sz="8" w:color="auto"/>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2,625.1</w:t>
            </w:r>
          </w:p>
        </w:tc>
        <w:tc>
          <w:tcPr>
            <w:tcW w:w="140" w:type="dxa"/>
            <w:vAlign w:val="bottom"/>
            <w:tcBorders>
              <w:top w:val="single" w:sz="8" w:color="auto"/>
              <w:bottom w:val="single" w:sz="8" w:color="E5F1F8"/>
              <w:right w:val="single" w:sz="8" w:color="E5F1F8"/>
            </w:tcBorders>
            <w:shd w:val="clear" w:color="auto" w:fill="E5F1F8"/>
          </w:tcPr>
          <w:p>
            <w:pPr>
              <w:spacing w:after="0"/>
              <w:rPr>
                <w:sz w:val="24"/>
                <w:szCs w:val="24"/>
                <w:color w:val="auto"/>
              </w:rPr>
            </w:pPr>
          </w:p>
        </w:tc>
        <w:tc>
          <w:tcPr>
            <w:tcW w:w="400" w:type="dxa"/>
            <w:vAlign w:val="bottom"/>
            <w:tcBorders>
              <w:top w:val="single" w:sz="8" w:color="auto"/>
              <w:bottom w:val="single" w:sz="8" w:color="E5F1F8"/>
            </w:tcBorders>
            <w:shd w:val="clear" w:color="auto" w:fill="E5F1F8"/>
          </w:tcPr>
          <w:p>
            <w:pPr>
              <w:jc w:val="right"/>
              <w:ind w:right="190"/>
              <w:spacing w:after="0" w:line="208" w:lineRule="exact"/>
              <w:rPr>
                <w:sz w:val="20"/>
                <w:szCs w:val="20"/>
                <w:color w:val="auto"/>
              </w:rPr>
            </w:pPr>
            <w:r>
              <w:rPr>
                <w:rFonts w:ascii="Calibri" w:cs="Calibri" w:eastAsia="Calibri" w:hAnsi="Calibri"/>
                <w:sz w:val="18"/>
                <w:szCs w:val="18"/>
                <w:b w:val="1"/>
                <w:bCs w:val="1"/>
                <w:color w:val="auto"/>
              </w:rPr>
              <w:t>$</w:t>
            </w:r>
          </w:p>
        </w:tc>
        <w:tc>
          <w:tcPr>
            <w:tcW w:w="1120" w:type="dxa"/>
            <w:vAlign w:val="bottom"/>
            <w:tcBorders>
              <w:top w:val="single" w:sz="8" w:color="auto"/>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3,389.5</w:t>
            </w:r>
          </w:p>
        </w:tc>
      </w:tr>
      <w:tr>
        <w:trPr>
          <w:trHeight w:val="223"/>
        </w:trPr>
        <w:tc>
          <w:tcPr>
            <w:tcW w:w="6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23"/>
        </w:trPr>
        <w:tc>
          <w:tcPr>
            <w:tcW w:w="6180" w:type="dxa"/>
            <w:vAlign w:val="bottom"/>
            <w:tcBorders>
              <w:bottom w:val="single" w:sz="8" w:color="007CBA"/>
              <w:right w:val="single" w:sz="8" w:color="007CBA"/>
            </w:tcBorders>
            <w:shd w:val="clear" w:color="auto" w:fill="007CBA"/>
          </w:tcPr>
          <w:p>
            <w:pPr>
              <w:spacing w:after="0"/>
              <w:rPr>
                <w:sz w:val="19"/>
                <w:szCs w:val="19"/>
                <w:color w:val="auto"/>
              </w:rPr>
            </w:pPr>
          </w:p>
        </w:tc>
        <w:tc>
          <w:tcPr>
            <w:tcW w:w="360" w:type="dxa"/>
            <w:vAlign w:val="bottom"/>
            <w:tcBorders>
              <w:bottom w:val="single" w:sz="8" w:color="007CBA"/>
              <w:right w:val="single" w:sz="8" w:color="007CBA"/>
            </w:tcBorders>
            <w:shd w:val="clear" w:color="auto" w:fill="007CBA"/>
          </w:tcPr>
          <w:p>
            <w:pPr>
              <w:spacing w:after="0"/>
              <w:rPr>
                <w:sz w:val="19"/>
                <w:szCs w:val="19"/>
                <w:color w:val="auto"/>
              </w:rPr>
            </w:pPr>
          </w:p>
        </w:tc>
        <w:tc>
          <w:tcPr>
            <w:tcW w:w="280" w:type="dxa"/>
            <w:vAlign w:val="bottom"/>
            <w:tcBorders>
              <w:bottom w:val="single" w:sz="8" w:color="007CBA"/>
            </w:tcBorders>
            <w:shd w:val="clear" w:color="auto" w:fill="007CBA"/>
          </w:tcPr>
          <w:p>
            <w:pPr>
              <w:spacing w:after="0"/>
              <w:rPr>
                <w:sz w:val="19"/>
                <w:szCs w:val="19"/>
                <w:color w:val="auto"/>
              </w:rPr>
            </w:pPr>
          </w:p>
        </w:tc>
        <w:tc>
          <w:tcPr>
            <w:tcW w:w="1080" w:type="dxa"/>
            <w:vAlign w:val="bottom"/>
            <w:tcBorders>
              <w:bottom w:val="single" w:sz="8" w:color="007CBA"/>
              <w:right w:val="single" w:sz="8" w:color="007CBA"/>
            </w:tcBorders>
            <w:shd w:val="clear" w:color="auto" w:fill="007CBA"/>
          </w:tcPr>
          <w:p>
            <w:pPr>
              <w:spacing w:after="0"/>
              <w:rPr>
                <w:sz w:val="19"/>
                <w:szCs w:val="19"/>
                <w:color w:val="auto"/>
              </w:rPr>
            </w:pPr>
          </w:p>
        </w:tc>
        <w:tc>
          <w:tcPr>
            <w:tcW w:w="160" w:type="dxa"/>
            <w:vAlign w:val="bottom"/>
            <w:tcBorders>
              <w:bottom w:val="single" w:sz="8" w:color="007CBA"/>
            </w:tcBorders>
            <w:shd w:val="clear" w:color="auto" w:fill="007CBA"/>
          </w:tcPr>
          <w:p>
            <w:pPr>
              <w:spacing w:after="0"/>
              <w:rPr>
                <w:sz w:val="19"/>
                <w:szCs w:val="19"/>
                <w:color w:val="auto"/>
              </w:rPr>
            </w:pPr>
          </w:p>
        </w:tc>
        <w:tc>
          <w:tcPr>
            <w:tcW w:w="140" w:type="dxa"/>
            <w:vAlign w:val="bottom"/>
            <w:tcBorders>
              <w:bottom w:val="single" w:sz="8" w:color="007CBA"/>
              <w:right w:val="single" w:sz="8" w:color="007CBA"/>
            </w:tcBorders>
            <w:shd w:val="clear" w:color="auto" w:fill="007CBA"/>
          </w:tcPr>
          <w:p>
            <w:pPr>
              <w:spacing w:after="0"/>
              <w:rPr>
                <w:sz w:val="19"/>
                <w:szCs w:val="19"/>
                <w:color w:val="auto"/>
              </w:rPr>
            </w:pPr>
          </w:p>
        </w:tc>
        <w:tc>
          <w:tcPr>
            <w:tcW w:w="280" w:type="dxa"/>
            <w:vAlign w:val="bottom"/>
            <w:tcBorders>
              <w:bottom w:val="single" w:sz="8" w:color="007CBA"/>
            </w:tcBorders>
            <w:shd w:val="clear" w:color="auto" w:fill="007CBA"/>
          </w:tcPr>
          <w:p>
            <w:pPr>
              <w:spacing w:after="0"/>
              <w:rPr>
                <w:sz w:val="19"/>
                <w:szCs w:val="19"/>
                <w:color w:val="auto"/>
              </w:rPr>
            </w:pPr>
          </w:p>
        </w:tc>
        <w:tc>
          <w:tcPr>
            <w:tcW w:w="1100" w:type="dxa"/>
            <w:vAlign w:val="bottom"/>
            <w:tcBorders>
              <w:bottom w:val="single" w:sz="8" w:color="007CBA"/>
              <w:right w:val="single" w:sz="8" w:color="007CBA"/>
            </w:tcBorders>
            <w:shd w:val="clear" w:color="auto" w:fill="007CBA"/>
          </w:tcPr>
          <w:p>
            <w:pPr>
              <w:ind w:left="80"/>
              <w:spacing w:after="0" w:line="215" w:lineRule="exact"/>
              <w:rPr>
                <w:sz w:val="20"/>
                <w:szCs w:val="20"/>
                <w:color w:val="auto"/>
              </w:rPr>
            </w:pPr>
            <w:r>
              <w:rPr>
                <w:rFonts w:ascii="Calibri" w:cs="Calibri" w:eastAsia="Calibri" w:hAnsi="Calibri"/>
                <w:sz w:val="18"/>
                <w:szCs w:val="18"/>
                <w:color w:val="FFFFFF"/>
              </w:rPr>
              <w:t>2022</w:t>
            </w:r>
          </w:p>
        </w:tc>
        <w:tc>
          <w:tcPr>
            <w:tcW w:w="140" w:type="dxa"/>
            <w:vAlign w:val="bottom"/>
            <w:tcBorders>
              <w:bottom w:val="single" w:sz="8" w:color="007CBA"/>
              <w:right w:val="single" w:sz="8" w:color="007CBA"/>
            </w:tcBorders>
            <w:shd w:val="clear" w:color="auto" w:fill="007CBA"/>
          </w:tcPr>
          <w:p>
            <w:pPr>
              <w:spacing w:after="0"/>
              <w:rPr>
                <w:sz w:val="19"/>
                <w:szCs w:val="19"/>
                <w:color w:val="auto"/>
              </w:rPr>
            </w:pPr>
          </w:p>
        </w:tc>
        <w:tc>
          <w:tcPr>
            <w:tcW w:w="400" w:type="dxa"/>
            <w:vAlign w:val="bottom"/>
            <w:tcBorders>
              <w:bottom w:val="single" w:sz="8" w:color="007CBA"/>
            </w:tcBorders>
            <w:shd w:val="clear" w:color="auto" w:fill="007CBA"/>
          </w:tcPr>
          <w:p>
            <w:pPr>
              <w:spacing w:after="0"/>
              <w:rPr>
                <w:sz w:val="19"/>
                <w:szCs w:val="19"/>
                <w:color w:val="auto"/>
              </w:rPr>
            </w:pPr>
          </w:p>
        </w:tc>
        <w:tc>
          <w:tcPr>
            <w:tcW w:w="1120" w:type="dxa"/>
            <w:vAlign w:val="bottom"/>
            <w:tcBorders>
              <w:bottom w:val="single" w:sz="8" w:color="007CBA"/>
            </w:tcBorders>
            <w:shd w:val="clear" w:color="auto" w:fill="007CBA"/>
          </w:tcPr>
          <w:p>
            <w:pPr>
              <w:spacing w:after="0"/>
              <w:rPr>
                <w:sz w:val="19"/>
                <w:szCs w:val="19"/>
                <w:color w:val="auto"/>
              </w:rPr>
            </w:pPr>
          </w:p>
        </w:tc>
      </w:tr>
      <w:tr>
        <w:trPr>
          <w:trHeight w:val="215"/>
        </w:trPr>
        <w:tc>
          <w:tcPr>
            <w:tcW w:w="61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Balance at beginning of period</w:t>
            </w:r>
          </w:p>
        </w:tc>
        <w:tc>
          <w:tcPr>
            <w:tcW w:w="3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10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759.4</w:t>
            </w:r>
          </w:p>
        </w:tc>
        <w:tc>
          <w:tcPr>
            <w:tcW w:w="16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11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2,735.0</w:t>
            </w:r>
          </w:p>
        </w:tc>
        <w:tc>
          <w:tcPr>
            <w:tcW w:w="140" w:type="dxa"/>
            <w:vAlign w:val="bottom"/>
          </w:tcPr>
          <w:p>
            <w:pPr>
              <w:spacing w:after="0"/>
              <w:rPr>
                <w:sz w:val="18"/>
                <w:szCs w:val="18"/>
                <w:color w:val="auto"/>
              </w:rPr>
            </w:pPr>
          </w:p>
        </w:tc>
        <w:tc>
          <w:tcPr>
            <w:tcW w:w="4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3,494.4</w:t>
            </w:r>
          </w:p>
        </w:tc>
      </w:tr>
      <w:tr>
        <w:trPr>
          <w:trHeight w:val="28"/>
        </w:trPr>
        <w:tc>
          <w:tcPr>
            <w:tcW w:w="6180" w:type="dxa"/>
            <w:vAlign w:val="bottom"/>
            <w:tcBorders>
              <w:right w:val="single" w:sz="8" w:color="007CBA"/>
            </w:tcBorders>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Borders>
              <w:right w:val="single" w:sz="8" w:color="007CBA"/>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right w:val="single" w:sz="8" w:color="007CBA"/>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61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Acquisitons</w:t>
            </w:r>
          </w:p>
        </w:tc>
        <w:tc>
          <w:tcPr>
            <w:tcW w:w="360" w:type="dxa"/>
            <w:vAlign w:val="bottom"/>
            <w:tcBorders>
              <w:bottom w:val="single" w:sz="8" w:color="E5F1F8"/>
              <w:right w:val="single" w:sz="8" w:color="E5F1F8"/>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spacing w:after="0"/>
              <w:rPr>
                <w:sz w:val="19"/>
                <w:szCs w:val="19"/>
                <w:color w:val="auto"/>
              </w:rPr>
            </w:pPr>
          </w:p>
        </w:tc>
        <w:tc>
          <w:tcPr>
            <w:tcW w:w="10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E5F1F8"/>
            </w:tcBorders>
            <w:shd w:val="clear" w:color="auto" w:fill="E5F1F8"/>
          </w:tcPr>
          <w:p>
            <w:pPr>
              <w:spacing w:after="0"/>
              <w:rPr>
                <w:sz w:val="19"/>
                <w:szCs w:val="19"/>
                <w:color w:val="auto"/>
              </w:rPr>
            </w:pPr>
          </w:p>
        </w:tc>
        <w:tc>
          <w:tcPr>
            <w:tcW w:w="140" w:type="dxa"/>
            <w:vAlign w:val="bottom"/>
            <w:tcBorders>
              <w:bottom w:val="single" w:sz="8" w:color="E5F1F8"/>
              <w:right w:val="single" w:sz="8" w:color="E5F1F8"/>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spacing w:after="0"/>
              <w:rPr>
                <w:sz w:val="19"/>
                <w:szCs w:val="19"/>
                <w:color w:val="auto"/>
              </w:rPr>
            </w:pPr>
          </w:p>
        </w:tc>
        <w:tc>
          <w:tcPr>
            <w:tcW w:w="11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3.7</w:t>
            </w:r>
          </w:p>
        </w:tc>
        <w:tc>
          <w:tcPr>
            <w:tcW w:w="140" w:type="dxa"/>
            <w:vAlign w:val="bottom"/>
            <w:tcBorders>
              <w:bottom w:val="single" w:sz="8" w:color="E5F1F8"/>
              <w:right w:val="single" w:sz="8" w:color="E5F1F8"/>
            </w:tcBorders>
            <w:shd w:val="clear" w:color="auto" w:fill="E5F1F8"/>
          </w:tcPr>
          <w:p>
            <w:pPr>
              <w:spacing w:after="0"/>
              <w:rPr>
                <w:sz w:val="19"/>
                <w:szCs w:val="19"/>
                <w:color w:val="auto"/>
              </w:rPr>
            </w:pPr>
          </w:p>
        </w:tc>
        <w:tc>
          <w:tcPr>
            <w:tcW w:w="400" w:type="dxa"/>
            <w:vAlign w:val="bottom"/>
            <w:tcBorders>
              <w:bottom w:val="single" w:sz="8" w:color="E5F1F8"/>
            </w:tcBorders>
            <w:shd w:val="clear" w:color="auto" w:fill="E5F1F8"/>
          </w:tcPr>
          <w:p>
            <w:pPr>
              <w:spacing w:after="0"/>
              <w:rPr>
                <w:sz w:val="19"/>
                <w:szCs w:val="19"/>
                <w:color w:val="auto"/>
              </w:rPr>
            </w:pP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3.7</w:t>
            </w:r>
          </w:p>
        </w:tc>
      </w:tr>
      <w:tr>
        <w:trPr>
          <w:trHeight w:val="215"/>
        </w:trPr>
        <w:tc>
          <w:tcPr>
            <w:tcW w:w="61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Goodwill reclassifed from assets held for sale</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8.1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8.1</w:t>
            </w:r>
          </w:p>
        </w:tc>
      </w:tr>
      <w:tr>
        <w:trPr>
          <w:trHeight w:val="28"/>
        </w:trPr>
        <w:tc>
          <w:tcPr>
            <w:tcW w:w="6180" w:type="dxa"/>
            <w:vAlign w:val="bottom"/>
            <w:tcBorders>
              <w:right w:val="single" w:sz="8" w:color="007CBA"/>
            </w:tcBorders>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Borders>
              <w:right w:val="single" w:sz="8" w:color="007CBA"/>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Borders>
              <w:right w:val="single" w:sz="8" w:color="007CBA"/>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61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Divesttures</w:t>
            </w:r>
          </w:p>
        </w:tc>
        <w:tc>
          <w:tcPr>
            <w:tcW w:w="360" w:type="dxa"/>
            <w:vAlign w:val="bottom"/>
            <w:tcBorders>
              <w:bottom w:val="single" w:sz="8" w:color="E5F1F8"/>
              <w:right w:val="single" w:sz="8" w:color="E5F1F8"/>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spacing w:after="0"/>
              <w:rPr>
                <w:sz w:val="19"/>
                <w:szCs w:val="19"/>
                <w:color w:val="auto"/>
              </w:rPr>
            </w:pPr>
          </w:p>
        </w:tc>
        <w:tc>
          <w:tcPr>
            <w:tcW w:w="10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E5F1F8"/>
            </w:tcBorders>
            <w:shd w:val="clear" w:color="auto" w:fill="E5F1F8"/>
          </w:tcPr>
          <w:p>
            <w:pPr>
              <w:spacing w:after="0"/>
              <w:rPr>
                <w:sz w:val="19"/>
                <w:szCs w:val="19"/>
                <w:color w:val="auto"/>
              </w:rPr>
            </w:pPr>
          </w:p>
        </w:tc>
        <w:tc>
          <w:tcPr>
            <w:tcW w:w="140" w:type="dxa"/>
            <w:vAlign w:val="bottom"/>
            <w:tcBorders>
              <w:bottom w:val="single" w:sz="8" w:color="E5F1F8"/>
              <w:right w:val="single" w:sz="8" w:color="E5F1F8"/>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spacing w:after="0"/>
              <w:rPr>
                <w:sz w:val="19"/>
                <w:szCs w:val="19"/>
                <w:color w:val="auto"/>
              </w:rPr>
            </w:pPr>
          </w:p>
        </w:tc>
        <w:tc>
          <w:tcPr>
            <w:tcW w:w="110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(159.7 )</w:t>
            </w:r>
          </w:p>
        </w:tc>
        <w:tc>
          <w:tcPr>
            <w:tcW w:w="140" w:type="dxa"/>
            <w:vAlign w:val="bottom"/>
            <w:tcBorders>
              <w:bottom w:val="single" w:sz="8" w:color="E5F1F8"/>
              <w:right w:val="single" w:sz="8" w:color="E5F1F8"/>
            </w:tcBorders>
            <w:shd w:val="clear" w:color="auto" w:fill="E5F1F8"/>
          </w:tcPr>
          <w:p>
            <w:pPr>
              <w:spacing w:after="0"/>
              <w:rPr>
                <w:sz w:val="19"/>
                <w:szCs w:val="19"/>
                <w:color w:val="auto"/>
              </w:rPr>
            </w:pPr>
          </w:p>
        </w:tc>
        <w:tc>
          <w:tcPr>
            <w:tcW w:w="400" w:type="dxa"/>
            <w:vAlign w:val="bottom"/>
            <w:tcBorders>
              <w:bottom w:val="single" w:sz="8" w:color="E5F1F8"/>
            </w:tcBorders>
            <w:shd w:val="clear" w:color="auto" w:fill="E5F1F8"/>
          </w:tcPr>
          <w:p>
            <w:pPr>
              <w:spacing w:after="0"/>
              <w:rPr>
                <w:sz w:val="19"/>
                <w:szCs w:val="19"/>
                <w:color w:val="auto"/>
              </w:rPr>
            </w:pPr>
          </w:p>
        </w:tc>
        <w:tc>
          <w:tcPr>
            <w:tcW w:w="11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(159.7 )</w:t>
            </w:r>
          </w:p>
        </w:tc>
      </w:tr>
      <w:tr>
        <w:trPr>
          <w:trHeight w:val="215"/>
        </w:trPr>
        <w:tc>
          <w:tcPr>
            <w:tcW w:w="6180" w:type="dxa"/>
            <w:vAlign w:val="bottom"/>
          </w:tcPr>
          <w:p>
            <w:pPr>
              <w:ind w:left="120"/>
              <w:spacing w:after="0" w:line="215" w:lineRule="exact"/>
              <w:rPr>
                <w:sz w:val="20"/>
                <w:szCs w:val="20"/>
                <w:color w:val="auto"/>
              </w:rPr>
            </w:pPr>
            <w:r>
              <w:rPr>
                <w:rFonts w:ascii="Calibri" w:cs="Calibri" w:eastAsia="Calibri" w:hAnsi="Calibri"/>
                <w:sz w:val="18"/>
                <w:szCs w:val="18"/>
                <w:color w:val="auto"/>
              </w:rPr>
              <w:t>Measurement period adjustments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298.0</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303.0</w:t>
            </w:r>
          </w:p>
        </w:tc>
      </w:tr>
      <w:tr>
        <w:trPr>
          <w:trHeight w:val="28"/>
        </w:trPr>
        <w:tc>
          <w:tcPr>
            <w:tcW w:w="6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2"/>
        </w:trPr>
        <w:tc>
          <w:tcPr>
            <w:tcW w:w="618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Balance at end of period</w:t>
            </w:r>
          </w:p>
        </w:tc>
        <w:tc>
          <w:tcPr>
            <w:tcW w:w="36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E5F1F8"/>
            </w:tcBorders>
            <w:shd w:val="clear" w:color="auto" w:fill="E5F1F8"/>
          </w:tcPr>
          <w:p>
            <w:pPr>
              <w:spacing w:after="0"/>
              <w:rPr>
                <w:sz w:val="22"/>
                <w:szCs w:val="22"/>
                <w:color w:val="auto"/>
              </w:rPr>
            </w:pPr>
          </w:p>
        </w:tc>
        <w:tc>
          <w:tcPr>
            <w:tcW w:w="108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764.4</w:t>
            </w:r>
          </w:p>
        </w:tc>
        <w:tc>
          <w:tcPr>
            <w:tcW w:w="160" w:type="dxa"/>
            <w:vAlign w:val="bottom"/>
            <w:tcBorders>
              <w:bottom w:val="single" w:sz="8" w:color="E5F1F8"/>
            </w:tcBorders>
            <w:shd w:val="clear" w:color="auto" w:fill="E5F1F8"/>
          </w:tcPr>
          <w:p>
            <w:pPr>
              <w:spacing w:after="0"/>
              <w:rPr>
                <w:sz w:val="22"/>
                <w:szCs w:val="22"/>
                <w:color w:val="auto"/>
              </w:rPr>
            </w:pPr>
          </w:p>
        </w:tc>
        <w:tc>
          <w:tcPr>
            <w:tcW w:w="14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w:t>
            </w:r>
          </w:p>
        </w:tc>
        <w:tc>
          <w:tcPr>
            <w:tcW w:w="280" w:type="dxa"/>
            <w:vAlign w:val="bottom"/>
            <w:tcBorders>
              <w:bottom w:val="single" w:sz="8" w:color="E5F1F8"/>
            </w:tcBorders>
            <w:shd w:val="clear" w:color="auto" w:fill="E5F1F8"/>
          </w:tcPr>
          <w:p>
            <w:pPr>
              <w:spacing w:after="0"/>
              <w:rPr>
                <w:sz w:val="22"/>
                <w:szCs w:val="22"/>
                <w:color w:val="auto"/>
              </w:rPr>
            </w:pPr>
          </w:p>
        </w:tc>
        <w:tc>
          <w:tcPr>
            <w:tcW w:w="110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2,885.1</w:t>
            </w:r>
          </w:p>
        </w:tc>
        <w:tc>
          <w:tcPr>
            <w:tcW w:w="140" w:type="dxa"/>
            <w:vAlign w:val="bottom"/>
            <w:tcBorders>
              <w:bottom w:val="single" w:sz="8" w:color="E5F1F8"/>
              <w:right w:val="single" w:sz="8" w:color="E5F1F8"/>
            </w:tcBorders>
            <w:shd w:val="clear" w:color="auto" w:fill="E5F1F8"/>
          </w:tcPr>
          <w:p>
            <w:pPr>
              <w:spacing w:after="0"/>
              <w:rPr>
                <w:sz w:val="22"/>
                <w:szCs w:val="22"/>
                <w:color w:val="auto"/>
              </w:rPr>
            </w:pPr>
          </w:p>
        </w:tc>
        <w:tc>
          <w:tcPr>
            <w:tcW w:w="400" w:type="dxa"/>
            <w:vAlign w:val="bottom"/>
            <w:tcBorders>
              <w:bottom w:val="single" w:sz="8" w:color="E5F1F8"/>
            </w:tcBorders>
            <w:shd w:val="clear" w:color="auto" w:fill="E5F1F8"/>
          </w:tcPr>
          <w:p>
            <w:pPr>
              <w:jc w:val="right"/>
              <w:ind w:right="190"/>
              <w:spacing w:after="0" w:line="208"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3,649.5</w:t>
            </w:r>
          </w:p>
        </w:tc>
      </w:tr>
      <w:tr>
        <w:trPr>
          <w:trHeight w:val="20"/>
        </w:trPr>
        <w:tc>
          <w:tcPr>
            <w:tcW w:w="6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-6274435</wp:posOffset>
            </wp:positionV>
            <wp:extent cx="3025775" cy="33813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3025775" cy="338137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-1927860</wp:posOffset>
            </wp:positionV>
            <wp:extent cx="32143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-1469390</wp:posOffset>
            </wp:positionV>
            <wp:extent cx="34290" cy="2139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34290" cy="213995"/>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-1469390</wp:posOffset>
            </wp:positionV>
            <wp:extent cx="33655" cy="2139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33655" cy="21399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-1469390</wp:posOffset>
            </wp:positionV>
            <wp:extent cx="33655" cy="2139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33655" cy="21399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-354965</wp:posOffset>
            </wp:positionV>
            <wp:extent cx="34290" cy="3683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-354965</wp:posOffset>
            </wp:positionV>
            <wp:extent cx="33655" cy="3683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-354965</wp:posOffset>
            </wp:positionV>
            <wp:extent cx="33655" cy="3683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213995</wp:posOffset>
            </wp:positionV>
            <wp:extent cx="325755" cy="1974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308"/>
        </w:trPr>
        <w:tc>
          <w:tcPr>
            <w:tcW w:w="6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80" w:type="dxa"/>
            <w:vAlign w:val="bottom"/>
            <w:gridSpan w:val="6"/>
          </w:tcPr>
          <w:p>
            <w:pPr>
              <w:ind w:left="60"/>
              <w:spacing w:after="0"/>
              <w:rPr>
                <w:sz w:val="20"/>
                <w:szCs w:val="20"/>
                <w:color w:val="auto"/>
              </w:rPr>
            </w:pPr>
            <w:r>
              <w:rPr>
                <w:rFonts w:ascii="Calibri" w:cs="Calibri" w:eastAsia="Calibri" w:hAnsi="Calibri"/>
                <w:sz w:val="18"/>
                <w:szCs w:val="18"/>
                <w:color w:val="auto"/>
                <w:w w:val="98"/>
              </w:rPr>
              <w:t xml:space="preserve">Part II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8 – Financial Statements and Supplementary Data</w:t>
            </w:r>
          </w:p>
        </w:tc>
        <w:tc>
          <w:tcPr>
            <w:tcW w:w="0" w:type="dxa"/>
            <w:vAlign w:val="bottom"/>
          </w:tcPr>
          <w:p>
            <w:pPr>
              <w:spacing w:after="0"/>
              <w:rPr>
                <w:sz w:val="1"/>
                <w:szCs w:val="1"/>
                <w:color w:val="auto"/>
              </w:rPr>
            </w:pPr>
          </w:p>
        </w:tc>
      </w:tr>
      <w:tr>
        <w:trPr>
          <w:trHeight w:val="361"/>
        </w:trPr>
        <w:tc>
          <w:tcPr>
            <w:tcW w:w="6240" w:type="dxa"/>
            <w:vAlign w:val="bottom"/>
          </w:tcPr>
          <w:p>
            <w:pPr>
              <w:spacing w:after="0"/>
              <w:rPr>
                <w:sz w:val="20"/>
                <w:szCs w:val="20"/>
                <w:color w:val="auto"/>
              </w:rPr>
            </w:pPr>
            <w:r>
              <w:rPr>
                <w:rFonts w:ascii="Calibri" w:cs="Calibri" w:eastAsia="Calibri" w:hAnsi="Calibri"/>
                <w:sz w:val="18"/>
                <w:szCs w:val="18"/>
                <w:color w:val="auto"/>
              </w:rPr>
              <w:t>Intangible assets subject to amortzaton consist of the following:</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6240" w:type="dxa"/>
            <w:vAlign w:val="bottom"/>
            <w:tcBorders>
              <w:right w:val="single" w:sz="8" w:color="007CBA"/>
            </w:tcBorders>
            <w:shd w:val="clear" w:color="auto" w:fill="007CBA"/>
          </w:tcPr>
          <w:p>
            <w:pPr>
              <w:spacing w:after="0"/>
              <w:rPr>
                <w:sz w:val="18"/>
                <w:szCs w:val="18"/>
                <w:color w:val="auto"/>
              </w:rPr>
            </w:pPr>
          </w:p>
        </w:tc>
        <w:tc>
          <w:tcPr>
            <w:tcW w:w="340" w:type="dxa"/>
            <w:vAlign w:val="bottom"/>
            <w:shd w:val="clear" w:color="auto" w:fill="007CBA"/>
          </w:tcPr>
          <w:p>
            <w:pPr>
              <w:spacing w:after="0"/>
              <w:rPr>
                <w:sz w:val="18"/>
                <w:szCs w:val="18"/>
                <w:color w:val="auto"/>
              </w:rPr>
            </w:pPr>
          </w:p>
        </w:tc>
        <w:tc>
          <w:tcPr>
            <w:tcW w:w="1360" w:type="dxa"/>
            <w:vAlign w:val="bottom"/>
            <w:tcBorders>
              <w:right w:val="single" w:sz="8" w:color="007CBA"/>
            </w:tcBorders>
            <w:shd w:val="clear" w:color="auto" w:fill="007CBA"/>
          </w:tcPr>
          <w:p>
            <w:pPr>
              <w:jc w:val="right"/>
              <w:ind w:right="550"/>
              <w:spacing w:after="0" w:line="207" w:lineRule="exact"/>
              <w:rPr>
                <w:sz w:val="20"/>
                <w:szCs w:val="20"/>
                <w:color w:val="auto"/>
              </w:rPr>
            </w:pPr>
            <w:r>
              <w:rPr>
                <w:rFonts w:ascii="Calibri" w:cs="Calibri" w:eastAsia="Calibri" w:hAnsi="Calibri"/>
                <w:sz w:val="18"/>
                <w:szCs w:val="18"/>
                <w:b w:val="1"/>
                <w:bCs w:val="1"/>
                <w:color w:val="FFFFFF"/>
              </w:rPr>
              <w:t>Gross</w:t>
            </w:r>
          </w:p>
        </w:tc>
        <w:tc>
          <w:tcPr>
            <w:tcW w:w="320" w:type="dxa"/>
            <w:vAlign w:val="bottom"/>
            <w:shd w:val="clear" w:color="auto" w:fill="007CBA"/>
          </w:tcPr>
          <w:p>
            <w:pPr>
              <w:spacing w:after="0"/>
              <w:rPr>
                <w:sz w:val="18"/>
                <w:szCs w:val="18"/>
                <w:color w:val="auto"/>
              </w:rPr>
            </w:pPr>
          </w:p>
        </w:tc>
        <w:tc>
          <w:tcPr>
            <w:tcW w:w="1340" w:type="dxa"/>
            <w:vAlign w:val="bottom"/>
            <w:tcBorders>
              <w:right w:val="single" w:sz="8" w:color="007CBA"/>
            </w:tcBorders>
            <w:shd w:val="clear" w:color="auto" w:fill="007CBA"/>
          </w:tcPr>
          <w:p>
            <w:pPr>
              <w:jc w:val="center"/>
              <w:ind w:right="210"/>
              <w:spacing w:after="0" w:line="207" w:lineRule="exact"/>
              <w:rPr>
                <w:sz w:val="20"/>
                <w:szCs w:val="20"/>
                <w:color w:val="auto"/>
              </w:rPr>
            </w:pPr>
            <w:r>
              <w:rPr>
                <w:rFonts w:ascii="Calibri" w:cs="Calibri" w:eastAsia="Calibri" w:hAnsi="Calibri"/>
                <w:sz w:val="18"/>
                <w:szCs w:val="18"/>
                <w:b w:val="1"/>
                <w:bCs w:val="1"/>
                <w:color w:val="FFFFFF"/>
                <w:w w:val="97"/>
              </w:rPr>
              <w:t>Accumulated</w:t>
            </w:r>
          </w:p>
        </w:tc>
        <w:tc>
          <w:tcPr>
            <w:tcW w:w="400" w:type="dxa"/>
            <w:vAlign w:val="bottom"/>
            <w:shd w:val="clear" w:color="auto" w:fill="007CBA"/>
          </w:tcPr>
          <w:p>
            <w:pPr>
              <w:spacing w:after="0"/>
              <w:rPr>
                <w:sz w:val="18"/>
                <w:szCs w:val="18"/>
                <w:color w:val="auto"/>
              </w:rPr>
            </w:pPr>
          </w:p>
        </w:tc>
        <w:tc>
          <w:tcPr>
            <w:tcW w:w="1240" w:type="dxa"/>
            <w:vAlign w:val="bottom"/>
            <w:shd w:val="clear" w:color="auto" w:fill="007CBA"/>
          </w:tcPr>
          <w:p>
            <w:pPr>
              <w:jc w:val="right"/>
              <w:ind w:right="590"/>
              <w:spacing w:after="0" w:line="207" w:lineRule="exact"/>
              <w:rPr>
                <w:sz w:val="20"/>
                <w:szCs w:val="20"/>
                <w:color w:val="auto"/>
              </w:rPr>
            </w:pPr>
            <w:r>
              <w:rPr>
                <w:rFonts w:ascii="Calibri" w:cs="Calibri" w:eastAsia="Calibri" w:hAnsi="Calibri"/>
                <w:sz w:val="18"/>
                <w:szCs w:val="18"/>
                <w:b w:val="1"/>
                <w:bCs w:val="1"/>
                <w:color w:val="FFFFFF"/>
              </w:rPr>
              <w:t>Net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340" w:type="dxa"/>
            <w:vAlign w:val="bottom"/>
            <w:shd w:val="clear" w:color="auto" w:fill="007CBA"/>
          </w:tcPr>
          <w:p>
            <w:pPr>
              <w:spacing w:after="0"/>
              <w:rPr>
                <w:sz w:val="19"/>
                <w:szCs w:val="19"/>
                <w:color w:val="auto"/>
              </w:rPr>
            </w:pPr>
          </w:p>
        </w:tc>
        <w:tc>
          <w:tcPr>
            <w:tcW w:w="1360" w:type="dxa"/>
            <w:vAlign w:val="bottom"/>
            <w:tcBorders>
              <w:right w:val="single" w:sz="8" w:color="007CBA"/>
            </w:tcBorders>
            <w:shd w:val="clear" w:color="auto" w:fill="007CBA"/>
          </w:tcPr>
          <w:p>
            <w:pPr>
              <w:jc w:val="right"/>
              <w:ind w:right="450"/>
              <w:spacing w:after="0" w:line="215" w:lineRule="exact"/>
              <w:rPr>
                <w:sz w:val="20"/>
                <w:szCs w:val="20"/>
                <w:color w:val="auto"/>
              </w:rPr>
            </w:pPr>
            <w:r>
              <w:rPr>
                <w:rFonts w:ascii="Calibri" w:cs="Calibri" w:eastAsia="Calibri" w:hAnsi="Calibri"/>
                <w:sz w:val="18"/>
                <w:szCs w:val="18"/>
                <w:b w:val="1"/>
                <w:bCs w:val="1"/>
                <w:color w:val="FFFFFF"/>
              </w:rPr>
              <w:t>Amount</w:t>
            </w:r>
          </w:p>
        </w:tc>
        <w:tc>
          <w:tcPr>
            <w:tcW w:w="320" w:type="dxa"/>
            <w:vAlign w:val="bottom"/>
            <w:shd w:val="clear" w:color="auto" w:fill="007CBA"/>
          </w:tcPr>
          <w:p>
            <w:pPr>
              <w:spacing w:after="0"/>
              <w:rPr>
                <w:sz w:val="19"/>
                <w:szCs w:val="19"/>
                <w:color w:val="auto"/>
              </w:rPr>
            </w:pPr>
          </w:p>
        </w:tc>
        <w:tc>
          <w:tcPr>
            <w:tcW w:w="1340" w:type="dxa"/>
            <w:vAlign w:val="bottom"/>
            <w:tcBorders>
              <w:right w:val="single" w:sz="8" w:color="007CBA"/>
            </w:tcBorders>
            <w:shd w:val="clear" w:color="auto" w:fill="007CBA"/>
          </w:tcPr>
          <w:p>
            <w:pPr>
              <w:jc w:val="center"/>
              <w:ind w:right="170"/>
              <w:spacing w:after="0" w:line="215" w:lineRule="exact"/>
              <w:rPr>
                <w:sz w:val="20"/>
                <w:szCs w:val="20"/>
                <w:color w:val="auto"/>
              </w:rPr>
            </w:pPr>
            <w:r>
              <w:rPr>
                <w:rFonts w:ascii="Calibri" w:cs="Calibri" w:eastAsia="Calibri" w:hAnsi="Calibri"/>
                <w:sz w:val="18"/>
                <w:szCs w:val="18"/>
                <w:b w:val="1"/>
                <w:bCs w:val="1"/>
                <w:color w:val="FFFFFF"/>
              </w:rPr>
              <w:t>Amortzaton</w:t>
            </w:r>
          </w:p>
        </w:tc>
        <w:tc>
          <w:tcPr>
            <w:tcW w:w="400" w:type="dxa"/>
            <w:vAlign w:val="bottom"/>
            <w:shd w:val="clear" w:color="auto" w:fill="007CBA"/>
          </w:tcPr>
          <w:p>
            <w:pPr>
              <w:spacing w:after="0"/>
              <w:rPr>
                <w:sz w:val="19"/>
                <w:szCs w:val="19"/>
                <w:color w:val="auto"/>
              </w:rPr>
            </w:pPr>
          </w:p>
        </w:tc>
        <w:tc>
          <w:tcPr>
            <w:tcW w:w="1240" w:type="dxa"/>
            <w:vAlign w:val="bottom"/>
            <w:shd w:val="clear" w:color="auto" w:fill="007CBA"/>
          </w:tcPr>
          <w:p>
            <w:pPr>
              <w:jc w:val="right"/>
              <w:ind w:right="410"/>
              <w:spacing w:after="0" w:line="215" w:lineRule="exact"/>
              <w:rPr>
                <w:sz w:val="20"/>
                <w:szCs w:val="20"/>
                <w:color w:val="auto"/>
              </w:rPr>
            </w:pPr>
            <w:r>
              <w:rPr>
                <w:rFonts w:ascii="Calibri" w:cs="Calibri" w:eastAsia="Calibri" w:hAnsi="Calibri"/>
                <w:sz w:val="18"/>
                <w:szCs w:val="18"/>
                <w:b w:val="1"/>
                <w:bCs w:val="1"/>
                <w:color w:val="FFFFFF"/>
              </w:rPr>
              <w:t>Balance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624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340" w:type="dxa"/>
            <w:vAlign w:val="bottom"/>
            <w:tcBorders>
              <w:bottom w:val="single" w:sz="8" w:color="007CBA"/>
            </w:tcBorders>
            <w:shd w:val="clear" w:color="auto" w:fill="007CBA"/>
          </w:tcPr>
          <w:p>
            <w:pPr>
              <w:spacing w:after="0"/>
              <w:rPr>
                <w:sz w:val="22"/>
                <w:szCs w:val="22"/>
                <w:color w:val="auto"/>
              </w:rPr>
            </w:pPr>
          </w:p>
        </w:tc>
        <w:tc>
          <w:tcPr>
            <w:tcW w:w="1360" w:type="dxa"/>
            <w:vAlign w:val="bottom"/>
            <w:tcBorders>
              <w:bottom w:val="single" w:sz="8" w:color="007CBA"/>
              <w:right w:val="single" w:sz="8" w:color="007CBA"/>
            </w:tcBorders>
            <w:shd w:val="clear" w:color="auto" w:fill="007CBA"/>
          </w:tcPr>
          <w:p>
            <w:pPr>
              <w:spacing w:after="0"/>
              <w:rPr>
                <w:sz w:val="22"/>
                <w:szCs w:val="22"/>
                <w:color w:val="auto"/>
              </w:rPr>
            </w:pPr>
          </w:p>
        </w:tc>
        <w:tc>
          <w:tcPr>
            <w:tcW w:w="320" w:type="dxa"/>
            <w:vAlign w:val="bottom"/>
            <w:tcBorders>
              <w:bottom w:val="single" w:sz="8" w:color="007CBA"/>
            </w:tcBorders>
            <w:shd w:val="clear" w:color="auto" w:fill="007CBA"/>
          </w:tcPr>
          <w:p>
            <w:pPr>
              <w:spacing w:after="0"/>
              <w:rPr>
                <w:sz w:val="22"/>
                <w:szCs w:val="22"/>
                <w:color w:val="auto"/>
              </w:rPr>
            </w:pPr>
          </w:p>
        </w:tc>
        <w:tc>
          <w:tcPr>
            <w:tcW w:w="1340" w:type="dxa"/>
            <w:vAlign w:val="bottom"/>
            <w:tcBorders>
              <w:bottom w:val="single" w:sz="8" w:color="007CBA"/>
              <w:right w:val="single" w:sz="8" w:color="007CBA"/>
            </w:tcBorders>
            <w:shd w:val="clear" w:color="auto" w:fill="007CBA"/>
          </w:tcPr>
          <w:p>
            <w:pPr>
              <w:jc w:val="center"/>
              <w:ind w:right="230"/>
              <w:spacing w:after="0"/>
              <w:rPr>
                <w:sz w:val="20"/>
                <w:szCs w:val="20"/>
                <w:color w:val="auto"/>
              </w:rPr>
            </w:pPr>
            <w:r>
              <w:rPr>
                <w:rFonts w:ascii="Calibri" w:cs="Calibri" w:eastAsia="Calibri" w:hAnsi="Calibri"/>
                <w:sz w:val="18"/>
                <w:szCs w:val="18"/>
                <w:b w:val="1"/>
                <w:bCs w:val="1"/>
                <w:color w:val="FFFFFF"/>
                <w:w w:val="93"/>
              </w:rPr>
              <w:t>2023</w:t>
            </w:r>
          </w:p>
        </w:tc>
        <w:tc>
          <w:tcPr>
            <w:tcW w:w="400" w:type="dxa"/>
            <w:vAlign w:val="bottom"/>
            <w:tcBorders>
              <w:bottom w:val="single" w:sz="8" w:color="007CBA"/>
            </w:tcBorders>
            <w:shd w:val="clear" w:color="auto" w:fill="007CBA"/>
          </w:tcPr>
          <w:p>
            <w:pPr>
              <w:spacing w:after="0"/>
              <w:rPr>
                <w:sz w:val="22"/>
                <w:szCs w:val="22"/>
                <w:color w:val="auto"/>
              </w:rPr>
            </w:pPr>
          </w:p>
        </w:tc>
        <w:tc>
          <w:tcPr>
            <w:tcW w:w="1240" w:type="dxa"/>
            <w:vAlign w:val="bottom"/>
            <w:tcBorders>
              <w:bottom w:val="single" w:sz="8" w:color="007CBA"/>
            </w:tcBorders>
            <w:shd w:val="clear" w:color="auto" w:fill="007CBA"/>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2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Noncompetton agreements</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4.1</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(4.1 )</w:t>
            </w:r>
          </w:p>
        </w:tc>
        <w:tc>
          <w:tcPr>
            <w:tcW w:w="40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2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40" w:type="dxa"/>
            <w:vAlign w:val="bottom"/>
            <w:tcBorders>
              <w:right w:val="single" w:sz="8" w:color="007CBA"/>
            </w:tcBorders>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Borders>
              <w:right w:val="single" w:sz="8" w:color="007CBA"/>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Customer relatonships</w:t>
            </w:r>
          </w:p>
        </w:tc>
        <w:tc>
          <w:tcPr>
            <w:tcW w:w="34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421.0</w:t>
            </w:r>
          </w:p>
        </w:tc>
        <w:tc>
          <w:tcPr>
            <w:tcW w:w="32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(79.9 )</w:t>
            </w:r>
          </w:p>
        </w:tc>
        <w:tc>
          <w:tcPr>
            <w:tcW w:w="400" w:type="dxa"/>
            <w:vAlign w:val="bottom"/>
            <w:tcBorders>
              <w:bottom w:val="single" w:sz="8" w:color="E5F1F8"/>
            </w:tcBorders>
            <w:shd w:val="clear" w:color="auto" w:fill="E5F1F8"/>
          </w:tcPr>
          <w:p>
            <w:pPr>
              <w:spacing w:after="0"/>
              <w:rPr>
                <w:sz w:val="19"/>
                <w:szCs w:val="19"/>
                <w:color w:val="auto"/>
              </w:rPr>
            </w:pPr>
          </w:p>
        </w:tc>
        <w:tc>
          <w:tcPr>
            <w:tcW w:w="12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341.1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permits</w:t>
            </w:r>
          </w:p>
        </w:tc>
        <w:tc>
          <w:tcPr>
            <w:tcW w:w="340" w:type="dxa"/>
            <w:vAlign w:val="bottom"/>
          </w:tcPr>
          <w:p>
            <w:pPr>
              <w:spacing w:after="0"/>
              <w:rPr>
                <w:sz w:val="18"/>
                <w:szCs w:val="18"/>
                <w:color w:val="auto"/>
              </w:rPr>
            </w:pPr>
          </w:p>
        </w:tc>
        <w:tc>
          <w:tcPr>
            <w:tcW w:w="13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369.2</w:t>
            </w:r>
          </w:p>
        </w:tc>
        <w:tc>
          <w:tcPr>
            <w:tcW w:w="320" w:type="dxa"/>
            <w:vAlign w:val="bottom"/>
          </w:tcPr>
          <w:p>
            <w:pPr>
              <w:spacing w:after="0"/>
              <w:rPr>
                <w:sz w:val="18"/>
                <w:szCs w:val="18"/>
                <w:color w:val="auto"/>
              </w:rPr>
            </w:pPr>
          </w:p>
        </w:tc>
        <w:tc>
          <w:tcPr>
            <w:tcW w:w="13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(55.8 )</w:t>
            </w:r>
          </w:p>
        </w:tc>
        <w:tc>
          <w:tcPr>
            <w:tcW w:w="400" w:type="dxa"/>
            <w:vAlign w:val="bottom"/>
          </w:tcPr>
          <w:p>
            <w:pPr>
              <w:spacing w:after="0"/>
              <w:rPr>
                <w:sz w:val="18"/>
                <w:szCs w:val="18"/>
                <w:color w:val="auto"/>
              </w:rPr>
            </w:pPr>
          </w:p>
        </w:tc>
        <w:tc>
          <w:tcPr>
            <w:tcW w:w="12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313.4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40" w:type="dxa"/>
            <w:vAlign w:val="bottom"/>
            <w:tcBorders>
              <w:right w:val="single" w:sz="8" w:color="007CBA"/>
            </w:tcBorders>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Borders>
              <w:right w:val="single" w:sz="8" w:color="007CBA"/>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Use rights and other</w:t>
            </w:r>
          </w:p>
        </w:tc>
        <w:tc>
          <w:tcPr>
            <w:tcW w:w="34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14.2</w:t>
            </w:r>
          </w:p>
        </w:tc>
        <w:tc>
          <w:tcPr>
            <w:tcW w:w="32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(12.5 )</w:t>
            </w:r>
          </w:p>
        </w:tc>
        <w:tc>
          <w:tcPr>
            <w:tcW w:w="400" w:type="dxa"/>
            <w:vAlign w:val="bottom"/>
            <w:tcBorders>
              <w:bottom w:val="single" w:sz="8" w:color="E5F1F8"/>
            </w:tcBorders>
            <w:shd w:val="clear" w:color="auto" w:fill="E5F1F8"/>
          </w:tcPr>
          <w:p>
            <w:pPr>
              <w:spacing w:after="0"/>
              <w:rPr>
                <w:sz w:val="19"/>
                <w:szCs w:val="19"/>
                <w:color w:val="auto"/>
              </w:rPr>
            </w:pPr>
          </w:p>
        </w:tc>
        <w:tc>
          <w:tcPr>
            <w:tcW w:w="12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40" w:type="dxa"/>
            <w:vAlign w:val="bottom"/>
          </w:tcPr>
          <w:p>
            <w:pPr>
              <w:ind w:left="120"/>
              <w:spacing w:after="0" w:line="215" w:lineRule="exact"/>
              <w:rPr>
                <w:sz w:val="20"/>
                <w:szCs w:val="20"/>
                <w:color w:val="auto"/>
              </w:rPr>
            </w:pPr>
            <w:r>
              <w:rPr>
                <w:rFonts w:ascii="Calibri" w:cs="Calibri" w:eastAsia="Calibri" w:hAnsi="Calibri"/>
                <w:sz w:val="18"/>
                <w:szCs w:val="18"/>
                <w:color w:val="auto"/>
              </w:rPr>
              <w:t>Trade names</w:t>
            </w:r>
          </w:p>
        </w:tc>
        <w:tc>
          <w:tcPr>
            <w:tcW w:w="340" w:type="dxa"/>
            <w:vAlign w:val="bottom"/>
          </w:tcPr>
          <w:p>
            <w:pPr>
              <w:spacing w:after="0"/>
              <w:rPr>
                <w:sz w:val="18"/>
                <w:szCs w:val="18"/>
                <w:color w:val="auto"/>
              </w:rPr>
            </w:pPr>
          </w:p>
        </w:tc>
        <w:tc>
          <w:tcPr>
            <w:tcW w:w="136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23.3</w:t>
            </w:r>
          </w:p>
        </w:tc>
        <w:tc>
          <w:tcPr>
            <w:tcW w:w="32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(15.9 )</w:t>
            </w:r>
          </w:p>
        </w:tc>
        <w:tc>
          <w:tcPr>
            <w:tcW w:w="400" w:type="dxa"/>
            <w:vAlign w:val="bottom"/>
          </w:tcPr>
          <w:p>
            <w:pPr>
              <w:spacing w:after="0"/>
              <w:rPr>
                <w:sz w:val="18"/>
                <w:szCs w:val="18"/>
                <w:color w:val="auto"/>
              </w:rPr>
            </w:pPr>
          </w:p>
        </w:tc>
        <w:tc>
          <w:tcPr>
            <w:tcW w:w="12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624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34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831.8</w:t>
            </w:r>
          </w:p>
        </w:tc>
        <w:tc>
          <w:tcPr>
            <w:tcW w:w="32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(168.2 )</w:t>
            </w:r>
          </w:p>
        </w:tc>
        <w:tc>
          <w:tcPr>
            <w:tcW w:w="400" w:type="dxa"/>
            <w:vAlign w:val="bottom"/>
            <w:tcBorders>
              <w:bottom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663.6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2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007CBA"/>
              <w:right w:val="single" w:sz="8" w:color="007CBA"/>
            </w:tcBorders>
            <w:shd w:val="clear" w:color="auto" w:fill="007CBA"/>
          </w:tcPr>
          <w:p>
            <w:pPr>
              <w:spacing w:after="0"/>
              <w:rPr>
                <w:sz w:val="19"/>
                <w:szCs w:val="19"/>
                <w:color w:val="auto"/>
              </w:rPr>
            </w:pPr>
          </w:p>
        </w:tc>
        <w:tc>
          <w:tcPr>
            <w:tcW w:w="340" w:type="dxa"/>
            <w:vAlign w:val="bottom"/>
            <w:tcBorders>
              <w:bottom w:val="single" w:sz="8" w:color="007CBA"/>
            </w:tcBorders>
            <w:shd w:val="clear" w:color="auto" w:fill="007CBA"/>
          </w:tcPr>
          <w:p>
            <w:pPr>
              <w:spacing w:after="0"/>
              <w:rPr>
                <w:sz w:val="19"/>
                <w:szCs w:val="19"/>
                <w:color w:val="auto"/>
              </w:rPr>
            </w:pPr>
          </w:p>
        </w:tc>
        <w:tc>
          <w:tcPr>
            <w:tcW w:w="1360" w:type="dxa"/>
            <w:vAlign w:val="bottom"/>
            <w:tcBorders>
              <w:bottom w:val="single" w:sz="8" w:color="007CBA"/>
              <w:right w:val="single" w:sz="8" w:color="007CBA"/>
            </w:tcBorders>
            <w:shd w:val="clear" w:color="auto" w:fill="007CBA"/>
          </w:tcPr>
          <w:p>
            <w:pPr>
              <w:spacing w:after="0"/>
              <w:rPr>
                <w:sz w:val="19"/>
                <w:szCs w:val="19"/>
                <w:color w:val="auto"/>
              </w:rPr>
            </w:pPr>
          </w:p>
        </w:tc>
        <w:tc>
          <w:tcPr>
            <w:tcW w:w="320" w:type="dxa"/>
            <w:vAlign w:val="bottom"/>
            <w:tcBorders>
              <w:bottom w:val="single" w:sz="8" w:color="007CBA"/>
            </w:tcBorders>
            <w:shd w:val="clear" w:color="auto" w:fill="007CBA"/>
          </w:tcPr>
          <w:p>
            <w:pPr>
              <w:spacing w:after="0"/>
              <w:rPr>
                <w:sz w:val="19"/>
                <w:szCs w:val="19"/>
                <w:color w:val="auto"/>
              </w:rPr>
            </w:pPr>
          </w:p>
        </w:tc>
        <w:tc>
          <w:tcPr>
            <w:tcW w:w="1340" w:type="dxa"/>
            <w:vAlign w:val="bottom"/>
            <w:tcBorders>
              <w:bottom w:val="single" w:sz="8" w:color="007CBA"/>
              <w:right w:val="single" w:sz="8" w:color="007CBA"/>
            </w:tcBorders>
            <w:shd w:val="clear" w:color="auto" w:fill="007CBA"/>
          </w:tcPr>
          <w:p>
            <w:pPr>
              <w:jc w:val="center"/>
              <w:ind w:right="230"/>
              <w:spacing w:after="0" w:line="215" w:lineRule="exact"/>
              <w:rPr>
                <w:sz w:val="20"/>
                <w:szCs w:val="20"/>
                <w:color w:val="auto"/>
              </w:rPr>
            </w:pPr>
            <w:r>
              <w:rPr>
                <w:rFonts w:ascii="Calibri" w:cs="Calibri" w:eastAsia="Calibri" w:hAnsi="Calibri"/>
                <w:sz w:val="18"/>
                <w:szCs w:val="18"/>
                <w:color w:val="FFFFFF"/>
                <w:w w:val="93"/>
              </w:rPr>
              <w:t>2022</w:t>
            </w:r>
          </w:p>
        </w:tc>
        <w:tc>
          <w:tcPr>
            <w:tcW w:w="400" w:type="dxa"/>
            <w:vAlign w:val="bottom"/>
            <w:tcBorders>
              <w:bottom w:val="single" w:sz="8" w:color="007CBA"/>
            </w:tcBorders>
            <w:shd w:val="clear" w:color="auto" w:fill="007CBA"/>
          </w:tcPr>
          <w:p>
            <w:pPr>
              <w:spacing w:after="0"/>
              <w:rPr>
                <w:sz w:val="19"/>
                <w:szCs w:val="19"/>
                <w:color w:val="auto"/>
              </w:rPr>
            </w:pPr>
          </w:p>
        </w:tc>
        <w:tc>
          <w:tcPr>
            <w:tcW w:w="1240" w:type="dxa"/>
            <w:vAlign w:val="bottom"/>
            <w:tcBorders>
              <w:bottom w:val="single" w:sz="8" w:color="007CBA"/>
            </w:tcBorders>
            <w:shd w:val="clear" w:color="auto" w:fill="007CBA"/>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Noncompetton agreements</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4.1</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3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(4.0 )</w:t>
            </w:r>
          </w:p>
        </w:tc>
        <w:tc>
          <w:tcPr>
            <w:tcW w:w="4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40" w:type="dxa"/>
            <w:vAlign w:val="bottom"/>
            <w:tcBorders>
              <w:right w:val="single" w:sz="8" w:color="007CBA"/>
            </w:tcBorders>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Borders>
              <w:right w:val="single" w:sz="8" w:color="007CBA"/>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Customer relatonships</w:t>
            </w:r>
          </w:p>
        </w:tc>
        <w:tc>
          <w:tcPr>
            <w:tcW w:w="34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423.7</w:t>
            </w:r>
          </w:p>
        </w:tc>
        <w:tc>
          <w:tcPr>
            <w:tcW w:w="32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(62.7 )</w:t>
            </w:r>
          </w:p>
        </w:tc>
        <w:tc>
          <w:tcPr>
            <w:tcW w:w="400" w:type="dxa"/>
            <w:vAlign w:val="bottom"/>
            <w:tcBorders>
              <w:bottom w:val="single" w:sz="8" w:color="E5F1F8"/>
            </w:tcBorders>
            <w:shd w:val="clear" w:color="auto" w:fill="E5F1F8"/>
          </w:tcPr>
          <w:p>
            <w:pPr>
              <w:spacing w:after="0"/>
              <w:rPr>
                <w:sz w:val="19"/>
                <w:szCs w:val="19"/>
                <w:color w:val="auto"/>
              </w:rPr>
            </w:pPr>
          </w:p>
        </w:tc>
        <w:tc>
          <w:tcPr>
            <w:tcW w:w="12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361.0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permits</w:t>
            </w:r>
          </w:p>
        </w:tc>
        <w:tc>
          <w:tcPr>
            <w:tcW w:w="340" w:type="dxa"/>
            <w:vAlign w:val="bottom"/>
          </w:tcPr>
          <w:p>
            <w:pPr>
              <w:spacing w:after="0"/>
              <w:rPr>
                <w:sz w:val="18"/>
                <w:szCs w:val="18"/>
                <w:color w:val="auto"/>
              </w:rPr>
            </w:pPr>
          </w:p>
        </w:tc>
        <w:tc>
          <w:tcPr>
            <w:tcW w:w="13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502.2</w:t>
            </w:r>
          </w:p>
        </w:tc>
        <w:tc>
          <w:tcPr>
            <w:tcW w:w="320" w:type="dxa"/>
            <w:vAlign w:val="bottom"/>
          </w:tcPr>
          <w:p>
            <w:pPr>
              <w:spacing w:after="0"/>
              <w:rPr>
                <w:sz w:val="18"/>
                <w:szCs w:val="18"/>
                <w:color w:val="auto"/>
              </w:rPr>
            </w:pPr>
          </w:p>
        </w:tc>
        <w:tc>
          <w:tcPr>
            <w:tcW w:w="13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(61.4 )</w:t>
            </w:r>
          </w:p>
        </w:tc>
        <w:tc>
          <w:tcPr>
            <w:tcW w:w="400" w:type="dxa"/>
            <w:vAlign w:val="bottom"/>
          </w:tcPr>
          <w:p>
            <w:pPr>
              <w:spacing w:after="0"/>
              <w:rPr>
                <w:sz w:val="18"/>
                <w:szCs w:val="18"/>
                <w:color w:val="auto"/>
              </w:rPr>
            </w:pPr>
          </w:p>
        </w:tc>
        <w:tc>
          <w:tcPr>
            <w:tcW w:w="1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40" w:type="dxa"/>
            <w:vAlign w:val="bottom"/>
            <w:tcBorders>
              <w:right w:val="single" w:sz="8" w:color="007CBA"/>
            </w:tcBorders>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Borders>
              <w:right w:val="single" w:sz="8" w:color="007CBA"/>
            </w:tcBorders>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Use rights and other</w:t>
            </w:r>
          </w:p>
        </w:tc>
        <w:tc>
          <w:tcPr>
            <w:tcW w:w="34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13.9</w:t>
            </w:r>
          </w:p>
        </w:tc>
        <w:tc>
          <w:tcPr>
            <w:tcW w:w="32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(12.4 )</w:t>
            </w:r>
          </w:p>
        </w:tc>
        <w:tc>
          <w:tcPr>
            <w:tcW w:w="400" w:type="dxa"/>
            <w:vAlign w:val="bottom"/>
            <w:tcBorders>
              <w:bottom w:val="single" w:sz="8" w:color="E5F1F8"/>
            </w:tcBorders>
            <w:shd w:val="clear" w:color="auto" w:fill="E5F1F8"/>
          </w:tcPr>
          <w:p>
            <w:pPr>
              <w:spacing w:after="0"/>
              <w:rPr>
                <w:sz w:val="19"/>
                <w:szCs w:val="19"/>
                <w:color w:val="auto"/>
              </w:rPr>
            </w:pPr>
          </w:p>
        </w:tc>
        <w:tc>
          <w:tcPr>
            <w:tcW w:w="12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240" w:type="dxa"/>
            <w:vAlign w:val="bottom"/>
          </w:tcPr>
          <w:p>
            <w:pPr>
              <w:ind w:left="120"/>
              <w:spacing w:after="0" w:line="215" w:lineRule="exact"/>
              <w:rPr>
                <w:sz w:val="20"/>
                <w:szCs w:val="20"/>
                <w:color w:val="auto"/>
              </w:rPr>
            </w:pPr>
            <w:r>
              <w:rPr>
                <w:rFonts w:ascii="Calibri" w:cs="Calibri" w:eastAsia="Calibri" w:hAnsi="Calibri"/>
                <w:sz w:val="18"/>
                <w:szCs w:val="18"/>
                <w:color w:val="auto"/>
              </w:rPr>
              <w:t>Trade names</w:t>
            </w:r>
          </w:p>
        </w:tc>
        <w:tc>
          <w:tcPr>
            <w:tcW w:w="340" w:type="dxa"/>
            <w:vAlign w:val="bottom"/>
          </w:tcPr>
          <w:p>
            <w:pPr>
              <w:spacing w:after="0"/>
              <w:rPr>
                <w:sz w:val="18"/>
                <w:szCs w:val="18"/>
                <w:color w:val="auto"/>
              </w:rPr>
            </w:pPr>
          </w:p>
        </w:tc>
        <w:tc>
          <w:tcPr>
            <w:tcW w:w="13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23.3</w:t>
            </w:r>
          </w:p>
        </w:tc>
        <w:tc>
          <w:tcPr>
            <w:tcW w:w="32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(14.7 )</w:t>
            </w:r>
          </w:p>
        </w:tc>
        <w:tc>
          <w:tcPr>
            <w:tcW w:w="400" w:type="dxa"/>
            <w:vAlign w:val="bottom"/>
          </w:tcPr>
          <w:p>
            <w:pPr>
              <w:spacing w:after="0"/>
              <w:rPr>
                <w:sz w:val="18"/>
                <w:szCs w:val="18"/>
                <w:color w:val="auto"/>
              </w:rPr>
            </w:pPr>
          </w:p>
        </w:tc>
        <w:tc>
          <w:tcPr>
            <w:tcW w:w="1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24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34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w:t>
            </w:r>
          </w:p>
        </w:tc>
        <w:tc>
          <w:tcPr>
            <w:tcW w:w="13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967.2</w:t>
            </w:r>
          </w:p>
        </w:tc>
        <w:tc>
          <w:tcPr>
            <w:tcW w:w="32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w:t>
            </w:r>
          </w:p>
        </w:tc>
        <w:tc>
          <w:tcPr>
            <w:tcW w:w="134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(155.2 )</w:t>
            </w:r>
          </w:p>
        </w:tc>
        <w:tc>
          <w:tcPr>
            <w:tcW w:w="400" w:type="dxa"/>
            <w:vAlign w:val="bottom"/>
            <w:tcBorders>
              <w:bottom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812.0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-2390775</wp:posOffset>
            </wp:positionV>
            <wp:extent cx="31800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3180080" cy="8255"/>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-1623695</wp:posOffset>
            </wp:positionV>
            <wp:extent cx="33655" cy="3683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-1623695</wp:posOffset>
            </wp:positionV>
            <wp:extent cx="33655" cy="3683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-1623695</wp:posOffset>
            </wp:positionV>
            <wp:extent cx="33655" cy="3683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-354965</wp:posOffset>
            </wp:positionV>
            <wp:extent cx="33655" cy="3683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-354965</wp:posOffset>
            </wp:positionV>
            <wp:extent cx="33655" cy="3683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6069965</wp:posOffset>
            </wp:positionH>
            <wp:positionV relativeFrom="paragraph">
              <wp:posOffset>-354965</wp:posOffset>
            </wp:positionV>
            <wp:extent cx="33655" cy="3683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color w:val="auto"/>
        </w:rPr>
        <w:t>Intangible assets deemed to have an indefnite life that are therefore not amortzed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60" w:type="dxa"/>
            <w:vAlign w:val="bottom"/>
            <w:tcBorders>
              <w:right w:val="single" w:sz="8" w:color="007CBA"/>
            </w:tcBorders>
            <w:shd w:val="clear" w:color="auto" w:fill="007CBA"/>
          </w:tcPr>
          <w:p>
            <w:pPr>
              <w:spacing w:after="0"/>
              <w:rPr>
                <w:sz w:val="19"/>
                <w:szCs w:val="19"/>
                <w:color w:val="auto"/>
              </w:rPr>
            </w:pPr>
          </w:p>
        </w:tc>
        <w:tc>
          <w:tcPr>
            <w:tcW w:w="1220" w:type="dxa"/>
            <w:vAlign w:val="bottom"/>
            <w:shd w:val="clear" w:color="auto" w:fill="007CBA"/>
          </w:tcPr>
          <w:p>
            <w:pPr>
              <w:jc w:val="center"/>
              <w:ind w:left="410"/>
              <w:spacing w:after="0"/>
              <w:rPr>
                <w:sz w:val="20"/>
                <w:szCs w:val="20"/>
                <w:color w:val="auto"/>
              </w:rPr>
            </w:pPr>
            <w:r>
              <w:rPr>
                <w:rFonts w:ascii="Calibri" w:cs="Calibri" w:eastAsia="Calibri" w:hAnsi="Calibri"/>
                <w:sz w:val="18"/>
                <w:szCs w:val="18"/>
                <w:b w:val="1"/>
                <w:bCs w:val="1"/>
                <w:color w:val="FFFFFF"/>
                <w:w w:val="98"/>
              </w:rPr>
              <w:t>Building</w:t>
            </w:r>
          </w:p>
        </w:tc>
        <w:tc>
          <w:tcPr>
            <w:tcW w:w="46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30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60" w:type="dxa"/>
            <w:vAlign w:val="bottom"/>
            <w:shd w:val="clear" w:color="auto" w:fill="007CBA"/>
          </w:tcPr>
          <w:p>
            <w:pPr>
              <w:spacing w:after="0"/>
              <w:rPr>
                <w:sz w:val="19"/>
                <w:szCs w:val="19"/>
                <w:color w:val="auto"/>
              </w:rPr>
            </w:pPr>
          </w:p>
        </w:tc>
      </w:tr>
      <w:tr>
        <w:trPr>
          <w:trHeight w:val="215"/>
        </w:trPr>
        <w:tc>
          <w:tcPr>
            <w:tcW w:w="6260" w:type="dxa"/>
            <w:vAlign w:val="bottom"/>
            <w:tcBorders>
              <w:right w:val="single" w:sz="8" w:color="007CBA"/>
            </w:tcBorders>
            <w:shd w:val="clear" w:color="auto" w:fill="007CBA"/>
          </w:tcPr>
          <w:p>
            <w:pPr>
              <w:spacing w:after="0"/>
              <w:rPr>
                <w:sz w:val="18"/>
                <w:szCs w:val="18"/>
                <w:color w:val="auto"/>
              </w:rPr>
            </w:pPr>
          </w:p>
        </w:tc>
        <w:tc>
          <w:tcPr>
            <w:tcW w:w="1220" w:type="dxa"/>
            <w:vAlign w:val="bottom"/>
            <w:shd w:val="clear" w:color="auto" w:fill="007CBA"/>
          </w:tcPr>
          <w:p>
            <w:pPr>
              <w:jc w:val="center"/>
              <w:ind w:left="410"/>
              <w:spacing w:after="0" w:line="215" w:lineRule="exact"/>
              <w:rPr>
                <w:sz w:val="20"/>
                <w:szCs w:val="20"/>
                <w:color w:val="auto"/>
              </w:rPr>
            </w:pPr>
            <w:r>
              <w:rPr>
                <w:rFonts w:ascii="Calibri" w:cs="Calibri" w:eastAsia="Calibri" w:hAnsi="Calibri"/>
                <w:sz w:val="18"/>
                <w:szCs w:val="18"/>
                <w:b w:val="1"/>
                <w:bCs w:val="1"/>
                <w:color w:val="FFFFFF"/>
                <w:w w:val="95"/>
              </w:rPr>
              <w:t>Materials</w:t>
            </w:r>
          </w:p>
        </w:tc>
        <w:tc>
          <w:tcPr>
            <w:tcW w:w="460" w:type="dxa"/>
            <w:vAlign w:val="bottom"/>
            <w:tcBorders>
              <w:right w:val="single" w:sz="8" w:color="007CBA"/>
            </w:tcBorders>
            <w:shd w:val="clear" w:color="auto" w:fill="007CBA"/>
          </w:tcPr>
          <w:p>
            <w:pPr>
              <w:spacing w:after="0"/>
              <w:rPr>
                <w:sz w:val="18"/>
                <w:szCs w:val="18"/>
                <w:color w:val="auto"/>
              </w:rPr>
            </w:pPr>
          </w:p>
        </w:tc>
        <w:tc>
          <w:tcPr>
            <w:tcW w:w="380" w:type="dxa"/>
            <w:vAlign w:val="bottom"/>
            <w:shd w:val="clear" w:color="auto" w:fill="007CBA"/>
          </w:tcPr>
          <w:p>
            <w:pPr>
              <w:spacing w:after="0"/>
              <w:rPr>
                <w:sz w:val="18"/>
                <w:szCs w:val="18"/>
                <w:color w:val="auto"/>
              </w:rPr>
            </w:pPr>
          </w:p>
        </w:tc>
        <w:tc>
          <w:tcPr>
            <w:tcW w:w="1300" w:type="dxa"/>
            <w:vAlign w:val="bottom"/>
            <w:tcBorders>
              <w:right w:val="single" w:sz="8" w:color="007CBA"/>
            </w:tcBorders>
            <w:shd w:val="clear" w:color="auto" w:fill="007CBA"/>
          </w:tcPr>
          <w:p>
            <w:pPr>
              <w:jc w:val="right"/>
              <w:ind w:right="370"/>
              <w:spacing w:after="0" w:line="215" w:lineRule="exact"/>
              <w:rPr>
                <w:sz w:val="20"/>
                <w:szCs w:val="20"/>
                <w:color w:val="auto"/>
              </w:rPr>
            </w:pPr>
            <w:r>
              <w:rPr>
                <w:rFonts w:ascii="Calibri" w:cs="Calibri" w:eastAsia="Calibri" w:hAnsi="Calibri"/>
                <w:sz w:val="18"/>
                <w:szCs w:val="18"/>
                <w:b w:val="1"/>
                <w:bCs w:val="1"/>
                <w:color w:val="FFFFFF"/>
              </w:rPr>
              <w:t>Magnesia</w:t>
            </w:r>
          </w:p>
        </w:tc>
        <w:tc>
          <w:tcPr>
            <w:tcW w:w="460" w:type="dxa"/>
            <w:vAlign w:val="bottom"/>
            <w:shd w:val="clear" w:color="auto" w:fill="007CBA"/>
          </w:tcPr>
          <w:p>
            <w:pPr>
              <w:spacing w:after="0"/>
              <w:rPr>
                <w:sz w:val="18"/>
                <w:szCs w:val="18"/>
                <w:color w:val="auto"/>
              </w:rPr>
            </w:pPr>
          </w:p>
        </w:tc>
        <w:tc>
          <w:tcPr>
            <w:tcW w:w="1160" w:type="dxa"/>
            <w:vAlign w:val="bottom"/>
            <w:shd w:val="clear" w:color="auto" w:fill="007CBA"/>
          </w:tcPr>
          <w:p>
            <w:pPr>
              <w:spacing w:after="0"/>
              <w:rPr>
                <w:sz w:val="18"/>
                <w:szCs w:val="18"/>
                <w:color w:val="auto"/>
              </w:rPr>
            </w:pPr>
          </w:p>
        </w:tc>
      </w:tr>
      <w:tr>
        <w:trPr>
          <w:trHeight w:val="230"/>
        </w:trPr>
        <w:tc>
          <w:tcPr>
            <w:tcW w:w="62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1220" w:type="dxa"/>
            <w:vAlign w:val="bottom"/>
            <w:shd w:val="clear" w:color="auto" w:fill="007CBA"/>
          </w:tcPr>
          <w:p>
            <w:pPr>
              <w:jc w:val="center"/>
              <w:ind w:left="410"/>
              <w:spacing w:after="0" w:line="216" w:lineRule="exact"/>
              <w:rPr>
                <w:sz w:val="20"/>
                <w:szCs w:val="20"/>
                <w:color w:val="auto"/>
              </w:rPr>
            </w:pPr>
            <w:r>
              <w:rPr>
                <w:rFonts w:ascii="Calibri" w:cs="Calibri" w:eastAsia="Calibri" w:hAnsi="Calibri"/>
                <w:sz w:val="18"/>
                <w:szCs w:val="18"/>
                <w:b w:val="1"/>
                <w:bCs w:val="1"/>
                <w:color w:val="FFFFFF"/>
                <w:w w:val="99"/>
              </w:rPr>
              <w:t>Business</w:t>
            </w:r>
          </w:p>
        </w:tc>
        <w:tc>
          <w:tcPr>
            <w:tcW w:w="460" w:type="dxa"/>
            <w:vAlign w:val="bottom"/>
            <w:tcBorders>
              <w:right w:val="single" w:sz="8" w:color="007CBA"/>
            </w:tcBorders>
            <w:shd w:val="clear" w:color="auto" w:fill="007CBA"/>
          </w:tcPr>
          <w:p>
            <w:pPr>
              <w:spacing w:after="0"/>
              <w:rPr>
                <w:sz w:val="19"/>
                <w:szCs w:val="19"/>
                <w:color w:val="auto"/>
              </w:rPr>
            </w:pPr>
          </w:p>
        </w:tc>
        <w:tc>
          <w:tcPr>
            <w:tcW w:w="380" w:type="dxa"/>
            <w:vAlign w:val="bottom"/>
            <w:shd w:val="clear" w:color="auto" w:fill="007CBA"/>
          </w:tcPr>
          <w:p>
            <w:pPr>
              <w:spacing w:after="0"/>
              <w:rPr>
                <w:sz w:val="19"/>
                <w:szCs w:val="19"/>
                <w:color w:val="auto"/>
              </w:rPr>
            </w:pPr>
          </w:p>
        </w:tc>
        <w:tc>
          <w:tcPr>
            <w:tcW w:w="1300" w:type="dxa"/>
            <w:vAlign w:val="bottom"/>
            <w:tcBorders>
              <w:right w:val="single" w:sz="8" w:color="007CBA"/>
            </w:tcBorders>
            <w:shd w:val="clear" w:color="auto" w:fill="007CBA"/>
          </w:tcPr>
          <w:p>
            <w:pPr>
              <w:jc w:val="right"/>
              <w:ind w:right="330"/>
              <w:spacing w:after="0" w:line="216" w:lineRule="exact"/>
              <w:rPr>
                <w:sz w:val="20"/>
                <w:szCs w:val="20"/>
                <w:color w:val="auto"/>
              </w:rPr>
            </w:pPr>
            <w:r>
              <w:rPr>
                <w:rFonts w:ascii="Calibri" w:cs="Calibri" w:eastAsia="Calibri" w:hAnsi="Calibri"/>
                <w:sz w:val="18"/>
                <w:szCs w:val="18"/>
                <w:b w:val="1"/>
                <w:bCs w:val="1"/>
                <w:color w:val="FFFFFF"/>
              </w:rPr>
              <w:t>Specialtes</w:t>
            </w:r>
          </w:p>
        </w:tc>
        <w:tc>
          <w:tcPr>
            <w:tcW w:w="460" w:type="dxa"/>
            <w:vAlign w:val="bottom"/>
            <w:shd w:val="clear" w:color="auto" w:fill="007CBA"/>
          </w:tcPr>
          <w:p>
            <w:pPr>
              <w:spacing w:after="0"/>
              <w:rPr>
                <w:sz w:val="19"/>
                <w:szCs w:val="19"/>
                <w:color w:val="auto"/>
              </w:rPr>
            </w:pPr>
          </w:p>
        </w:tc>
        <w:tc>
          <w:tcPr>
            <w:tcW w:w="1160" w:type="dxa"/>
            <w:vAlign w:val="bottom"/>
            <w:shd w:val="clear" w:color="auto" w:fill="007CBA"/>
          </w:tcPr>
          <w:p>
            <w:pPr>
              <w:jc w:val="right"/>
              <w:ind w:right="530"/>
              <w:spacing w:after="0" w:line="216" w:lineRule="exact"/>
              <w:rPr>
                <w:sz w:val="20"/>
                <w:szCs w:val="20"/>
                <w:color w:val="auto"/>
              </w:rPr>
            </w:pPr>
            <w:r>
              <w:rPr>
                <w:rFonts w:ascii="Calibri" w:cs="Calibri" w:eastAsia="Calibri" w:hAnsi="Calibri"/>
                <w:sz w:val="18"/>
                <w:szCs w:val="18"/>
                <w:b w:val="1"/>
                <w:bCs w:val="1"/>
                <w:color w:val="FFFFFF"/>
              </w:rPr>
              <w:t>Total</w:t>
            </w:r>
          </w:p>
        </w:tc>
      </w:tr>
      <w:tr>
        <w:trPr>
          <w:trHeight w:val="260"/>
        </w:trPr>
        <w:tc>
          <w:tcPr>
            <w:tcW w:w="626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220" w:type="dxa"/>
            <w:vAlign w:val="bottom"/>
            <w:tcBorders>
              <w:bottom w:val="single" w:sz="8" w:color="007CBA"/>
            </w:tcBorders>
            <w:shd w:val="clear" w:color="auto" w:fill="007CBA"/>
          </w:tcPr>
          <w:p>
            <w:pPr>
              <w:spacing w:after="0"/>
              <w:rPr>
                <w:sz w:val="22"/>
                <w:szCs w:val="22"/>
                <w:color w:val="auto"/>
              </w:rPr>
            </w:pPr>
          </w:p>
        </w:tc>
        <w:tc>
          <w:tcPr>
            <w:tcW w:w="460" w:type="dxa"/>
            <w:vAlign w:val="bottom"/>
            <w:tcBorders>
              <w:bottom w:val="single" w:sz="8" w:color="007CBA"/>
              <w:right w:val="single" w:sz="8" w:color="007CBA"/>
            </w:tcBorders>
            <w:shd w:val="clear" w:color="auto" w:fill="007CBA"/>
          </w:tcPr>
          <w:p>
            <w:pPr>
              <w:spacing w:after="0"/>
              <w:rPr>
                <w:sz w:val="22"/>
                <w:szCs w:val="22"/>
                <w:color w:val="auto"/>
              </w:rPr>
            </w:pPr>
          </w:p>
        </w:tc>
        <w:tc>
          <w:tcPr>
            <w:tcW w:w="380" w:type="dxa"/>
            <w:vAlign w:val="bottom"/>
            <w:tcBorders>
              <w:bottom w:val="single" w:sz="8" w:color="007CBA"/>
            </w:tcBorders>
            <w:shd w:val="clear" w:color="auto" w:fill="007CBA"/>
          </w:tcPr>
          <w:p>
            <w:pPr>
              <w:spacing w:after="0"/>
              <w:rPr>
                <w:sz w:val="22"/>
                <w:szCs w:val="22"/>
                <w:color w:val="auto"/>
              </w:rPr>
            </w:pPr>
          </w:p>
        </w:tc>
        <w:tc>
          <w:tcPr>
            <w:tcW w:w="1300" w:type="dxa"/>
            <w:vAlign w:val="bottom"/>
            <w:tcBorders>
              <w:bottom w:val="single" w:sz="8" w:color="007CBA"/>
              <w:right w:val="single" w:sz="8" w:color="007CBA"/>
            </w:tcBorders>
            <w:shd w:val="clear" w:color="auto" w:fill="007CBA"/>
          </w:tcPr>
          <w:p>
            <w:pPr>
              <w:jc w:val="right"/>
              <w:ind w:right="570"/>
              <w:spacing w:after="0"/>
              <w:rPr>
                <w:sz w:val="20"/>
                <w:szCs w:val="20"/>
                <w:color w:val="auto"/>
              </w:rPr>
            </w:pPr>
            <w:r>
              <w:rPr>
                <w:rFonts w:ascii="Calibri" w:cs="Calibri" w:eastAsia="Calibri" w:hAnsi="Calibri"/>
                <w:sz w:val="18"/>
                <w:szCs w:val="18"/>
                <w:b w:val="1"/>
                <w:bCs w:val="1"/>
                <w:color w:val="FFFFFF"/>
              </w:rPr>
              <w:t>2023</w:t>
            </w:r>
          </w:p>
        </w:tc>
        <w:tc>
          <w:tcPr>
            <w:tcW w:w="460" w:type="dxa"/>
            <w:vAlign w:val="bottom"/>
            <w:tcBorders>
              <w:bottom w:val="single" w:sz="8" w:color="007CBA"/>
            </w:tcBorders>
            <w:shd w:val="clear" w:color="auto" w:fill="007CBA"/>
          </w:tcPr>
          <w:p>
            <w:pPr>
              <w:spacing w:after="0"/>
              <w:rPr>
                <w:sz w:val="22"/>
                <w:szCs w:val="22"/>
                <w:color w:val="auto"/>
              </w:rPr>
            </w:pPr>
          </w:p>
        </w:tc>
        <w:tc>
          <w:tcPr>
            <w:tcW w:w="1160" w:type="dxa"/>
            <w:vAlign w:val="bottom"/>
            <w:tcBorders>
              <w:bottom w:val="single" w:sz="8" w:color="007CBA"/>
            </w:tcBorders>
            <w:shd w:val="clear" w:color="auto" w:fill="007CBA"/>
          </w:tcPr>
          <w:p>
            <w:pPr>
              <w:spacing w:after="0"/>
              <w:rPr>
                <w:sz w:val="22"/>
                <w:szCs w:val="22"/>
                <w:color w:val="auto"/>
              </w:rPr>
            </w:pPr>
          </w:p>
        </w:tc>
      </w:tr>
      <w:tr>
        <w:trPr>
          <w:trHeight w:val="215"/>
        </w:trPr>
        <w:tc>
          <w:tcPr>
            <w:tcW w:w="62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permits</w:t>
            </w:r>
          </w:p>
        </w:tc>
        <w:tc>
          <w:tcPr>
            <w:tcW w:w="1220" w:type="dxa"/>
            <w:vAlign w:val="bottom"/>
          </w:tcPr>
          <w:p>
            <w:pPr>
              <w:jc w:val="right"/>
              <w:ind w:right="87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6.6</w:t>
            </w:r>
          </w:p>
        </w:tc>
        <w:tc>
          <w:tcPr>
            <w:tcW w:w="38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130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6.6</w:t>
            </w:r>
          </w:p>
        </w:tc>
      </w:tr>
      <w:tr>
        <w:trPr>
          <w:trHeight w:val="28"/>
        </w:trPr>
        <w:tc>
          <w:tcPr>
            <w:tcW w:w="6260" w:type="dxa"/>
            <w:vAlign w:val="bottom"/>
            <w:tcBorders>
              <w:right w:val="single" w:sz="8" w:color="007CBA"/>
            </w:tcBorders>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Borders>
              <w:right w:val="single" w:sz="8" w:color="007CBA"/>
            </w:tcBorders>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62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Use rights</w:t>
            </w:r>
          </w:p>
        </w:tc>
        <w:tc>
          <w:tcPr>
            <w:tcW w:w="1220" w:type="dxa"/>
            <w:vAlign w:val="bottom"/>
            <w:tcBorders>
              <w:bottom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w w:val="93"/>
              </w:rPr>
              <w:t>25.0</w:t>
            </w:r>
          </w:p>
        </w:tc>
        <w:tc>
          <w:tcPr>
            <w:tcW w:w="380" w:type="dxa"/>
            <w:vAlign w:val="bottom"/>
            <w:tcBorders>
              <w:bottom w:val="single" w:sz="8" w:color="E5F1F8"/>
            </w:tcBorders>
            <w:shd w:val="clear" w:color="auto" w:fill="E5F1F8"/>
          </w:tcPr>
          <w:p>
            <w:pPr>
              <w:spacing w:after="0"/>
              <w:rPr>
                <w:sz w:val="19"/>
                <w:szCs w:val="19"/>
                <w:color w:val="auto"/>
              </w:rPr>
            </w:pPr>
          </w:p>
        </w:tc>
        <w:tc>
          <w:tcPr>
            <w:tcW w:w="13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25.0</w:t>
            </w:r>
          </w:p>
        </w:tc>
      </w:tr>
      <w:tr>
        <w:trPr>
          <w:trHeight w:val="215"/>
        </w:trPr>
        <w:tc>
          <w:tcPr>
            <w:tcW w:w="6260" w:type="dxa"/>
            <w:vAlign w:val="bottom"/>
          </w:tcPr>
          <w:p>
            <w:pPr>
              <w:ind w:left="120"/>
              <w:spacing w:after="0" w:line="215" w:lineRule="exact"/>
              <w:rPr>
                <w:sz w:val="20"/>
                <w:szCs w:val="20"/>
                <w:color w:val="auto"/>
              </w:rPr>
            </w:pPr>
            <w:r>
              <w:rPr>
                <w:rFonts w:ascii="Calibri" w:cs="Calibri" w:eastAsia="Calibri" w:hAnsi="Calibri"/>
                <w:sz w:val="18"/>
                <w:szCs w:val="18"/>
                <w:color w:val="auto"/>
              </w:rPr>
              <w:t>Trade names</w:t>
            </w:r>
          </w:p>
        </w:tc>
        <w:tc>
          <w:tcPr>
            <w:tcW w:w="1220" w:type="dxa"/>
            <w:vAlign w:val="bottom"/>
          </w:tcPr>
          <w:p>
            <w:pPr>
              <w:spacing w:after="0"/>
              <w:rPr>
                <w:sz w:val="18"/>
                <w:szCs w:val="18"/>
                <w:color w:val="auto"/>
              </w:rPr>
            </w:pPr>
          </w:p>
        </w:tc>
        <w:tc>
          <w:tcPr>
            <w:tcW w:w="46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380" w:type="dxa"/>
            <w:vAlign w:val="bottom"/>
          </w:tcPr>
          <w:p>
            <w:pPr>
              <w:spacing w:after="0"/>
              <w:rPr>
                <w:sz w:val="18"/>
                <w:szCs w:val="18"/>
                <w:color w:val="auto"/>
              </w:rPr>
            </w:pPr>
          </w:p>
        </w:tc>
        <w:tc>
          <w:tcPr>
            <w:tcW w:w="130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2.5</w:t>
            </w:r>
          </w:p>
        </w:tc>
        <w:tc>
          <w:tcPr>
            <w:tcW w:w="46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2.5</w:t>
            </w:r>
          </w:p>
        </w:tc>
      </w:tr>
      <w:tr>
        <w:trPr>
          <w:trHeight w:val="28"/>
        </w:trPr>
        <w:tc>
          <w:tcPr>
            <w:tcW w:w="6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2"/>
        </w:trPr>
        <w:tc>
          <w:tcPr>
            <w:tcW w:w="626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220" w:type="dxa"/>
            <w:vAlign w:val="bottom"/>
            <w:tcBorders>
              <w:bottom w:val="single" w:sz="8" w:color="E5F1F8"/>
            </w:tcBorders>
            <w:shd w:val="clear" w:color="auto" w:fill="E5F1F8"/>
          </w:tcPr>
          <w:p>
            <w:pPr>
              <w:jc w:val="right"/>
              <w:ind w:right="870"/>
              <w:spacing w:after="0" w:line="208"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w w:val="93"/>
              </w:rPr>
              <w:t>31.6</w:t>
            </w:r>
          </w:p>
        </w:tc>
        <w:tc>
          <w:tcPr>
            <w:tcW w:w="380" w:type="dxa"/>
            <w:vAlign w:val="bottom"/>
            <w:tcBorders>
              <w:bottom w:val="single" w:sz="8" w:color="E5F1F8"/>
            </w:tcBorders>
            <w:shd w:val="clear" w:color="auto" w:fill="E5F1F8"/>
          </w:tcPr>
          <w:p>
            <w:pPr>
              <w:jc w:val="right"/>
              <w:ind w:right="10"/>
              <w:spacing w:after="0" w:line="208" w:lineRule="exact"/>
              <w:rPr>
                <w:sz w:val="20"/>
                <w:szCs w:val="20"/>
                <w:color w:val="auto"/>
              </w:rPr>
            </w:pPr>
            <w:r>
              <w:rPr>
                <w:rFonts w:ascii="Calibri" w:cs="Calibri" w:eastAsia="Calibri" w:hAnsi="Calibri"/>
                <w:sz w:val="18"/>
                <w:szCs w:val="18"/>
                <w:b w:val="1"/>
                <w:bCs w:val="1"/>
                <w:color w:val="auto"/>
              </w:rPr>
              <w:t>$</w:t>
            </w:r>
          </w:p>
        </w:tc>
        <w:tc>
          <w:tcPr>
            <w:tcW w:w="130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2.5</w:t>
            </w:r>
          </w:p>
        </w:tc>
        <w:tc>
          <w:tcPr>
            <w:tcW w:w="46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34.1</w:t>
            </w:r>
          </w:p>
        </w:tc>
      </w:tr>
      <w:tr>
        <w:trPr>
          <w:trHeight w:val="237"/>
        </w:trPr>
        <w:tc>
          <w:tcPr>
            <w:tcW w:w="6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23"/>
        </w:trPr>
        <w:tc>
          <w:tcPr>
            <w:tcW w:w="6260" w:type="dxa"/>
            <w:vAlign w:val="bottom"/>
            <w:tcBorders>
              <w:bottom w:val="single" w:sz="8" w:color="007CBA"/>
              <w:right w:val="single" w:sz="8" w:color="007CBA"/>
            </w:tcBorders>
            <w:shd w:val="clear" w:color="auto" w:fill="007CBA"/>
          </w:tcPr>
          <w:p>
            <w:pPr>
              <w:spacing w:after="0"/>
              <w:rPr>
                <w:sz w:val="19"/>
                <w:szCs w:val="19"/>
                <w:color w:val="auto"/>
              </w:rPr>
            </w:pPr>
          </w:p>
        </w:tc>
        <w:tc>
          <w:tcPr>
            <w:tcW w:w="1220" w:type="dxa"/>
            <w:vAlign w:val="bottom"/>
            <w:tcBorders>
              <w:bottom w:val="single" w:sz="8" w:color="007CBA"/>
            </w:tcBorders>
            <w:shd w:val="clear" w:color="auto" w:fill="007CBA"/>
          </w:tcPr>
          <w:p>
            <w:pPr>
              <w:spacing w:after="0"/>
              <w:rPr>
                <w:sz w:val="19"/>
                <w:szCs w:val="19"/>
                <w:color w:val="auto"/>
              </w:rPr>
            </w:pPr>
          </w:p>
        </w:tc>
        <w:tc>
          <w:tcPr>
            <w:tcW w:w="460" w:type="dxa"/>
            <w:vAlign w:val="bottom"/>
            <w:tcBorders>
              <w:bottom w:val="single" w:sz="8" w:color="007CBA"/>
              <w:right w:val="single" w:sz="8" w:color="007CBA"/>
            </w:tcBorders>
            <w:shd w:val="clear" w:color="auto" w:fill="007CBA"/>
          </w:tcPr>
          <w:p>
            <w:pPr>
              <w:spacing w:after="0"/>
              <w:rPr>
                <w:sz w:val="19"/>
                <w:szCs w:val="19"/>
                <w:color w:val="auto"/>
              </w:rPr>
            </w:pPr>
          </w:p>
        </w:tc>
        <w:tc>
          <w:tcPr>
            <w:tcW w:w="380" w:type="dxa"/>
            <w:vAlign w:val="bottom"/>
            <w:tcBorders>
              <w:bottom w:val="single" w:sz="8" w:color="007CBA"/>
            </w:tcBorders>
            <w:shd w:val="clear" w:color="auto" w:fill="007CBA"/>
          </w:tcPr>
          <w:p>
            <w:pPr>
              <w:spacing w:after="0"/>
              <w:rPr>
                <w:sz w:val="19"/>
                <w:szCs w:val="19"/>
                <w:color w:val="auto"/>
              </w:rPr>
            </w:pPr>
          </w:p>
        </w:tc>
        <w:tc>
          <w:tcPr>
            <w:tcW w:w="1300" w:type="dxa"/>
            <w:vAlign w:val="bottom"/>
            <w:tcBorders>
              <w:bottom w:val="single" w:sz="8" w:color="007CBA"/>
              <w:right w:val="single" w:sz="8" w:color="007CBA"/>
            </w:tcBorders>
            <w:shd w:val="clear" w:color="auto" w:fill="007CBA"/>
          </w:tcPr>
          <w:p>
            <w:pPr>
              <w:jc w:val="right"/>
              <w:ind w:right="570"/>
              <w:spacing w:after="0" w:line="215" w:lineRule="exact"/>
              <w:rPr>
                <w:sz w:val="20"/>
                <w:szCs w:val="20"/>
                <w:color w:val="auto"/>
              </w:rPr>
            </w:pPr>
            <w:r>
              <w:rPr>
                <w:rFonts w:ascii="Calibri" w:cs="Calibri" w:eastAsia="Calibri" w:hAnsi="Calibri"/>
                <w:sz w:val="18"/>
                <w:szCs w:val="18"/>
                <w:color w:val="FFFFFF"/>
              </w:rPr>
              <w:t>2022</w:t>
            </w:r>
          </w:p>
        </w:tc>
        <w:tc>
          <w:tcPr>
            <w:tcW w:w="460" w:type="dxa"/>
            <w:vAlign w:val="bottom"/>
            <w:tcBorders>
              <w:bottom w:val="single" w:sz="8" w:color="007CBA"/>
            </w:tcBorders>
            <w:shd w:val="clear" w:color="auto" w:fill="007CBA"/>
          </w:tcPr>
          <w:p>
            <w:pPr>
              <w:spacing w:after="0"/>
              <w:rPr>
                <w:sz w:val="19"/>
                <w:szCs w:val="19"/>
                <w:color w:val="auto"/>
              </w:rPr>
            </w:pPr>
          </w:p>
        </w:tc>
        <w:tc>
          <w:tcPr>
            <w:tcW w:w="1160" w:type="dxa"/>
            <w:vAlign w:val="bottom"/>
            <w:tcBorders>
              <w:bottom w:val="single" w:sz="8" w:color="007CBA"/>
            </w:tcBorders>
            <w:shd w:val="clear" w:color="auto" w:fill="007CBA"/>
          </w:tcPr>
          <w:p>
            <w:pPr>
              <w:spacing w:after="0"/>
              <w:rPr>
                <w:sz w:val="19"/>
                <w:szCs w:val="19"/>
                <w:color w:val="auto"/>
              </w:rPr>
            </w:pPr>
          </w:p>
        </w:tc>
      </w:tr>
      <w:tr>
        <w:trPr>
          <w:trHeight w:val="215"/>
        </w:trPr>
        <w:tc>
          <w:tcPr>
            <w:tcW w:w="62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permits</w:t>
            </w:r>
          </w:p>
        </w:tc>
        <w:tc>
          <w:tcPr>
            <w:tcW w:w="1220" w:type="dxa"/>
            <w:vAlign w:val="bottom"/>
          </w:tcPr>
          <w:p>
            <w:pPr>
              <w:jc w:val="right"/>
              <w:ind w:right="87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6.6</w:t>
            </w:r>
          </w:p>
        </w:tc>
        <w:tc>
          <w:tcPr>
            <w:tcW w:w="3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6.6</w:t>
            </w:r>
          </w:p>
        </w:tc>
      </w:tr>
      <w:tr>
        <w:trPr>
          <w:trHeight w:val="28"/>
        </w:trPr>
        <w:tc>
          <w:tcPr>
            <w:tcW w:w="6260" w:type="dxa"/>
            <w:vAlign w:val="bottom"/>
            <w:tcBorders>
              <w:right w:val="single" w:sz="8" w:color="007CBA"/>
            </w:tcBorders>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Borders>
              <w:right w:val="single" w:sz="8" w:color="007CBA"/>
            </w:tcBorders>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62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Use rights</w:t>
            </w:r>
          </w:p>
        </w:tc>
        <w:tc>
          <w:tcPr>
            <w:tcW w:w="1220" w:type="dxa"/>
            <w:vAlign w:val="bottom"/>
            <w:tcBorders>
              <w:bottom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w w:val="93"/>
              </w:rPr>
              <w:t>26.7</w:t>
            </w:r>
          </w:p>
        </w:tc>
        <w:tc>
          <w:tcPr>
            <w:tcW w:w="380" w:type="dxa"/>
            <w:vAlign w:val="bottom"/>
            <w:tcBorders>
              <w:bottom w:val="single" w:sz="8" w:color="E5F1F8"/>
            </w:tcBorders>
            <w:shd w:val="clear" w:color="auto" w:fill="E5F1F8"/>
          </w:tcPr>
          <w:p>
            <w:pPr>
              <w:spacing w:after="0"/>
              <w:rPr>
                <w:sz w:val="19"/>
                <w:szCs w:val="19"/>
                <w:color w:val="auto"/>
              </w:rPr>
            </w:pPr>
          </w:p>
        </w:tc>
        <w:tc>
          <w:tcPr>
            <w:tcW w:w="130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26.7</w:t>
            </w:r>
          </w:p>
        </w:tc>
      </w:tr>
      <w:tr>
        <w:trPr>
          <w:trHeight w:val="215"/>
        </w:trPr>
        <w:tc>
          <w:tcPr>
            <w:tcW w:w="6260" w:type="dxa"/>
            <w:vAlign w:val="bottom"/>
          </w:tcPr>
          <w:p>
            <w:pPr>
              <w:ind w:left="120"/>
              <w:spacing w:after="0" w:line="215" w:lineRule="exact"/>
              <w:rPr>
                <w:sz w:val="20"/>
                <w:szCs w:val="20"/>
                <w:color w:val="auto"/>
              </w:rPr>
            </w:pPr>
            <w:r>
              <w:rPr>
                <w:rFonts w:ascii="Calibri" w:cs="Calibri" w:eastAsia="Calibri" w:hAnsi="Calibri"/>
                <w:sz w:val="18"/>
                <w:szCs w:val="18"/>
                <w:color w:val="auto"/>
              </w:rPr>
              <w:t>Trade names</w:t>
            </w:r>
          </w:p>
        </w:tc>
        <w:tc>
          <w:tcPr>
            <w:tcW w:w="1220" w:type="dxa"/>
            <w:vAlign w:val="bottom"/>
          </w:tcPr>
          <w:p>
            <w:pPr>
              <w:spacing w:after="0"/>
              <w:rPr>
                <w:sz w:val="18"/>
                <w:szCs w:val="18"/>
                <w:color w:val="auto"/>
              </w:rPr>
            </w:pPr>
          </w:p>
        </w:tc>
        <w:tc>
          <w:tcPr>
            <w:tcW w:w="46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380" w:type="dxa"/>
            <w:vAlign w:val="bottom"/>
          </w:tcPr>
          <w:p>
            <w:pPr>
              <w:spacing w:after="0"/>
              <w:rPr>
                <w:sz w:val="18"/>
                <w:szCs w:val="18"/>
                <w:color w:val="auto"/>
              </w:rPr>
            </w:pPr>
          </w:p>
        </w:tc>
        <w:tc>
          <w:tcPr>
            <w:tcW w:w="130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2.5</w:t>
            </w:r>
          </w:p>
        </w:tc>
        <w:tc>
          <w:tcPr>
            <w:tcW w:w="46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2.5</w:t>
            </w:r>
          </w:p>
        </w:tc>
      </w:tr>
      <w:tr>
        <w:trPr>
          <w:trHeight w:val="28"/>
        </w:trPr>
        <w:tc>
          <w:tcPr>
            <w:tcW w:w="6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2"/>
        </w:trPr>
        <w:tc>
          <w:tcPr>
            <w:tcW w:w="626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220" w:type="dxa"/>
            <w:vAlign w:val="bottom"/>
            <w:tcBorders>
              <w:bottom w:val="single" w:sz="8" w:color="E5F1F8"/>
            </w:tcBorders>
            <w:shd w:val="clear" w:color="auto" w:fill="E5F1F8"/>
          </w:tcPr>
          <w:p>
            <w:pPr>
              <w:jc w:val="right"/>
              <w:ind w:right="870"/>
              <w:spacing w:after="0" w:line="208"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w w:val="93"/>
              </w:rPr>
              <w:t>33.3</w:t>
            </w:r>
          </w:p>
        </w:tc>
        <w:tc>
          <w:tcPr>
            <w:tcW w:w="380" w:type="dxa"/>
            <w:vAlign w:val="bottom"/>
            <w:tcBorders>
              <w:bottom w:val="single" w:sz="8" w:color="E5F1F8"/>
            </w:tcBorders>
            <w:shd w:val="clear" w:color="auto" w:fill="E5F1F8"/>
          </w:tcPr>
          <w:p>
            <w:pPr>
              <w:jc w:val="right"/>
              <w:ind w:right="10"/>
              <w:spacing w:after="0" w:line="208" w:lineRule="exact"/>
              <w:rPr>
                <w:sz w:val="20"/>
                <w:szCs w:val="20"/>
                <w:color w:val="auto"/>
              </w:rPr>
            </w:pPr>
            <w:r>
              <w:rPr>
                <w:rFonts w:ascii="Calibri" w:cs="Calibri" w:eastAsia="Calibri" w:hAnsi="Calibri"/>
                <w:sz w:val="18"/>
                <w:szCs w:val="18"/>
                <w:color w:val="auto"/>
              </w:rPr>
              <w:t>$</w:t>
            </w:r>
          </w:p>
        </w:tc>
        <w:tc>
          <w:tcPr>
            <w:tcW w:w="130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2.5</w:t>
            </w:r>
          </w:p>
        </w:tc>
        <w:tc>
          <w:tcPr>
            <w:tcW w:w="46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35.8</w:t>
            </w:r>
          </w:p>
        </w:tc>
      </w:tr>
      <w:tr>
        <w:trPr>
          <w:trHeight w:val="20"/>
        </w:trPr>
        <w:tc>
          <w:tcPr>
            <w:tcW w:w="6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-1782445</wp:posOffset>
            </wp:positionV>
            <wp:extent cx="306006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3060065" cy="889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-1323340</wp:posOffset>
            </wp:positionV>
            <wp:extent cx="34290" cy="3683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-1323340</wp:posOffset>
            </wp:positionV>
            <wp:extent cx="33655" cy="3683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-1323340</wp:posOffset>
            </wp:positionV>
            <wp:extent cx="34290" cy="3683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-354965</wp:posOffset>
            </wp:positionV>
            <wp:extent cx="34290" cy="3683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-354965</wp:posOffset>
            </wp:positionV>
            <wp:extent cx="33655" cy="3683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-354965</wp:posOffset>
            </wp:positionV>
            <wp:extent cx="34290" cy="3683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34290" cy="36830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Amortzaton expense for intangible assets for the years ended December 31, 2023, 2022 and 2021 was $27.8 million, $26.6 million and $24.0 million, respectvely. The intangible assets with fnite lives classifed as held for sale are not being amortzed.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000" w:type="dxa"/>
            <w:vAlign w:val="bottom"/>
          </w:tcPr>
          <w:p>
            <w:pPr>
              <w:spacing w:after="0"/>
              <w:rPr>
                <w:sz w:val="20"/>
                <w:szCs w:val="20"/>
                <w:color w:val="auto"/>
              </w:rPr>
            </w:pPr>
            <w:r>
              <w:rPr>
                <w:rFonts w:ascii="Calibri" w:cs="Calibri" w:eastAsia="Calibri" w:hAnsi="Calibri"/>
                <w:sz w:val="18"/>
                <w:szCs w:val="18"/>
                <w:color w:val="auto"/>
              </w:rPr>
              <w:t>The estmated amortzaton expense for intangible assets for each of the next fve years and thereafer is as follows:</w:t>
            </w:r>
          </w:p>
        </w:tc>
        <w:tc>
          <w:tcPr>
            <w:tcW w:w="10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31"/>
        </w:trPr>
        <w:tc>
          <w:tcPr>
            <w:tcW w:w="9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23"/>
        </w:trPr>
        <w:tc>
          <w:tcPr>
            <w:tcW w:w="900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040" w:type="dxa"/>
            <w:vAlign w:val="bottom"/>
            <w:tcBorders>
              <w:bottom w:val="single" w:sz="8" w:color="007CBA"/>
            </w:tcBorders>
            <w:shd w:val="clear" w:color="auto" w:fill="007CBA"/>
          </w:tcPr>
          <w:p>
            <w:pPr>
              <w:spacing w:after="0"/>
              <w:rPr>
                <w:sz w:val="19"/>
                <w:szCs w:val="19"/>
                <w:color w:val="auto"/>
              </w:rPr>
            </w:pPr>
          </w:p>
        </w:tc>
        <w:tc>
          <w:tcPr>
            <w:tcW w:w="1200" w:type="dxa"/>
            <w:vAlign w:val="bottom"/>
            <w:tcBorders>
              <w:bottom w:val="single" w:sz="8" w:color="007CBA"/>
            </w:tcBorders>
            <w:shd w:val="clear" w:color="auto" w:fill="007CBA"/>
          </w:tcPr>
          <w:p>
            <w:pPr>
              <w:spacing w:after="0"/>
              <w:rPr>
                <w:sz w:val="19"/>
                <w:szCs w:val="19"/>
                <w:color w:val="auto"/>
              </w:rPr>
            </w:pPr>
          </w:p>
        </w:tc>
      </w:tr>
      <w:tr>
        <w:trPr>
          <w:trHeight w:val="215"/>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2024</w:t>
            </w:r>
          </w:p>
        </w:tc>
        <w:tc>
          <w:tcPr>
            <w:tcW w:w="1040" w:type="dxa"/>
            <w:vAlign w:val="bottom"/>
          </w:tcPr>
          <w:p>
            <w:pPr>
              <w:jc w:val="right"/>
              <w:ind w:right="610"/>
              <w:spacing w:after="0" w:line="215" w:lineRule="exact"/>
              <w:rPr>
                <w:sz w:val="20"/>
                <w:szCs w:val="20"/>
                <w:color w:val="auto"/>
              </w:rPr>
            </w:pPr>
            <w:r>
              <w:rPr>
                <w:rFonts w:ascii="Calibri" w:cs="Calibri" w:eastAsia="Calibri" w:hAnsi="Calibri"/>
                <w:sz w:val="18"/>
                <w:szCs w:val="18"/>
                <w:color w:val="auto"/>
              </w:rPr>
              <w:t>$</w:t>
            </w:r>
          </w:p>
        </w:tc>
        <w:tc>
          <w:tcPr>
            <w:tcW w:w="12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26.5</w:t>
            </w:r>
          </w:p>
        </w:tc>
      </w:tr>
      <w:tr>
        <w:trPr>
          <w:trHeight w:val="28"/>
        </w:trPr>
        <w:tc>
          <w:tcPr>
            <w:tcW w:w="9000" w:type="dxa"/>
            <w:vAlign w:val="bottom"/>
            <w:tcBorders>
              <w:right w:val="single" w:sz="8" w:color="007CBA"/>
            </w:tcBorders>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3"/>
        </w:trPr>
        <w:tc>
          <w:tcPr>
            <w:tcW w:w="90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2025</w:t>
            </w:r>
          </w:p>
        </w:tc>
        <w:tc>
          <w:tcPr>
            <w:tcW w:w="1040" w:type="dxa"/>
            <w:vAlign w:val="bottom"/>
            <w:tcBorders>
              <w:bottom w:val="single" w:sz="8" w:color="E5F1F8"/>
            </w:tcBorders>
            <w:shd w:val="clear" w:color="auto" w:fill="E5F1F8"/>
          </w:tcPr>
          <w:p>
            <w:pPr>
              <w:spacing w:after="0"/>
              <w:rPr>
                <w:sz w:val="19"/>
                <w:szCs w:val="19"/>
                <w:color w:val="auto"/>
              </w:rPr>
            </w:pPr>
          </w:p>
        </w:tc>
        <w:tc>
          <w:tcPr>
            <w:tcW w:w="12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26.4</w:t>
            </w:r>
          </w:p>
        </w:tc>
      </w:tr>
      <w:tr>
        <w:trPr>
          <w:trHeight w:val="215"/>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2026</w:t>
            </w:r>
          </w:p>
        </w:tc>
        <w:tc>
          <w:tcPr>
            <w:tcW w:w="1040" w:type="dxa"/>
            <w:vAlign w:val="bottom"/>
          </w:tcPr>
          <w:p>
            <w:pPr>
              <w:spacing w:after="0"/>
              <w:rPr>
                <w:sz w:val="18"/>
                <w:szCs w:val="18"/>
                <w:color w:val="auto"/>
              </w:rPr>
            </w:pPr>
          </w:p>
        </w:tc>
        <w:tc>
          <w:tcPr>
            <w:tcW w:w="12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25.1</w:t>
            </w:r>
          </w:p>
        </w:tc>
      </w:tr>
      <w:tr>
        <w:trPr>
          <w:trHeight w:val="28"/>
        </w:trPr>
        <w:tc>
          <w:tcPr>
            <w:tcW w:w="9000" w:type="dxa"/>
            <w:vAlign w:val="bottom"/>
            <w:tcBorders>
              <w:right w:val="single" w:sz="8" w:color="007CBA"/>
            </w:tcBorders>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3"/>
        </w:trPr>
        <w:tc>
          <w:tcPr>
            <w:tcW w:w="90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2027</w:t>
            </w:r>
          </w:p>
        </w:tc>
        <w:tc>
          <w:tcPr>
            <w:tcW w:w="1040" w:type="dxa"/>
            <w:vAlign w:val="bottom"/>
            <w:tcBorders>
              <w:bottom w:val="single" w:sz="8" w:color="E5F1F8"/>
            </w:tcBorders>
            <w:shd w:val="clear" w:color="auto" w:fill="E5F1F8"/>
          </w:tcPr>
          <w:p>
            <w:pPr>
              <w:spacing w:after="0"/>
              <w:rPr>
                <w:sz w:val="19"/>
                <w:szCs w:val="19"/>
                <w:color w:val="auto"/>
              </w:rPr>
            </w:pPr>
          </w:p>
        </w:tc>
        <w:tc>
          <w:tcPr>
            <w:tcW w:w="12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24.5</w:t>
            </w:r>
          </w:p>
        </w:tc>
      </w:tr>
      <w:tr>
        <w:trPr>
          <w:trHeight w:val="243"/>
        </w:trPr>
        <w:tc>
          <w:tcPr>
            <w:tcW w:w="90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2028</w:t>
            </w:r>
          </w:p>
        </w:tc>
        <w:tc>
          <w:tcPr>
            <w:tcW w:w="1040" w:type="dxa"/>
            <w:vAlign w:val="bottom"/>
          </w:tcPr>
          <w:p>
            <w:pPr>
              <w:spacing w:after="0"/>
              <w:rPr>
                <w:sz w:val="21"/>
                <w:szCs w:val="21"/>
                <w:color w:val="auto"/>
              </w:rPr>
            </w:pPr>
          </w:p>
        </w:tc>
        <w:tc>
          <w:tcPr>
            <w:tcW w:w="12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24.3</w:t>
            </w:r>
          </w:p>
        </w:tc>
      </w:tr>
      <w:tr>
        <w:trPr>
          <w:trHeight w:val="248"/>
        </w:trPr>
        <w:tc>
          <w:tcPr>
            <w:tcW w:w="90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Thereafer</w:t>
            </w:r>
          </w:p>
        </w:tc>
        <w:tc>
          <w:tcPr>
            <w:tcW w:w="1040" w:type="dxa"/>
            <w:vAlign w:val="bottom"/>
            <w:tcBorders>
              <w:bottom w:val="single" w:sz="8" w:color="E5F1F8"/>
            </w:tcBorders>
            <w:shd w:val="clear" w:color="auto" w:fill="E5F1F8"/>
          </w:tcPr>
          <w:p>
            <w:pPr>
              <w:spacing w:after="0"/>
              <w:rPr>
                <w:sz w:val="21"/>
                <w:szCs w:val="21"/>
                <w:color w:val="auto"/>
              </w:rPr>
            </w:pPr>
          </w:p>
        </w:tc>
        <w:tc>
          <w:tcPr>
            <w:tcW w:w="12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536.8</w:t>
            </w:r>
          </w:p>
        </w:tc>
      </w:tr>
      <w:tr>
        <w:trPr>
          <w:trHeight w:val="208"/>
        </w:trPr>
        <w:tc>
          <w:tcPr>
            <w:tcW w:w="90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040" w:type="dxa"/>
            <w:vAlign w:val="bottom"/>
            <w:tcBorders>
              <w:top w:val="single" w:sz="8" w:color="auto"/>
            </w:tcBorders>
          </w:tcPr>
          <w:p>
            <w:pPr>
              <w:jc w:val="right"/>
              <w:ind w:right="610"/>
              <w:spacing w:after="0" w:line="208" w:lineRule="exact"/>
              <w:rPr>
                <w:sz w:val="20"/>
                <w:szCs w:val="20"/>
                <w:color w:val="auto"/>
              </w:rPr>
            </w:pPr>
            <w:r>
              <w:rPr>
                <w:rFonts w:ascii="Calibri" w:cs="Calibri" w:eastAsia="Calibri" w:hAnsi="Calibri"/>
                <w:sz w:val="18"/>
                <w:szCs w:val="18"/>
                <w:color w:val="auto"/>
              </w:rPr>
              <w:t>$</w:t>
            </w:r>
          </w:p>
        </w:tc>
        <w:tc>
          <w:tcPr>
            <w:tcW w:w="12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663.6</w:t>
            </w:r>
          </w:p>
        </w:tc>
      </w:tr>
      <w:tr>
        <w:trPr>
          <w:trHeight w:val="28"/>
        </w:trPr>
        <w:tc>
          <w:tcPr>
            <w:tcW w:w="9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9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5692775</wp:posOffset>
            </wp:positionH>
            <wp:positionV relativeFrom="paragraph">
              <wp:posOffset>-354965</wp:posOffset>
            </wp:positionV>
            <wp:extent cx="34290" cy="3683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213995</wp:posOffset>
            </wp:positionV>
            <wp:extent cx="325755" cy="1974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89" w:name="page90"/>
    <w:bookmarkEnd w:id="89"/>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17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D: Accounts Receivable, Net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560" w:type="dxa"/>
            <w:vAlign w:val="bottom"/>
            <w:shd w:val="clear" w:color="auto" w:fill="007CBA"/>
          </w:tcPr>
          <w:p>
            <w:pPr>
              <w:spacing w:after="0"/>
              <w:rPr>
                <w:sz w:val="20"/>
                <w:szCs w:val="20"/>
                <w:color w:val="auto"/>
              </w:rPr>
            </w:pPr>
          </w:p>
        </w:tc>
        <w:tc>
          <w:tcPr>
            <w:tcW w:w="1400" w:type="dxa"/>
            <w:vAlign w:val="bottom"/>
            <w:tcBorders>
              <w:right w:val="single" w:sz="8" w:color="007CBA"/>
            </w:tcBorders>
            <w:shd w:val="clear" w:color="auto" w:fill="007CBA"/>
          </w:tcPr>
          <w:p>
            <w:pPr>
              <w:spacing w:after="0"/>
              <w:rPr>
                <w:sz w:val="20"/>
                <w:szCs w:val="20"/>
                <w:color w:val="auto"/>
              </w:rPr>
            </w:pPr>
          </w:p>
        </w:tc>
        <w:tc>
          <w:tcPr>
            <w:tcW w:w="560" w:type="dxa"/>
            <w:vAlign w:val="bottom"/>
            <w:shd w:val="clear" w:color="auto" w:fill="007CBA"/>
          </w:tcPr>
          <w:p>
            <w:pPr>
              <w:spacing w:after="0"/>
              <w:rPr>
                <w:sz w:val="20"/>
                <w:szCs w:val="20"/>
                <w:color w:val="auto"/>
              </w:rPr>
            </w:pPr>
          </w:p>
        </w:tc>
        <w:tc>
          <w:tcPr>
            <w:tcW w:w="1360" w:type="dxa"/>
            <w:vAlign w:val="bottom"/>
            <w:shd w:val="clear" w:color="auto" w:fill="007CBA"/>
          </w:tcPr>
          <w:p>
            <w:pPr>
              <w:spacing w:after="0"/>
              <w:rPr>
                <w:sz w:val="20"/>
                <w:szCs w:val="20"/>
                <w:color w:val="auto"/>
              </w:rPr>
            </w:pPr>
          </w:p>
        </w:tc>
      </w:tr>
      <w:tr>
        <w:trPr>
          <w:trHeight w:val="231"/>
        </w:trPr>
        <w:tc>
          <w:tcPr>
            <w:tcW w:w="73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tcBorders>
              <w:bottom w:val="single" w:sz="8" w:color="007CBA"/>
            </w:tcBorders>
            <w:shd w:val="clear" w:color="auto" w:fill="007CBA"/>
          </w:tcPr>
          <w:p>
            <w:pPr>
              <w:spacing w:after="0"/>
              <w:rPr>
                <w:sz w:val="20"/>
                <w:szCs w:val="20"/>
                <w:color w:val="auto"/>
              </w:rPr>
            </w:pPr>
          </w:p>
        </w:tc>
        <w:tc>
          <w:tcPr>
            <w:tcW w:w="1400" w:type="dxa"/>
            <w:vAlign w:val="bottom"/>
            <w:tcBorders>
              <w:bottom w:val="single" w:sz="8" w:color="007CBA"/>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2023</w:t>
            </w:r>
          </w:p>
        </w:tc>
        <w:tc>
          <w:tcPr>
            <w:tcW w:w="560" w:type="dxa"/>
            <w:vAlign w:val="bottom"/>
            <w:tcBorders>
              <w:bottom w:val="single" w:sz="8" w:color="007CBA"/>
            </w:tcBorders>
            <w:shd w:val="clear" w:color="auto" w:fill="007CBA"/>
          </w:tcPr>
          <w:p>
            <w:pPr>
              <w:spacing w:after="0"/>
              <w:rPr>
                <w:sz w:val="20"/>
                <w:szCs w:val="20"/>
                <w:color w:val="auto"/>
              </w:rPr>
            </w:pPr>
          </w:p>
        </w:tc>
        <w:tc>
          <w:tcPr>
            <w:tcW w:w="1360" w:type="dxa"/>
            <w:vAlign w:val="bottom"/>
            <w:tcBorders>
              <w:bottom w:val="single" w:sz="8" w:color="007CBA"/>
            </w:tcBorders>
            <w:shd w:val="clear" w:color="auto" w:fill="007CBA"/>
          </w:tcPr>
          <w:p>
            <w:pPr>
              <w:jc w:val="right"/>
              <w:ind w:right="650"/>
              <w:spacing w:after="0" w:line="215" w:lineRule="exact"/>
              <w:rPr>
                <w:sz w:val="20"/>
                <w:szCs w:val="20"/>
                <w:color w:val="auto"/>
              </w:rPr>
            </w:pPr>
            <w:r>
              <w:rPr>
                <w:rFonts w:ascii="Calibri" w:cs="Calibri" w:eastAsia="Calibri" w:hAnsi="Calibri"/>
                <w:sz w:val="18"/>
                <w:szCs w:val="18"/>
                <w:color w:val="FFFFFF"/>
              </w:rPr>
              <w:t>2022</w:t>
            </w:r>
          </w:p>
        </w:tc>
      </w:tr>
      <w:tr>
        <w:trPr>
          <w:trHeight w:val="243"/>
        </w:trPr>
        <w:tc>
          <w:tcPr>
            <w:tcW w:w="7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Customer receivables</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746.7</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781.0</w:t>
            </w:r>
          </w:p>
        </w:tc>
      </w:tr>
      <w:tr>
        <w:trPr>
          <w:trHeight w:val="248"/>
        </w:trPr>
        <w:tc>
          <w:tcPr>
            <w:tcW w:w="73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Other current receivables</w:t>
            </w:r>
          </w:p>
        </w:tc>
        <w:tc>
          <w:tcPr>
            <w:tcW w:w="560" w:type="dxa"/>
            <w:vAlign w:val="bottom"/>
            <w:tcBorders>
              <w:bottom w:val="single" w:sz="8" w:color="E5F1F8"/>
            </w:tcBorders>
            <w:shd w:val="clear" w:color="auto" w:fill="E5F1F8"/>
          </w:tcPr>
          <w:p>
            <w:pPr>
              <w:spacing w:after="0"/>
              <w:rPr>
                <w:sz w:val="21"/>
                <w:szCs w:val="21"/>
                <w:color w:val="auto"/>
              </w:rPr>
            </w:pPr>
          </w:p>
        </w:tc>
        <w:tc>
          <w:tcPr>
            <w:tcW w:w="140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18.3</w:t>
            </w:r>
          </w:p>
        </w:tc>
        <w:tc>
          <w:tcPr>
            <w:tcW w:w="560" w:type="dxa"/>
            <w:vAlign w:val="bottom"/>
            <w:tcBorders>
              <w:bottom w:val="single" w:sz="8" w:color="E5F1F8"/>
            </w:tcBorders>
            <w:shd w:val="clear" w:color="auto" w:fill="E5F1F8"/>
          </w:tcPr>
          <w:p>
            <w:pPr>
              <w:spacing w:after="0"/>
              <w:rPr>
                <w:sz w:val="21"/>
                <w:szCs w:val="21"/>
                <w:color w:val="auto"/>
              </w:rPr>
            </w:pPr>
          </w:p>
        </w:tc>
        <w:tc>
          <w:tcPr>
            <w:tcW w:w="13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15.9</w:t>
            </w:r>
          </w:p>
        </w:tc>
      </w:tr>
      <w:tr>
        <w:trPr>
          <w:trHeight w:val="237"/>
        </w:trPr>
        <w:tc>
          <w:tcPr>
            <w:tcW w:w="736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accounts receivable</w:t>
            </w: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765.0</w:t>
            </w:r>
          </w:p>
        </w:tc>
        <w:tc>
          <w:tcPr>
            <w:tcW w:w="5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796.9</w:t>
            </w:r>
          </w:p>
        </w:tc>
      </w:tr>
      <w:tr>
        <w:trPr>
          <w:trHeight w:val="248"/>
        </w:trPr>
        <w:tc>
          <w:tcPr>
            <w:tcW w:w="73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Less: allowance for estmated credit losses</w:t>
            </w:r>
          </w:p>
        </w:tc>
        <w:tc>
          <w:tcPr>
            <w:tcW w:w="560" w:type="dxa"/>
            <w:vAlign w:val="bottom"/>
            <w:tcBorders>
              <w:bottom w:val="single" w:sz="8" w:color="E5F1F8"/>
            </w:tcBorders>
            <w:shd w:val="clear" w:color="auto" w:fill="E5F1F8"/>
          </w:tcPr>
          <w:p>
            <w:pPr>
              <w:spacing w:after="0"/>
              <w:rPr>
                <w:sz w:val="21"/>
                <w:szCs w:val="21"/>
                <w:color w:val="auto"/>
              </w:rPr>
            </w:pPr>
          </w:p>
        </w:tc>
        <w:tc>
          <w:tcPr>
            <w:tcW w:w="140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(11.7 )</w:t>
            </w:r>
          </w:p>
        </w:tc>
        <w:tc>
          <w:tcPr>
            <w:tcW w:w="560" w:type="dxa"/>
            <w:vAlign w:val="bottom"/>
            <w:tcBorders>
              <w:bottom w:val="single" w:sz="8" w:color="E5F1F8"/>
            </w:tcBorders>
            <w:shd w:val="clear" w:color="auto" w:fill="E5F1F8"/>
          </w:tcPr>
          <w:p>
            <w:pPr>
              <w:spacing w:after="0"/>
              <w:rPr>
                <w:sz w:val="21"/>
                <w:szCs w:val="21"/>
                <w:color w:val="auto"/>
              </w:rPr>
            </w:pPr>
          </w:p>
        </w:tc>
        <w:tc>
          <w:tcPr>
            <w:tcW w:w="13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(11.0 )</w:t>
            </w:r>
          </w:p>
        </w:tc>
      </w:tr>
      <w:tr>
        <w:trPr>
          <w:trHeight w:val="208"/>
        </w:trPr>
        <w:tc>
          <w:tcPr>
            <w:tcW w:w="73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Accounts receivable, net</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753.3</w:t>
            </w:r>
          </w:p>
        </w:tc>
        <w:tc>
          <w:tcPr>
            <w:tcW w:w="560" w:type="dxa"/>
            <w:vAlign w:val="bottom"/>
            <w:tcBorders>
              <w:top w:val="single" w:sz="8" w:color="auto"/>
            </w:tcBorders>
          </w:tcPr>
          <w:p>
            <w:pPr>
              <w:jc w:val="right"/>
              <w:ind w:right="190"/>
              <w:spacing w:after="0" w:line="208" w:lineRule="exact"/>
              <w:rPr>
                <w:sz w:val="20"/>
                <w:szCs w:val="20"/>
                <w:color w:val="auto"/>
              </w:rPr>
            </w:pPr>
            <w:r>
              <w:rPr>
                <w:rFonts w:ascii="Calibri" w:cs="Calibri" w:eastAsia="Calibri" w:hAnsi="Calibri"/>
                <w:sz w:val="18"/>
                <w:szCs w:val="18"/>
                <w:color w:val="auto"/>
              </w:rPr>
              <w:t>$</w:t>
            </w:r>
          </w:p>
        </w:tc>
        <w:tc>
          <w:tcPr>
            <w:tcW w:w="13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785.9</w:t>
            </w:r>
          </w:p>
        </w:tc>
      </w:tr>
      <w:tr>
        <w:trPr>
          <w:trHeight w:val="28"/>
        </w:trPr>
        <w:tc>
          <w:tcPr>
            <w:tcW w:w="7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-672465</wp:posOffset>
            </wp:positionV>
            <wp:extent cx="33655" cy="1885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-672465</wp:posOffset>
            </wp:positionV>
            <wp:extent cx="33655" cy="18859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-354965</wp:posOffset>
            </wp:positionV>
            <wp:extent cx="33655" cy="3683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-354965</wp:posOffset>
            </wp:positionV>
            <wp:extent cx="33655" cy="3683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Of the total accounts receivable, net, balance, $4.4 million and $3.0 million at December 31, 2023 and 2022, respectvely, was due from unconsolidated afliates.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E: Inventories, Net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560" w:type="dxa"/>
            <w:vAlign w:val="bottom"/>
            <w:shd w:val="clear" w:color="auto" w:fill="007CBA"/>
          </w:tcPr>
          <w:p>
            <w:pPr>
              <w:spacing w:after="0"/>
              <w:rPr>
                <w:sz w:val="19"/>
                <w:szCs w:val="19"/>
                <w:color w:val="auto"/>
              </w:rPr>
            </w:pPr>
          </w:p>
        </w:tc>
        <w:tc>
          <w:tcPr>
            <w:tcW w:w="1400" w:type="dxa"/>
            <w:vAlign w:val="bottom"/>
            <w:tcBorders>
              <w:right w:val="single" w:sz="8" w:color="007CBA"/>
            </w:tcBorders>
            <w:shd w:val="clear" w:color="auto" w:fill="007CBA"/>
          </w:tcPr>
          <w:p>
            <w:pPr>
              <w:spacing w:after="0"/>
              <w:rPr>
                <w:sz w:val="19"/>
                <w:szCs w:val="19"/>
                <w:color w:val="auto"/>
              </w:rPr>
            </w:pPr>
          </w:p>
        </w:tc>
        <w:tc>
          <w:tcPr>
            <w:tcW w:w="560" w:type="dxa"/>
            <w:vAlign w:val="bottom"/>
            <w:shd w:val="clear" w:color="auto" w:fill="007CBA"/>
          </w:tcPr>
          <w:p>
            <w:pPr>
              <w:spacing w:after="0"/>
              <w:rPr>
                <w:sz w:val="19"/>
                <w:szCs w:val="19"/>
                <w:color w:val="auto"/>
              </w:rPr>
            </w:pPr>
          </w:p>
        </w:tc>
        <w:tc>
          <w:tcPr>
            <w:tcW w:w="1360" w:type="dxa"/>
            <w:vAlign w:val="bottom"/>
            <w:shd w:val="clear" w:color="auto" w:fill="007CBA"/>
          </w:tcPr>
          <w:p>
            <w:pPr>
              <w:spacing w:after="0"/>
              <w:rPr>
                <w:sz w:val="19"/>
                <w:szCs w:val="19"/>
                <w:color w:val="auto"/>
              </w:rPr>
            </w:pPr>
          </w:p>
        </w:tc>
      </w:tr>
      <w:tr>
        <w:trPr>
          <w:trHeight w:val="232"/>
        </w:trPr>
        <w:tc>
          <w:tcPr>
            <w:tcW w:w="73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tcBorders>
              <w:bottom w:val="single" w:sz="8" w:color="007CBA"/>
            </w:tcBorders>
            <w:shd w:val="clear" w:color="auto" w:fill="007CBA"/>
          </w:tcPr>
          <w:p>
            <w:pPr>
              <w:spacing w:after="0"/>
              <w:rPr>
                <w:sz w:val="20"/>
                <w:szCs w:val="20"/>
                <w:color w:val="auto"/>
              </w:rPr>
            </w:pPr>
          </w:p>
        </w:tc>
        <w:tc>
          <w:tcPr>
            <w:tcW w:w="1400" w:type="dxa"/>
            <w:vAlign w:val="bottom"/>
            <w:tcBorders>
              <w:bottom w:val="single" w:sz="8" w:color="007CBA"/>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2023</w:t>
            </w:r>
          </w:p>
        </w:tc>
        <w:tc>
          <w:tcPr>
            <w:tcW w:w="560" w:type="dxa"/>
            <w:vAlign w:val="bottom"/>
            <w:tcBorders>
              <w:bottom w:val="single" w:sz="8" w:color="007CBA"/>
            </w:tcBorders>
            <w:shd w:val="clear" w:color="auto" w:fill="007CBA"/>
          </w:tcPr>
          <w:p>
            <w:pPr>
              <w:spacing w:after="0"/>
              <w:rPr>
                <w:sz w:val="20"/>
                <w:szCs w:val="20"/>
                <w:color w:val="auto"/>
              </w:rPr>
            </w:pPr>
          </w:p>
        </w:tc>
        <w:tc>
          <w:tcPr>
            <w:tcW w:w="1360" w:type="dxa"/>
            <w:vAlign w:val="bottom"/>
            <w:tcBorders>
              <w:bottom w:val="single" w:sz="8" w:color="007CBA"/>
            </w:tcBorders>
            <w:shd w:val="clear" w:color="auto" w:fill="007CBA"/>
          </w:tcPr>
          <w:p>
            <w:pPr>
              <w:jc w:val="right"/>
              <w:ind w:right="650"/>
              <w:spacing w:after="0" w:line="215" w:lineRule="exact"/>
              <w:rPr>
                <w:sz w:val="20"/>
                <w:szCs w:val="20"/>
                <w:color w:val="auto"/>
              </w:rPr>
            </w:pPr>
            <w:r>
              <w:rPr>
                <w:rFonts w:ascii="Calibri" w:cs="Calibri" w:eastAsia="Calibri" w:hAnsi="Calibri"/>
                <w:sz w:val="18"/>
                <w:szCs w:val="18"/>
                <w:color w:val="FFFFFF"/>
              </w:rPr>
              <w:t>2022</w:t>
            </w:r>
          </w:p>
        </w:tc>
      </w:tr>
      <w:tr>
        <w:trPr>
          <w:trHeight w:val="215"/>
        </w:trPr>
        <w:tc>
          <w:tcPr>
            <w:tcW w:w="7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Finished products</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1,151.8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932.4</w:t>
            </w:r>
          </w:p>
        </w:tc>
      </w:tr>
      <w:tr>
        <w:trPr>
          <w:trHeight w:val="28"/>
        </w:trPr>
        <w:tc>
          <w:tcPr>
            <w:tcW w:w="736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73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Products in process</w:t>
            </w:r>
          </w:p>
        </w:tc>
        <w:tc>
          <w:tcPr>
            <w:tcW w:w="560" w:type="dxa"/>
            <w:vAlign w:val="bottom"/>
            <w:tcBorders>
              <w:bottom w:val="single" w:sz="8" w:color="E5F1F8"/>
            </w:tcBorders>
            <w:shd w:val="clear" w:color="auto" w:fill="E5F1F8"/>
          </w:tcPr>
          <w:p>
            <w:pPr>
              <w:spacing w:after="0"/>
              <w:rPr>
                <w:sz w:val="19"/>
                <w:szCs w:val="19"/>
                <w:color w:val="auto"/>
              </w:rPr>
            </w:pPr>
          </w:p>
        </w:tc>
        <w:tc>
          <w:tcPr>
            <w:tcW w:w="14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25.0</w:t>
            </w:r>
          </w:p>
        </w:tc>
        <w:tc>
          <w:tcPr>
            <w:tcW w:w="56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24.8</w:t>
            </w:r>
          </w:p>
        </w:tc>
      </w:tr>
      <w:tr>
        <w:trPr>
          <w:trHeight w:val="243"/>
        </w:trPr>
        <w:tc>
          <w:tcPr>
            <w:tcW w:w="7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Raw materials</w:t>
            </w:r>
          </w:p>
        </w:tc>
        <w:tc>
          <w:tcPr>
            <w:tcW w:w="560" w:type="dxa"/>
            <w:vAlign w:val="bottom"/>
          </w:tcPr>
          <w:p>
            <w:pPr>
              <w:spacing w:after="0"/>
              <w:rPr>
                <w:sz w:val="21"/>
                <w:szCs w:val="21"/>
                <w:color w:val="auto"/>
              </w:rPr>
            </w:pPr>
          </w:p>
        </w:tc>
        <w:tc>
          <w:tcPr>
            <w:tcW w:w="14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59.9</w:t>
            </w:r>
          </w:p>
        </w:tc>
        <w:tc>
          <w:tcPr>
            <w:tcW w:w="560" w:type="dxa"/>
            <w:vAlign w:val="bottom"/>
          </w:tcPr>
          <w:p>
            <w:pPr>
              <w:spacing w:after="0"/>
              <w:rPr>
                <w:sz w:val="21"/>
                <w:szCs w:val="21"/>
                <w:color w:val="auto"/>
              </w:rPr>
            </w:pPr>
          </w:p>
        </w:tc>
        <w:tc>
          <w:tcPr>
            <w:tcW w:w="13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71.7</w:t>
            </w:r>
          </w:p>
        </w:tc>
      </w:tr>
      <w:tr>
        <w:trPr>
          <w:trHeight w:val="248"/>
        </w:trPr>
        <w:tc>
          <w:tcPr>
            <w:tcW w:w="73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Supplies and expendable parts</w:t>
            </w:r>
          </w:p>
        </w:tc>
        <w:tc>
          <w:tcPr>
            <w:tcW w:w="560" w:type="dxa"/>
            <w:vAlign w:val="bottom"/>
            <w:tcBorders>
              <w:bottom w:val="single" w:sz="8" w:color="E5F1F8"/>
            </w:tcBorders>
            <w:shd w:val="clear" w:color="auto" w:fill="E5F1F8"/>
          </w:tcPr>
          <w:p>
            <w:pPr>
              <w:spacing w:after="0"/>
              <w:rPr>
                <w:sz w:val="21"/>
                <w:szCs w:val="21"/>
                <w:color w:val="auto"/>
              </w:rPr>
            </w:pPr>
          </w:p>
        </w:tc>
        <w:tc>
          <w:tcPr>
            <w:tcW w:w="140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154.6</w:t>
            </w:r>
          </w:p>
        </w:tc>
        <w:tc>
          <w:tcPr>
            <w:tcW w:w="560" w:type="dxa"/>
            <w:vAlign w:val="bottom"/>
            <w:tcBorders>
              <w:bottom w:val="single" w:sz="8" w:color="E5F1F8"/>
            </w:tcBorders>
            <w:shd w:val="clear" w:color="auto" w:fill="E5F1F8"/>
          </w:tcPr>
          <w:p>
            <w:pPr>
              <w:spacing w:after="0"/>
              <w:rPr>
                <w:sz w:val="21"/>
                <w:szCs w:val="21"/>
                <w:color w:val="auto"/>
              </w:rPr>
            </w:pPr>
          </w:p>
        </w:tc>
        <w:tc>
          <w:tcPr>
            <w:tcW w:w="13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153.1</w:t>
            </w:r>
          </w:p>
        </w:tc>
      </w:tr>
      <w:tr>
        <w:trPr>
          <w:trHeight w:val="237"/>
        </w:trPr>
        <w:tc>
          <w:tcPr>
            <w:tcW w:w="736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inventories</w:t>
            </w: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1,391.3</w:t>
            </w:r>
          </w:p>
        </w:tc>
        <w:tc>
          <w:tcPr>
            <w:tcW w:w="5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1,182.0</w:t>
            </w:r>
          </w:p>
        </w:tc>
      </w:tr>
      <w:tr>
        <w:trPr>
          <w:trHeight w:val="248"/>
        </w:trPr>
        <w:tc>
          <w:tcPr>
            <w:tcW w:w="73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Less: allowances</w:t>
            </w:r>
          </w:p>
        </w:tc>
        <w:tc>
          <w:tcPr>
            <w:tcW w:w="560" w:type="dxa"/>
            <w:vAlign w:val="bottom"/>
            <w:tcBorders>
              <w:bottom w:val="single" w:sz="8" w:color="E5F1F8"/>
            </w:tcBorders>
            <w:shd w:val="clear" w:color="auto" w:fill="E5F1F8"/>
          </w:tcPr>
          <w:p>
            <w:pPr>
              <w:spacing w:after="0"/>
              <w:rPr>
                <w:sz w:val="21"/>
                <w:szCs w:val="21"/>
                <w:color w:val="auto"/>
              </w:rPr>
            </w:pPr>
          </w:p>
        </w:tc>
        <w:tc>
          <w:tcPr>
            <w:tcW w:w="140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(402.7 )</w:t>
            </w:r>
          </w:p>
        </w:tc>
        <w:tc>
          <w:tcPr>
            <w:tcW w:w="560" w:type="dxa"/>
            <w:vAlign w:val="bottom"/>
            <w:tcBorders>
              <w:bottom w:val="single" w:sz="8" w:color="E5F1F8"/>
            </w:tcBorders>
            <w:shd w:val="clear" w:color="auto" w:fill="E5F1F8"/>
          </w:tcPr>
          <w:p>
            <w:pPr>
              <w:spacing w:after="0"/>
              <w:rPr>
                <w:sz w:val="21"/>
                <w:szCs w:val="21"/>
                <w:color w:val="auto"/>
              </w:rPr>
            </w:pPr>
          </w:p>
        </w:tc>
        <w:tc>
          <w:tcPr>
            <w:tcW w:w="13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(308.3 )</w:t>
            </w:r>
          </w:p>
        </w:tc>
      </w:tr>
      <w:tr>
        <w:trPr>
          <w:trHeight w:val="208"/>
        </w:trPr>
        <w:tc>
          <w:tcPr>
            <w:tcW w:w="73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Inventories, net</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988.6</w:t>
            </w:r>
          </w:p>
        </w:tc>
        <w:tc>
          <w:tcPr>
            <w:tcW w:w="560" w:type="dxa"/>
            <w:vAlign w:val="bottom"/>
            <w:tcBorders>
              <w:top w:val="single" w:sz="8" w:color="auto"/>
            </w:tcBorders>
          </w:tcPr>
          <w:p>
            <w:pPr>
              <w:jc w:val="right"/>
              <w:ind w:right="190"/>
              <w:spacing w:after="0" w:line="208" w:lineRule="exact"/>
              <w:rPr>
                <w:sz w:val="20"/>
                <w:szCs w:val="20"/>
                <w:color w:val="auto"/>
              </w:rPr>
            </w:pPr>
            <w:r>
              <w:rPr>
                <w:rFonts w:ascii="Calibri" w:cs="Calibri" w:eastAsia="Calibri" w:hAnsi="Calibri"/>
                <w:sz w:val="18"/>
                <w:szCs w:val="18"/>
                <w:color w:val="auto"/>
              </w:rPr>
              <w:t>$</w:t>
            </w:r>
          </w:p>
        </w:tc>
        <w:tc>
          <w:tcPr>
            <w:tcW w:w="13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873.7</w:t>
            </w:r>
          </w:p>
        </w:tc>
      </w:tr>
      <w:tr>
        <w:trPr>
          <w:trHeight w:val="28"/>
        </w:trPr>
        <w:tc>
          <w:tcPr>
            <w:tcW w:w="7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-671830</wp:posOffset>
            </wp:positionV>
            <wp:extent cx="33655" cy="1879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-671830</wp:posOffset>
            </wp:positionV>
            <wp:extent cx="33655" cy="18796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-354965</wp:posOffset>
            </wp:positionV>
            <wp:extent cx="33655" cy="3683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-354965</wp:posOffset>
            </wp:positionV>
            <wp:extent cx="33655" cy="3683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F: Property, Plant and Equipment, Net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560" w:type="dxa"/>
            <w:vAlign w:val="bottom"/>
            <w:shd w:val="clear" w:color="auto" w:fill="007CBA"/>
          </w:tcPr>
          <w:p>
            <w:pPr>
              <w:spacing w:after="0"/>
              <w:rPr>
                <w:sz w:val="20"/>
                <w:szCs w:val="20"/>
                <w:color w:val="auto"/>
              </w:rPr>
            </w:pPr>
          </w:p>
        </w:tc>
        <w:tc>
          <w:tcPr>
            <w:tcW w:w="1400" w:type="dxa"/>
            <w:vAlign w:val="bottom"/>
            <w:tcBorders>
              <w:right w:val="single" w:sz="8" w:color="007CBA"/>
            </w:tcBorders>
            <w:shd w:val="clear" w:color="auto" w:fill="007CBA"/>
          </w:tcPr>
          <w:p>
            <w:pPr>
              <w:spacing w:after="0"/>
              <w:rPr>
                <w:sz w:val="20"/>
                <w:szCs w:val="20"/>
                <w:color w:val="auto"/>
              </w:rPr>
            </w:pPr>
          </w:p>
        </w:tc>
        <w:tc>
          <w:tcPr>
            <w:tcW w:w="560" w:type="dxa"/>
            <w:vAlign w:val="bottom"/>
            <w:shd w:val="clear" w:color="auto" w:fill="007CBA"/>
          </w:tcPr>
          <w:p>
            <w:pPr>
              <w:spacing w:after="0"/>
              <w:rPr>
                <w:sz w:val="20"/>
                <w:szCs w:val="20"/>
                <w:color w:val="auto"/>
              </w:rPr>
            </w:pPr>
          </w:p>
        </w:tc>
        <w:tc>
          <w:tcPr>
            <w:tcW w:w="1360" w:type="dxa"/>
            <w:vAlign w:val="bottom"/>
            <w:shd w:val="clear" w:color="auto" w:fill="007CBA"/>
          </w:tcPr>
          <w:p>
            <w:pPr>
              <w:spacing w:after="0"/>
              <w:rPr>
                <w:sz w:val="20"/>
                <w:szCs w:val="20"/>
                <w:color w:val="auto"/>
              </w:rPr>
            </w:pPr>
          </w:p>
        </w:tc>
      </w:tr>
      <w:tr>
        <w:trPr>
          <w:trHeight w:val="231"/>
        </w:trPr>
        <w:tc>
          <w:tcPr>
            <w:tcW w:w="73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60" w:type="dxa"/>
            <w:vAlign w:val="bottom"/>
            <w:tcBorders>
              <w:bottom w:val="single" w:sz="8" w:color="007CBA"/>
            </w:tcBorders>
            <w:shd w:val="clear" w:color="auto" w:fill="007CBA"/>
          </w:tcPr>
          <w:p>
            <w:pPr>
              <w:spacing w:after="0"/>
              <w:rPr>
                <w:sz w:val="20"/>
                <w:szCs w:val="20"/>
                <w:color w:val="auto"/>
              </w:rPr>
            </w:pPr>
          </w:p>
        </w:tc>
        <w:tc>
          <w:tcPr>
            <w:tcW w:w="1400" w:type="dxa"/>
            <w:vAlign w:val="bottom"/>
            <w:tcBorders>
              <w:bottom w:val="single" w:sz="8" w:color="007CBA"/>
              <w:right w:val="single" w:sz="8" w:color="007CBA"/>
            </w:tcBorders>
            <w:shd w:val="clear" w:color="auto" w:fill="007CBA"/>
          </w:tcPr>
          <w:p>
            <w:pPr>
              <w:jc w:val="right"/>
              <w:ind w:right="670"/>
              <w:spacing w:after="0" w:line="215" w:lineRule="exact"/>
              <w:rPr>
                <w:sz w:val="20"/>
                <w:szCs w:val="20"/>
                <w:color w:val="auto"/>
              </w:rPr>
            </w:pPr>
            <w:r>
              <w:rPr>
                <w:rFonts w:ascii="Calibri" w:cs="Calibri" w:eastAsia="Calibri" w:hAnsi="Calibri"/>
                <w:sz w:val="18"/>
                <w:szCs w:val="18"/>
                <w:b w:val="1"/>
                <w:bCs w:val="1"/>
                <w:color w:val="FFFFFF"/>
              </w:rPr>
              <w:t>2023</w:t>
            </w:r>
          </w:p>
        </w:tc>
        <w:tc>
          <w:tcPr>
            <w:tcW w:w="560" w:type="dxa"/>
            <w:vAlign w:val="bottom"/>
            <w:tcBorders>
              <w:bottom w:val="single" w:sz="8" w:color="007CBA"/>
            </w:tcBorders>
            <w:shd w:val="clear" w:color="auto" w:fill="007CBA"/>
          </w:tcPr>
          <w:p>
            <w:pPr>
              <w:spacing w:after="0"/>
              <w:rPr>
                <w:sz w:val="20"/>
                <w:szCs w:val="20"/>
                <w:color w:val="auto"/>
              </w:rPr>
            </w:pPr>
          </w:p>
        </w:tc>
        <w:tc>
          <w:tcPr>
            <w:tcW w:w="1360" w:type="dxa"/>
            <w:vAlign w:val="bottom"/>
            <w:tcBorders>
              <w:bottom w:val="single" w:sz="8" w:color="007CBA"/>
            </w:tcBorders>
            <w:shd w:val="clear" w:color="auto" w:fill="007CBA"/>
          </w:tcPr>
          <w:p>
            <w:pPr>
              <w:jc w:val="right"/>
              <w:ind w:right="650"/>
              <w:spacing w:after="0" w:line="215" w:lineRule="exact"/>
              <w:rPr>
                <w:sz w:val="20"/>
                <w:szCs w:val="20"/>
                <w:color w:val="auto"/>
              </w:rPr>
            </w:pPr>
            <w:r>
              <w:rPr>
                <w:rFonts w:ascii="Calibri" w:cs="Calibri" w:eastAsia="Calibri" w:hAnsi="Calibri"/>
                <w:sz w:val="18"/>
                <w:szCs w:val="18"/>
                <w:color w:val="FFFFFF"/>
              </w:rPr>
              <w:t>2022</w:t>
            </w:r>
          </w:p>
        </w:tc>
      </w:tr>
      <w:tr>
        <w:trPr>
          <w:trHeight w:val="215"/>
        </w:trPr>
        <w:tc>
          <w:tcPr>
            <w:tcW w:w="7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Land and land improvements</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1,599.0</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1,519.2</w:t>
            </w:r>
          </w:p>
        </w:tc>
      </w:tr>
      <w:tr>
        <w:trPr>
          <w:trHeight w:val="28"/>
        </w:trPr>
        <w:tc>
          <w:tcPr>
            <w:tcW w:w="736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73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Mineral reserves and interests</w:t>
            </w:r>
          </w:p>
        </w:tc>
        <w:tc>
          <w:tcPr>
            <w:tcW w:w="560" w:type="dxa"/>
            <w:vAlign w:val="bottom"/>
            <w:tcBorders>
              <w:bottom w:val="single" w:sz="8" w:color="E5F1F8"/>
            </w:tcBorders>
            <w:shd w:val="clear" w:color="auto" w:fill="E5F1F8"/>
          </w:tcPr>
          <w:p>
            <w:pPr>
              <w:spacing w:after="0"/>
              <w:rPr>
                <w:sz w:val="19"/>
                <w:szCs w:val="19"/>
                <w:color w:val="auto"/>
              </w:rPr>
            </w:pPr>
          </w:p>
        </w:tc>
        <w:tc>
          <w:tcPr>
            <w:tcW w:w="14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2,982.4</w:t>
            </w:r>
          </w:p>
        </w:tc>
        <w:tc>
          <w:tcPr>
            <w:tcW w:w="56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2,917.8</w:t>
            </w:r>
          </w:p>
        </w:tc>
      </w:tr>
      <w:tr>
        <w:trPr>
          <w:trHeight w:val="215"/>
        </w:trPr>
        <w:tc>
          <w:tcPr>
            <w:tcW w:w="7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Buildings</w:t>
            </w:r>
          </w:p>
        </w:tc>
        <w:tc>
          <w:tcPr>
            <w:tcW w:w="560" w:type="dxa"/>
            <w:vAlign w:val="bottom"/>
          </w:tcPr>
          <w:p>
            <w:pPr>
              <w:spacing w:after="0"/>
              <w:rPr>
                <w:sz w:val="18"/>
                <w:szCs w:val="18"/>
                <w:color w:val="auto"/>
              </w:rPr>
            </w:pPr>
          </w:p>
        </w:tc>
        <w:tc>
          <w:tcPr>
            <w:tcW w:w="14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160.3</w:t>
            </w:r>
          </w:p>
        </w:tc>
        <w:tc>
          <w:tcPr>
            <w:tcW w:w="560" w:type="dxa"/>
            <w:vAlign w:val="bottom"/>
          </w:tcPr>
          <w:p>
            <w:pPr>
              <w:spacing w:after="0"/>
              <w:rPr>
                <w:sz w:val="18"/>
                <w:szCs w:val="18"/>
                <w:color w:val="auto"/>
              </w:rPr>
            </w:pPr>
          </w:p>
        </w:tc>
        <w:tc>
          <w:tcPr>
            <w:tcW w:w="13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164.1</w:t>
            </w:r>
          </w:p>
        </w:tc>
      </w:tr>
      <w:tr>
        <w:trPr>
          <w:trHeight w:val="28"/>
        </w:trPr>
        <w:tc>
          <w:tcPr>
            <w:tcW w:w="736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73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Machinery and equipment</w:t>
            </w:r>
          </w:p>
        </w:tc>
        <w:tc>
          <w:tcPr>
            <w:tcW w:w="560" w:type="dxa"/>
            <w:vAlign w:val="bottom"/>
            <w:tcBorders>
              <w:bottom w:val="single" w:sz="8" w:color="E5F1F8"/>
            </w:tcBorders>
            <w:shd w:val="clear" w:color="auto" w:fill="E5F1F8"/>
          </w:tcPr>
          <w:p>
            <w:pPr>
              <w:spacing w:after="0"/>
              <w:rPr>
                <w:sz w:val="19"/>
                <w:szCs w:val="19"/>
                <w:color w:val="auto"/>
              </w:rPr>
            </w:pPr>
          </w:p>
        </w:tc>
        <w:tc>
          <w:tcPr>
            <w:tcW w:w="14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5,379.7</w:t>
            </w:r>
          </w:p>
        </w:tc>
        <w:tc>
          <w:tcPr>
            <w:tcW w:w="56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5,484.5</w:t>
            </w:r>
          </w:p>
        </w:tc>
      </w:tr>
      <w:tr>
        <w:trPr>
          <w:trHeight w:val="243"/>
        </w:trPr>
        <w:tc>
          <w:tcPr>
            <w:tcW w:w="73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Constructon in progress</w:t>
            </w:r>
          </w:p>
        </w:tc>
        <w:tc>
          <w:tcPr>
            <w:tcW w:w="560" w:type="dxa"/>
            <w:vAlign w:val="bottom"/>
          </w:tcPr>
          <w:p>
            <w:pPr>
              <w:spacing w:after="0"/>
              <w:rPr>
                <w:sz w:val="21"/>
                <w:szCs w:val="21"/>
                <w:color w:val="auto"/>
              </w:rPr>
            </w:pPr>
          </w:p>
        </w:tc>
        <w:tc>
          <w:tcPr>
            <w:tcW w:w="14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333.0</w:t>
            </w:r>
          </w:p>
        </w:tc>
        <w:tc>
          <w:tcPr>
            <w:tcW w:w="560" w:type="dxa"/>
            <w:vAlign w:val="bottom"/>
          </w:tcPr>
          <w:p>
            <w:pPr>
              <w:spacing w:after="0"/>
              <w:rPr>
                <w:sz w:val="21"/>
                <w:szCs w:val="21"/>
                <w:color w:val="auto"/>
              </w:rPr>
            </w:pPr>
          </w:p>
        </w:tc>
        <w:tc>
          <w:tcPr>
            <w:tcW w:w="13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338.5</w:t>
            </w:r>
          </w:p>
        </w:tc>
      </w:tr>
      <w:tr>
        <w:trPr>
          <w:trHeight w:val="248"/>
        </w:trPr>
        <w:tc>
          <w:tcPr>
            <w:tcW w:w="73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Finance lease right-of-use assets</w:t>
            </w:r>
          </w:p>
        </w:tc>
        <w:tc>
          <w:tcPr>
            <w:tcW w:w="560" w:type="dxa"/>
            <w:vAlign w:val="bottom"/>
            <w:tcBorders>
              <w:bottom w:val="single" w:sz="8" w:color="E5F1F8"/>
            </w:tcBorders>
            <w:shd w:val="clear" w:color="auto" w:fill="E5F1F8"/>
          </w:tcPr>
          <w:p>
            <w:pPr>
              <w:spacing w:after="0"/>
              <w:rPr>
                <w:sz w:val="21"/>
                <w:szCs w:val="21"/>
                <w:color w:val="auto"/>
              </w:rPr>
            </w:pPr>
          </w:p>
        </w:tc>
        <w:tc>
          <w:tcPr>
            <w:tcW w:w="140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253.5</w:t>
            </w:r>
          </w:p>
        </w:tc>
        <w:tc>
          <w:tcPr>
            <w:tcW w:w="560" w:type="dxa"/>
            <w:vAlign w:val="bottom"/>
            <w:tcBorders>
              <w:bottom w:val="single" w:sz="8" w:color="E5F1F8"/>
            </w:tcBorders>
            <w:shd w:val="clear" w:color="auto" w:fill="E5F1F8"/>
          </w:tcPr>
          <w:p>
            <w:pPr>
              <w:spacing w:after="0"/>
              <w:rPr>
                <w:sz w:val="21"/>
                <w:szCs w:val="21"/>
                <w:color w:val="auto"/>
              </w:rPr>
            </w:pPr>
          </w:p>
        </w:tc>
        <w:tc>
          <w:tcPr>
            <w:tcW w:w="13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236.9</w:t>
            </w:r>
          </w:p>
        </w:tc>
      </w:tr>
      <w:tr>
        <w:trPr>
          <w:trHeight w:val="237"/>
        </w:trPr>
        <w:tc>
          <w:tcPr>
            <w:tcW w:w="736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property, plant and equipment</w:t>
            </w: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10,707.9</w:t>
            </w:r>
          </w:p>
        </w:tc>
        <w:tc>
          <w:tcPr>
            <w:tcW w:w="5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10,661.0</w:t>
            </w:r>
          </w:p>
        </w:tc>
      </w:tr>
      <w:tr>
        <w:trPr>
          <w:trHeight w:val="248"/>
        </w:trPr>
        <w:tc>
          <w:tcPr>
            <w:tcW w:w="73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Less: accumulated depreciaton, depleton and amortzaton</w:t>
            </w:r>
          </w:p>
        </w:tc>
        <w:tc>
          <w:tcPr>
            <w:tcW w:w="560" w:type="dxa"/>
            <w:vAlign w:val="bottom"/>
            <w:tcBorders>
              <w:bottom w:val="single" w:sz="8" w:color="E5F1F8"/>
            </w:tcBorders>
            <w:shd w:val="clear" w:color="auto" w:fill="E5F1F8"/>
          </w:tcPr>
          <w:p>
            <w:pPr>
              <w:spacing w:after="0"/>
              <w:rPr>
                <w:sz w:val="21"/>
                <w:szCs w:val="21"/>
                <w:color w:val="auto"/>
              </w:rPr>
            </w:pPr>
          </w:p>
        </w:tc>
        <w:tc>
          <w:tcPr>
            <w:tcW w:w="140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(4,522.0 )</w:t>
            </w:r>
          </w:p>
        </w:tc>
        <w:tc>
          <w:tcPr>
            <w:tcW w:w="560" w:type="dxa"/>
            <w:vAlign w:val="bottom"/>
            <w:tcBorders>
              <w:bottom w:val="single" w:sz="8" w:color="E5F1F8"/>
            </w:tcBorders>
            <w:shd w:val="clear" w:color="auto" w:fill="E5F1F8"/>
          </w:tcPr>
          <w:p>
            <w:pPr>
              <w:spacing w:after="0"/>
              <w:rPr>
                <w:sz w:val="21"/>
                <w:szCs w:val="21"/>
                <w:color w:val="auto"/>
              </w:rPr>
            </w:pPr>
          </w:p>
        </w:tc>
        <w:tc>
          <w:tcPr>
            <w:tcW w:w="13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(4,344.3 )</w:t>
            </w:r>
          </w:p>
        </w:tc>
      </w:tr>
      <w:tr>
        <w:trPr>
          <w:trHeight w:val="208"/>
        </w:trPr>
        <w:tc>
          <w:tcPr>
            <w:tcW w:w="736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Property, plant and equipment, net</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4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6,185.9</w:t>
            </w:r>
          </w:p>
        </w:tc>
        <w:tc>
          <w:tcPr>
            <w:tcW w:w="560" w:type="dxa"/>
            <w:vAlign w:val="bottom"/>
            <w:tcBorders>
              <w:top w:val="single" w:sz="8" w:color="auto"/>
            </w:tcBorders>
          </w:tcPr>
          <w:p>
            <w:pPr>
              <w:jc w:val="right"/>
              <w:ind w:right="190"/>
              <w:spacing w:after="0" w:line="208" w:lineRule="exact"/>
              <w:rPr>
                <w:sz w:val="20"/>
                <w:szCs w:val="20"/>
                <w:color w:val="auto"/>
              </w:rPr>
            </w:pPr>
            <w:r>
              <w:rPr>
                <w:rFonts w:ascii="Calibri" w:cs="Calibri" w:eastAsia="Calibri" w:hAnsi="Calibri"/>
                <w:sz w:val="18"/>
                <w:szCs w:val="18"/>
                <w:color w:val="auto"/>
              </w:rPr>
              <w:t>$</w:t>
            </w:r>
          </w:p>
        </w:tc>
        <w:tc>
          <w:tcPr>
            <w:tcW w:w="13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6,316.7</w:t>
            </w:r>
          </w:p>
        </w:tc>
      </w:tr>
      <w:tr>
        <w:trPr>
          <w:trHeight w:val="28"/>
        </w:trPr>
        <w:tc>
          <w:tcPr>
            <w:tcW w:w="7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-672465</wp:posOffset>
            </wp:positionV>
            <wp:extent cx="33655" cy="1885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-672465</wp:posOffset>
            </wp:positionV>
            <wp:extent cx="33655" cy="1885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-354965</wp:posOffset>
            </wp:positionV>
            <wp:extent cx="33655" cy="3683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-354965</wp:posOffset>
            </wp:positionV>
            <wp:extent cx="33655" cy="3683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Depreciaton, depleton and amortzaton expense related to property, plant and equipment was $479.5 million, $472.8 million and $422.4 million for the years ended December 31, 2023, 2022 and 2021, respectvely. Depreciaton, depleton and amortzaton expense includes amortzaton of right-of-use assets from fnance leases. Property, plant and equipment classifed as held for sale are not being depreciated.</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Interest of $5.3 million, $2.7 million and $5.6 million was capitalized during 2023, 2022 and 2021, respectvely.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2023 and 2022, $39.5 million and $38.4 million, respectvely, of the Building Materials business’ property, plant and equipment, net, were located in foreign countries, namely The Bahamas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0" w:name="page91"/>
    <w:bookmarkEnd w:id="90"/>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22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G: Long-Term Debt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2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600" w:type="dxa"/>
            <w:vAlign w:val="bottom"/>
            <w:shd w:val="clear" w:color="auto" w:fill="007CBA"/>
          </w:tcPr>
          <w:p>
            <w:pPr>
              <w:spacing w:after="0"/>
              <w:rPr>
                <w:sz w:val="19"/>
                <w:szCs w:val="19"/>
                <w:color w:val="auto"/>
              </w:rPr>
            </w:pPr>
          </w:p>
        </w:tc>
        <w:tc>
          <w:tcPr>
            <w:tcW w:w="1480" w:type="dxa"/>
            <w:vAlign w:val="bottom"/>
            <w:tcBorders>
              <w:right w:val="single" w:sz="8" w:color="007CBA"/>
            </w:tcBorders>
            <w:shd w:val="clear" w:color="auto" w:fill="007CBA"/>
          </w:tcPr>
          <w:p>
            <w:pPr>
              <w:spacing w:after="0"/>
              <w:rPr>
                <w:sz w:val="19"/>
                <w:szCs w:val="19"/>
                <w:color w:val="auto"/>
              </w:rPr>
            </w:pPr>
          </w:p>
        </w:tc>
        <w:tc>
          <w:tcPr>
            <w:tcW w:w="600" w:type="dxa"/>
            <w:vAlign w:val="bottom"/>
            <w:shd w:val="clear" w:color="auto" w:fill="007CBA"/>
          </w:tcPr>
          <w:p>
            <w:pPr>
              <w:spacing w:after="0"/>
              <w:rPr>
                <w:sz w:val="19"/>
                <w:szCs w:val="19"/>
                <w:color w:val="auto"/>
              </w:rPr>
            </w:pPr>
          </w:p>
        </w:tc>
        <w:tc>
          <w:tcPr>
            <w:tcW w:w="1440" w:type="dxa"/>
            <w:vAlign w:val="bottom"/>
            <w:shd w:val="clear" w:color="auto" w:fill="007CBA"/>
          </w:tcPr>
          <w:p>
            <w:pPr>
              <w:spacing w:after="0"/>
              <w:rPr>
                <w:sz w:val="19"/>
                <w:szCs w:val="19"/>
                <w:color w:val="auto"/>
              </w:rPr>
            </w:pPr>
          </w:p>
        </w:tc>
      </w:tr>
      <w:tr>
        <w:trPr>
          <w:trHeight w:val="245"/>
        </w:trPr>
        <w:tc>
          <w:tcPr>
            <w:tcW w:w="712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600" w:type="dxa"/>
            <w:vAlign w:val="bottom"/>
            <w:tcBorders>
              <w:bottom w:val="single" w:sz="8" w:color="007CBA"/>
            </w:tcBorders>
            <w:shd w:val="clear" w:color="auto" w:fill="007CBA"/>
          </w:tcPr>
          <w:p>
            <w:pPr>
              <w:spacing w:after="0"/>
              <w:rPr>
                <w:sz w:val="21"/>
                <w:szCs w:val="21"/>
                <w:color w:val="auto"/>
              </w:rPr>
            </w:pPr>
          </w:p>
        </w:tc>
        <w:tc>
          <w:tcPr>
            <w:tcW w:w="1480" w:type="dxa"/>
            <w:vAlign w:val="bottom"/>
            <w:tcBorders>
              <w:bottom w:val="single" w:sz="8" w:color="007CBA"/>
              <w:right w:val="single" w:sz="8" w:color="007CBA"/>
            </w:tcBorders>
            <w:shd w:val="clear" w:color="auto" w:fill="007CBA"/>
          </w:tcPr>
          <w:p>
            <w:pPr>
              <w:jc w:val="right"/>
              <w:ind w:right="730"/>
              <w:spacing w:after="0" w:line="215" w:lineRule="exact"/>
              <w:rPr>
                <w:sz w:val="20"/>
                <w:szCs w:val="20"/>
                <w:color w:val="auto"/>
              </w:rPr>
            </w:pPr>
            <w:r>
              <w:rPr>
                <w:rFonts w:ascii="Calibri" w:cs="Calibri" w:eastAsia="Calibri" w:hAnsi="Calibri"/>
                <w:sz w:val="18"/>
                <w:szCs w:val="18"/>
                <w:b w:val="1"/>
                <w:bCs w:val="1"/>
                <w:color w:val="FFFFFF"/>
              </w:rPr>
              <w:t>2023</w:t>
            </w:r>
          </w:p>
        </w:tc>
        <w:tc>
          <w:tcPr>
            <w:tcW w:w="600" w:type="dxa"/>
            <w:vAlign w:val="bottom"/>
            <w:tcBorders>
              <w:bottom w:val="single" w:sz="8" w:color="007CBA"/>
            </w:tcBorders>
            <w:shd w:val="clear" w:color="auto" w:fill="007CBA"/>
          </w:tcPr>
          <w:p>
            <w:pPr>
              <w:spacing w:after="0"/>
              <w:rPr>
                <w:sz w:val="21"/>
                <w:szCs w:val="21"/>
                <w:color w:val="auto"/>
              </w:rPr>
            </w:pPr>
          </w:p>
        </w:tc>
        <w:tc>
          <w:tcPr>
            <w:tcW w:w="1440" w:type="dxa"/>
            <w:vAlign w:val="bottom"/>
            <w:tcBorders>
              <w:bottom w:val="single" w:sz="8" w:color="007CBA"/>
            </w:tcBorders>
            <w:shd w:val="clear" w:color="auto" w:fill="007CBA"/>
          </w:tcPr>
          <w:p>
            <w:pPr>
              <w:jc w:val="right"/>
              <w:ind w:right="710"/>
              <w:spacing w:after="0" w:line="215" w:lineRule="exact"/>
              <w:rPr>
                <w:sz w:val="20"/>
                <w:szCs w:val="20"/>
                <w:color w:val="auto"/>
              </w:rPr>
            </w:pPr>
            <w:r>
              <w:rPr>
                <w:rFonts w:ascii="Calibri" w:cs="Calibri" w:eastAsia="Calibri" w:hAnsi="Calibri"/>
                <w:sz w:val="18"/>
                <w:szCs w:val="18"/>
                <w:color w:val="FFFFFF"/>
              </w:rPr>
              <w:t>2022</w:t>
            </w:r>
          </w:p>
        </w:tc>
      </w:tr>
      <w:tr>
        <w:trPr>
          <w:trHeight w:val="223"/>
        </w:trPr>
        <w:tc>
          <w:tcPr>
            <w:tcW w:w="71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0.650% Senior Notes, due 2023 (discharged)</w:t>
            </w:r>
          </w:p>
        </w:tc>
        <w:tc>
          <w:tcPr>
            <w:tcW w:w="60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w:t>
            </w:r>
          </w:p>
        </w:tc>
        <w:tc>
          <w:tcPr>
            <w:tcW w:w="148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60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w:t>
            </w:r>
          </w:p>
        </w:tc>
        <w:tc>
          <w:tcPr>
            <w:tcW w:w="14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699.1</w:t>
            </w:r>
          </w:p>
        </w:tc>
      </w:tr>
      <w:tr>
        <w:trPr>
          <w:trHeight w:val="215"/>
        </w:trPr>
        <w:tc>
          <w:tcPr>
            <w:tcW w:w="71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4.250% Senior Notes, due 2024</w:t>
            </w:r>
          </w:p>
        </w:tc>
        <w:tc>
          <w:tcPr>
            <w:tcW w:w="600" w:type="dxa"/>
            <w:vAlign w:val="bottom"/>
          </w:tcPr>
          <w:p>
            <w:pPr>
              <w:spacing w:after="0"/>
              <w:rPr>
                <w:sz w:val="18"/>
                <w:szCs w:val="18"/>
                <w:color w:val="auto"/>
              </w:rPr>
            </w:pPr>
          </w:p>
        </w:tc>
        <w:tc>
          <w:tcPr>
            <w:tcW w:w="14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399.6</w:t>
            </w:r>
          </w:p>
        </w:tc>
        <w:tc>
          <w:tcPr>
            <w:tcW w:w="60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398.9</w:t>
            </w:r>
          </w:p>
        </w:tc>
      </w:tr>
      <w:tr>
        <w:trPr>
          <w:trHeight w:val="28"/>
        </w:trPr>
        <w:tc>
          <w:tcPr>
            <w:tcW w:w="7120" w:type="dxa"/>
            <w:vAlign w:val="bottom"/>
            <w:tcBorders>
              <w:right w:val="single" w:sz="8" w:color="007CBA"/>
            </w:tcBorders>
          </w:tcPr>
          <w:p>
            <w:pPr>
              <w:spacing w:after="0"/>
              <w:rPr>
                <w:sz w:val="2"/>
                <w:szCs w:val="2"/>
                <w:color w:val="auto"/>
              </w:rPr>
            </w:pPr>
          </w:p>
        </w:tc>
        <w:tc>
          <w:tcPr>
            <w:tcW w:w="600" w:type="dxa"/>
            <w:vAlign w:val="bottom"/>
          </w:tcPr>
          <w:p>
            <w:pPr>
              <w:spacing w:after="0"/>
              <w:rPr>
                <w:sz w:val="2"/>
                <w:szCs w:val="2"/>
                <w:color w:val="auto"/>
              </w:rPr>
            </w:pPr>
          </w:p>
        </w:tc>
        <w:tc>
          <w:tcPr>
            <w:tcW w:w="1480" w:type="dxa"/>
            <w:vAlign w:val="bottom"/>
            <w:tcBorders>
              <w:right w:val="single" w:sz="8" w:color="007CBA"/>
            </w:tcBorders>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1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7% Debentures, due 2025</w:t>
            </w:r>
          </w:p>
        </w:tc>
        <w:tc>
          <w:tcPr>
            <w:tcW w:w="600" w:type="dxa"/>
            <w:vAlign w:val="bottom"/>
            <w:tcBorders>
              <w:bottom w:val="single" w:sz="8" w:color="E5F1F8"/>
            </w:tcBorders>
            <w:shd w:val="clear" w:color="auto" w:fill="E5F1F8"/>
          </w:tcPr>
          <w:p>
            <w:pPr>
              <w:spacing w:after="0"/>
              <w:rPr>
                <w:sz w:val="19"/>
                <w:szCs w:val="19"/>
                <w:color w:val="auto"/>
              </w:rPr>
            </w:pPr>
          </w:p>
        </w:tc>
        <w:tc>
          <w:tcPr>
            <w:tcW w:w="14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124.8</w:t>
            </w:r>
          </w:p>
        </w:tc>
        <w:tc>
          <w:tcPr>
            <w:tcW w:w="600" w:type="dxa"/>
            <w:vAlign w:val="bottom"/>
            <w:tcBorders>
              <w:bottom w:val="single" w:sz="8" w:color="E5F1F8"/>
            </w:tcBorders>
            <w:shd w:val="clear" w:color="auto" w:fill="E5F1F8"/>
          </w:tcPr>
          <w:p>
            <w:pPr>
              <w:spacing w:after="0"/>
              <w:rPr>
                <w:sz w:val="19"/>
                <w:szCs w:val="19"/>
                <w:color w:val="auto"/>
              </w:rPr>
            </w:pPr>
          </w:p>
        </w:tc>
        <w:tc>
          <w:tcPr>
            <w:tcW w:w="14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124.7</w:t>
            </w:r>
          </w:p>
        </w:tc>
      </w:tr>
      <w:tr>
        <w:trPr>
          <w:trHeight w:val="215"/>
        </w:trPr>
        <w:tc>
          <w:tcPr>
            <w:tcW w:w="71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3.450% Senior Notes, due 2027</w:t>
            </w:r>
          </w:p>
        </w:tc>
        <w:tc>
          <w:tcPr>
            <w:tcW w:w="600" w:type="dxa"/>
            <w:vAlign w:val="bottom"/>
          </w:tcPr>
          <w:p>
            <w:pPr>
              <w:spacing w:after="0"/>
              <w:rPr>
                <w:sz w:val="18"/>
                <w:szCs w:val="18"/>
                <w:color w:val="auto"/>
              </w:rPr>
            </w:pPr>
          </w:p>
        </w:tc>
        <w:tc>
          <w:tcPr>
            <w:tcW w:w="14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298.7</w:t>
            </w:r>
          </w:p>
        </w:tc>
        <w:tc>
          <w:tcPr>
            <w:tcW w:w="60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298.3</w:t>
            </w:r>
          </w:p>
        </w:tc>
      </w:tr>
      <w:tr>
        <w:trPr>
          <w:trHeight w:val="28"/>
        </w:trPr>
        <w:tc>
          <w:tcPr>
            <w:tcW w:w="7120" w:type="dxa"/>
            <w:vAlign w:val="bottom"/>
            <w:tcBorders>
              <w:right w:val="single" w:sz="8" w:color="007CBA"/>
            </w:tcBorders>
          </w:tcPr>
          <w:p>
            <w:pPr>
              <w:spacing w:after="0"/>
              <w:rPr>
                <w:sz w:val="2"/>
                <w:szCs w:val="2"/>
                <w:color w:val="auto"/>
              </w:rPr>
            </w:pPr>
          </w:p>
        </w:tc>
        <w:tc>
          <w:tcPr>
            <w:tcW w:w="600" w:type="dxa"/>
            <w:vAlign w:val="bottom"/>
          </w:tcPr>
          <w:p>
            <w:pPr>
              <w:spacing w:after="0"/>
              <w:rPr>
                <w:sz w:val="2"/>
                <w:szCs w:val="2"/>
                <w:color w:val="auto"/>
              </w:rPr>
            </w:pPr>
          </w:p>
        </w:tc>
        <w:tc>
          <w:tcPr>
            <w:tcW w:w="1480" w:type="dxa"/>
            <w:vAlign w:val="bottom"/>
            <w:tcBorders>
              <w:right w:val="single" w:sz="8" w:color="007CBA"/>
            </w:tcBorders>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1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3.500% Senior Notes, due 2027</w:t>
            </w:r>
          </w:p>
        </w:tc>
        <w:tc>
          <w:tcPr>
            <w:tcW w:w="600" w:type="dxa"/>
            <w:vAlign w:val="bottom"/>
            <w:tcBorders>
              <w:bottom w:val="single" w:sz="8" w:color="E5F1F8"/>
            </w:tcBorders>
            <w:shd w:val="clear" w:color="auto" w:fill="E5F1F8"/>
          </w:tcPr>
          <w:p>
            <w:pPr>
              <w:spacing w:after="0"/>
              <w:rPr>
                <w:sz w:val="19"/>
                <w:szCs w:val="19"/>
                <w:color w:val="auto"/>
              </w:rPr>
            </w:pPr>
          </w:p>
        </w:tc>
        <w:tc>
          <w:tcPr>
            <w:tcW w:w="14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492.2</w:t>
            </w:r>
          </w:p>
        </w:tc>
        <w:tc>
          <w:tcPr>
            <w:tcW w:w="600" w:type="dxa"/>
            <w:vAlign w:val="bottom"/>
            <w:tcBorders>
              <w:bottom w:val="single" w:sz="8" w:color="E5F1F8"/>
            </w:tcBorders>
            <w:shd w:val="clear" w:color="auto" w:fill="E5F1F8"/>
          </w:tcPr>
          <w:p>
            <w:pPr>
              <w:spacing w:after="0"/>
              <w:rPr>
                <w:sz w:val="19"/>
                <w:szCs w:val="19"/>
                <w:color w:val="auto"/>
              </w:rPr>
            </w:pPr>
          </w:p>
        </w:tc>
        <w:tc>
          <w:tcPr>
            <w:tcW w:w="14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491.5</w:t>
            </w:r>
          </w:p>
        </w:tc>
      </w:tr>
      <w:tr>
        <w:trPr>
          <w:trHeight w:val="215"/>
        </w:trPr>
        <w:tc>
          <w:tcPr>
            <w:tcW w:w="71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2.500% Senior Notes, due 2030</w:t>
            </w:r>
          </w:p>
        </w:tc>
        <w:tc>
          <w:tcPr>
            <w:tcW w:w="600" w:type="dxa"/>
            <w:vAlign w:val="bottom"/>
          </w:tcPr>
          <w:p>
            <w:pPr>
              <w:spacing w:after="0"/>
              <w:rPr>
                <w:sz w:val="18"/>
                <w:szCs w:val="18"/>
                <w:color w:val="auto"/>
              </w:rPr>
            </w:pPr>
          </w:p>
        </w:tc>
        <w:tc>
          <w:tcPr>
            <w:tcW w:w="14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471.5</w:t>
            </w:r>
          </w:p>
        </w:tc>
        <w:tc>
          <w:tcPr>
            <w:tcW w:w="60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470.5</w:t>
            </w:r>
          </w:p>
        </w:tc>
      </w:tr>
      <w:tr>
        <w:trPr>
          <w:trHeight w:val="28"/>
        </w:trPr>
        <w:tc>
          <w:tcPr>
            <w:tcW w:w="7120" w:type="dxa"/>
            <w:vAlign w:val="bottom"/>
            <w:tcBorders>
              <w:right w:val="single" w:sz="8" w:color="007CBA"/>
            </w:tcBorders>
          </w:tcPr>
          <w:p>
            <w:pPr>
              <w:spacing w:after="0"/>
              <w:rPr>
                <w:sz w:val="2"/>
                <w:szCs w:val="2"/>
                <w:color w:val="auto"/>
              </w:rPr>
            </w:pPr>
          </w:p>
        </w:tc>
        <w:tc>
          <w:tcPr>
            <w:tcW w:w="600" w:type="dxa"/>
            <w:vAlign w:val="bottom"/>
          </w:tcPr>
          <w:p>
            <w:pPr>
              <w:spacing w:after="0"/>
              <w:rPr>
                <w:sz w:val="2"/>
                <w:szCs w:val="2"/>
                <w:color w:val="auto"/>
              </w:rPr>
            </w:pPr>
          </w:p>
        </w:tc>
        <w:tc>
          <w:tcPr>
            <w:tcW w:w="1480" w:type="dxa"/>
            <w:vAlign w:val="bottom"/>
            <w:tcBorders>
              <w:right w:val="single" w:sz="8" w:color="007CBA"/>
            </w:tcBorders>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1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2.400% Senior Notes, due 2031</w:t>
            </w:r>
          </w:p>
        </w:tc>
        <w:tc>
          <w:tcPr>
            <w:tcW w:w="600" w:type="dxa"/>
            <w:vAlign w:val="bottom"/>
            <w:tcBorders>
              <w:bottom w:val="single" w:sz="8" w:color="E5F1F8"/>
            </w:tcBorders>
            <w:shd w:val="clear" w:color="auto" w:fill="E5F1F8"/>
          </w:tcPr>
          <w:p>
            <w:pPr>
              <w:spacing w:after="0"/>
              <w:rPr>
                <w:sz w:val="19"/>
                <w:szCs w:val="19"/>
                <w:color w:val="auto"/>
              </w:rPr>
            </w:pPr>
          </w:p>
        </w:tc>
        <w:tc>
          <w:tcPr>
            <w:tcW w:w="14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889.4</w:t>
            </w:r>
          </w:p>
        </w:tc>
        <w:tc>
          <w:tcPr>
            <w:tcW w:w="600" w:type="dxa"/>
            <w:vAlign w:val="bottom"/>
            <w:tcBorders>
              <w:bottom w:val="single" w:sz="8" w:color="E5F1F8"/>
            </w:tcBorders>
            <w:shd w:val="clear" w:color="auto" w:fill="E5F1F8"/>
          </w:tcPr>
          <w:p>
            <w:pPr>
              <w:spacing w:after="0"/>
              <w:rPr>
                <w:sz w:val="19"/>
                <w:szCs w:val="19"/>
                <w:color w:val="auto"/>
              </w:rPr>
            </w:pPr>
          </w:p>
        </w:tc>
        <w:tc>
          <w:tcPr>
            <w:tcW w:w="14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888.6</w:t>
            </w:r>
          </w:p>
        </w:tc>
      </w:tr>
      <w:tr>
        <w:trPr>
          <w:trHeight w:val="215"/>
        </w:trPr>
        <w:tc>
          <w:tcPr>
            <w:tcW w:w="71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6.25% Senior Notes, due 2037</w:t>
            </w:r>
          </w:p>
        </w:tc>
        <w:tc>
          <w:tcPr>
            <w:tcW w:w="600" w:type="dxa"/>
            <w:vAlign w:val="bottom"/>
          </w:tcPr>
          <w:p>
            <w:pPr>
              <w:spacing w:after="0"/>
              <w:rPr>
                <w:sz w:val="18"/>
                <w:szCs w:val="18"/>
                <w:color w:val="auto"/>
              </w:rPr>
            </w:pPr>
          </w:p>
        </w:tc>
        <w:tc>
          <w:tcPr>
            <w:tcW w:w="14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228.4</w:t>
            </w:r>
          </w:p>
        </w:tc>
        <w:tc>
          <w:tcPr>
            <w:tcW w:w="60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228.4</w:t>
            </w:r>
          </w:p>
        </w:tc>
      </w:tr>
      <w:tr>
        <w:trPr>
          <w:trHeight w:val="28"/>
        </w:trPr>
        <w:tc>
          <w:tcPr>
            <w:tcW w:w="7120" w:type="dxa"/>
            <w:vAlign w:val="bottom"/>
            <w:tcBorders>
              <w:right w:val="single" w:sz="8" w:color="007CBA"/>
            </w:tcBorders>
          </w:tcPr>
          <w:p>
            <w:pPr>
              <w:spacing w:after="0"/>
              <w:rPr>
                <w:sz w:val="2"/>
                <w:szCs w:val="2"/>
                <w:color w:val="auto"/>
              </w:rPr>
            </w:pPr>
          </w:p>
        </w:tc>
        <w:tc>
          <w:tcPr>
            <w:tcW w:w="600" w:type="dxa"/>
            <w:vAlign w:val="bottom"/>
          </w:tcPr>
          <w:p>
            <w:pPr>
              <w:spacing w:after="0"/>
              <w:rPr>
                <w:sz w:val="2"/>
                <w:szCs w:val="2"/>
                <w:color w:val="auto"/>
              </w:rPr>
            </w:pPr>
          </w:p>
        </w:tc>
        <w:tc>
          <w:tcPr>
            <w:tcW w:w="1480" w:type="dxa"/>
            <w:vAlign w:val="bottom"/>
            <w:tcBorders>
              <w:right w:val="single" w:sz="8" w:color="007CBA"/>
            </w:tcBorders>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71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4.250% Senior Notes, due 2047</w:t>
            </w:r>
          </w:p>
        </w:tc>
        <w:tc>
          <w:tcPr>
            <w:tcW w:w="600" w:type="dxa"/>
            <w:vAlign w:val="bottom"/>
            <w:tcBorders>
              <w:bottom w:val="single" w:sz="8" w:color="E5F1F8"/>
            </w:tcBorders>
            <w:shd w:val="clear" w:color="auto" w:fill="E5F1F8"/>
          </w:tcPr>
          <w:p>
            <w:pPr>
              <w:spacing w:after="0"/>
              <w:rPr>
                <w:sz w:val="19"/>
                <w:szCs w:val="19"/>
                <w:color w:val="auto"/>
              </w:rPr>
            </w:pPr>
          </w:p>
        </w:tc>
        <w:tc>
          <w:tcPr>
            <w:tcW w:w="14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590.4</w:t>
            </w:r>
          </w:p>
        </w:tc>
        <w:tc>
          <w:tcPr>
            <w:tcW w:w="600" w:type="dxa"/>
            <w:vAlign w:val="bottom"/>
            <w:tcBorders>
              <w:bottom w:val="single" w:sz="8" w:color="E5F1F8"/>
            </w:tcBorders>
            <w:shd w:val="clear" w:color="auto" w:fill="E5F1F8"/>
          </w:tcPr>
          <w:p>
            <w:pPr>
              <w:spacing w:after="0"/>
              <w:rPr>
                <w:sz w:val="19"/>
                <w:szCs w:val="19"/>
                <w:color w:val="auto"/>
              </w:rPr>
            </w:pPr>
          </w:p>
        </w:tc>
        <w:tc>
          <w:tcPr>
            <w:tcW w:w="14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590.2</w:t>
            </w:r>
          </w:p>
        </w:tc>
      </w:tr>
      <w:tr>
        <w:trPr>
          <w:trHeight w:val="243"/>
        </w:trPr>
        <w:tc>
          <w:tcPr>
            <w:tcW w:w="71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3.200% Senior Notes, due 2051</w:t>
            </w:r>
          </w:p>
        </w:tc>
        <w:tc>
          <w:tcPr>
            <w:tcW w:w="600" w:type="dxa"/>
            <w:vAlign w:val="bottom"/>
          </w:tcPr>
          <w:p>
            <w:pPr>
              <w:spacing w:after="0"/>
              <w:rPr>
                <w:sz w:val="21"/>
                <w:szCs w:val="21"/>
                <w:color w:val="auto"/>
              </w:rPr>
            </w:pPr>
          </w:p>
        </w:tc>
        <w:tc>
          <w:tcPr>
            <w:tcW w:w="14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850.2</w:t>
            </w:r>
          </w:p>
        </w:tc>
        <w:tc>
          <w:tcPr>
            <w:tcW w:w="600" w:type="dxa"/>
            <w:vAlign w:val="bottom"/>
          </w:tcPr>
          <w:p>
            <w:pPr>
              <w:spacing w:after="0"/>
              <w:rPr>
                <w:sz w:val="21"/>
                <w:szCs w:val="21"/>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849.8</w:t>
            </w:r>
          </w:p>
        </w:tc>
      </w:tr>
      <w:tr>
        <w:trPr>
          <w:trHeight w:val="217"/>
        </w:trPr>
        <w:tc>
          <w:tcPr>
            <w:tcW w:w="7120" w:type="dxa"/>
            <w:vAlign w:val="bottom"/>
            <w:tcBorders>
              <w:top w:val="single" w:sz="8" w:color="auto"/>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debt</w:t>
            </w:r>
          </w:p>
        </w:tc>
        <w:tc>
          <w:tcPr>
            <w:tcW w:w="600" w:type="dxa"/>
            <w:vAlign w:val="bottom"/>
            <w:tcBorders>
              <w:top w:val="single" w:sz="8" w:color="auto"/>
              <w:bottom w:val="single" w:sz="8" w:color="E5F1F8"/>
            </w:tcBorders>
            <w:shd w:val="clear" w:color="auto" w:fill="E5F1F8"/>
          </w:tcPr>
          <w:p>
            <w:pPr>
              <w:spacing w:after="0"/>
              <w:rPr>
                <w:sz w:val="18"/>
                <w:szCs w:val="18"/>
                <w:color w:val="auto"/>
              </w:rPr>
            </w:pPr>
          </w:p>
        </w:tc>
        <w:tc>
          <w:tcPr>
            <w:tcW w:w="1480" w:type="dxa"/>
            <w:vAlign w:val="bottom"/>
            <w:tcBorders>
              <w:top w:val="single" w:sz="8" w:color="auto"/>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4,345.2</w:t>
            </w:r>
          </w:p>
        </w:tc>
        <w:tc>
          <w:tcPr>
            <w:tcW w:w="600" w:type="dxa"/>
            <w:vAlign w:val="bottom"/>
            <w:tcBorders>
              <w:top w:val="single" w:sz="8" w:color="auto"/>
              <w:bottom w:val="single" w:sz="8" w:color="E5F1F8"/>
            </w:tcBorders>
            <w:shd w:val="clear" w:color="auto" w:fill="E5F1F8"/>
          </w:tcPr>
          <w:p>
            <w:pPr>
              <w:spacing w:after="0"/>
              <w:rPr>
                <w:sz w:val="18"/>
                <w:szCs w:val="18"/>
                <w:color w:val="auto"/>
              </w:rPr>
            </w:pPr>
          </w:p>
        </w:tc>
        <w:tc>
          <w:tcPr>
            <w:tcW w:w="1440" w:type="dxa"/>
            <w:vAlign w:val="bottom"/>
            <w:tcBorders>
              <w:top w:val="single" w:sz="8" w:color="auto"/>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5,040.0</w:t>
            </w:r>
          </w:p>
        </w:tc>
      </w:tr>
      <w:tr>
        <w:trPr>
          <w:trHeight w:val="215"/>
        </w:trPr>
        <w:tc>
          <w:tcPr>
            <w:tcW w:w="7120" w:type="dxa"/>
            <w:vAlign w:val="bottom"/>
          </w:tcPr>
          <w:p>
            <w:pPr>
              <w:ind w:left="120"/>
              <w:spacing w:after="0" w:line="215" w:lineRule="exact"/>
              <w:rPr>
                <w:sz w:val="20"/>
                <w:szCs w:val="20"/>
                <w:color w:val="auto"/>
              </w:rPr>
            </w:pPr>
            <w:r>
              <w:rPr>
                <w:rFonts w:ascii="Calibri" w:cs="Calibri" w:eastAsia="Calibri" w:hAnsi="Calibri"/>
                <w:sz w:val="18"/>
                <w:szCs w:val="18"/>
                <w:color w:val="auto"/>
              </w:rPr>
              <w:t>Less: current maturites</w:t>
            </w:r>
          </w:p>
        </w:tc>
        <w:tc>
          <w:tcPr>
            <w:tcW w:w="600" w:type="dxa"/>
            <w:vAlign w:val="bottom"/>
          </w:tcPr>
          <w:p>
            <w:pPr>
              <w:spacing w:after="0"/>
              <w:rPr>
                <w:sz w:val="18"/>
                <w:szCs w:val="18"/>
                <w:color w:val="auto"/>
              </w:rPr>
            </w:pPr>
          </w:p>
        </w:tc>
        <w:tc>
          <w:tcPr>
            <w:tcW w:w="148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(399.6 )</w:t>
            </w:r>
          </w:p>
        </w:tc>
        <w:tc>
          <w:tcPr>
            <w:tcW w:w="60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(699.1 )</w:t>
            </w:r>
          </w:p>
        </w:tc>
      </w:tr>
      <w:tr>
        <w:trPr>
          <w:trHeight w:val="28"/>
        </w:trPr>
        <w:tc>
          <w:tcPr>
            <w:tcW w:w="7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2"/>
        </w:trPr>
        <w:tc>
          <w:tcPr>
            <w:tcW w:w="712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Long-term debt</w:t>
            </w:r>
          </w:p>
        </w:tc>
        <w:tc>
          <w:tcPr>
            <w:tcW w:w="600" w:type="dxa"/>
            <w:vAlign w:val="bottom"/>
            <w:tcBorders>
              <w:bottom w:val="single" w:sz="8" w:color="E5F1F8"/>
            </w:tcBorders>
            <w:shd w:val="clear" w:color="auto" w:fill="E5F1F8"/>
          </w:tcPr>
          <w:p>
            <w:pPr>
              <w:jc w:val="right"/>
              <w:ind w:right="210"/>
              <w:spacing w:after="0" w:line="208" w:lineRule="exact"/>
              <w:rPr>
                <w:sz w:val="20"/>
                <w:szCs w:val="20"/>
                <w:color w:val="auto"/>
              </w:rPr>
            </w:pPr>
            <w:r>
              <w:rPr>
                <w:rFonts w:ascii="Calibri" w:cs="Calibri" w:eastAsia="Calibri" w:hAnsi="Calibri"/>
                <w:sz w:val="18"/>
                <w:szCs w:val="18"/>
                <w:b w:val="1"/>
                <w:bCs w:val="1"/>
                <w:color w:val="auto"/>
              </w:rPr>
              <w:t>$</w:t>
            </w:r>
          </w:p>
        </w:tc>
        <w:tc>
          <w:tcPr>
            <w:tcW w:w="148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3,945.6</w:t>
            </w:r>
          </w:p>
        </w:tc>
        <w:tc>
          <w:tcPr>
            <w:tcW w:w="600" w:type="dxa"/>
            <w:vAlign w:val="bottom"/>
            <w:tcBorders>
              <w:bottom w:val="single" w:sz="8" w:color="E5F1F8"/>
            </w:tcBorders>
            <w:shd w:val="clear" w:color="auto" w:fill="E5F1F8"/>
          </w:tcPr>
          <w:p>
            <w:pPr>
              <w:jc w:val="right"/>
              <w:ind w:right="210"/>
              <w:spacing w:after="0" w:line="208" w:lineRule="exact"/>
              <w:rPr>
                <w:sz w:val="20"/>
                <w:szCs w:val="20"/>
                <w:color w:val="auto"/>
              </w:rPr>
            </w:pPr>
            <w:r>
              <w:rPr>
                <w:rFonts w:ascii="Calibri" w:cs="Calibri" w:eastAsia="Calibri" w:hAnsi="Calibri"/>
                <w:sz w:val="18"/>
                <w:szCs w:val="18"/>
                <w:color w:val="auto"/>
              </w:rPr>
              <w:t>$</w:t>
            </w:r>
          </w:p>
        </w:tc>
        <w:tc>
          <w:tcPr>
            <w:tcW w:w="14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4,340.9</w:t>
            </w:r>
          </w:p>
        </w:tc>
      </w:tr>
      <w:tr>
        <w:trPr>
          <w:trHeight w:val="20"/>
        </w:trPr>
        <w:tc>
          <w:tcPr>
            <w:tcW w:w="7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-518160</wp:posOffset>
            </wp:positionV>
            <wp:extent cx="33655" cy="5308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33655" cy="530860"/>
                    </a:xfrm>
                    <a:prstGeom prst="rect">
                      <a:avLst/>
                    </a:prstGeom>
                    <a:noFill/>
                  </pic:spPr>
                </pic:pic>
              </a:graphicData>
            </a:graphic>
          </wp:anchor>
        </w:drawing>
        <w:drawing>
          <wp:anchor simplePos="0" relativeHeight="251657728" behindDoc="1" locked="0" layoutInCell="0" allowOverlap="1">
            <wp:simplePos x="0" y="0"/>
            <wp:positionH relativeFrom="column">
              <wp:posOffset>5821680</wp:posOffset>
            </wp:positionH>
            <wp:positionV relativeFrom="paragraph">
              <wp:posOffset>-518160</wp:posOffset>
            </wp:positionV>
            <wp:extent cx="34290" cy="53086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34290" cy="53086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September 29, 2022, the Company satsfed and discharged the 0.650% Senior Notes, which were issued in July 2021. In connecton with the satsfacton and discharge, the Company irrevocably deposited funds with Regions Bank, as trustee under the indenture governing the 0.650% Senior Notes, in an amount sufcient to satsfy all remaining principal and interest payments on the 0.650% Senior Notes. The Company utlized existng cash resources to fund the satsfacton and discharge. As a result of the satsfacton and discharge, the obligatons of the Company under the indenture with respect to the 0.650% Senior Notes were terminated, except those provisions of the indenture that, by their terms, survive the satsfacton and discharge. Because the discharge did not represent a legal defeasance, the 0.650% Senior Notes remained on the Company's consolidated balance sheet at December 31, 2022 and contnued to accrete to their par value over the period untl maturity. Additonally, the related trust assets were included in </w:t>
      </w:r>
      <w:r>
        <w:rPr>
          <w:rFonts w:ascii="Calibri" w:cs="Calibri" w:eastAsia="Calibri" w:hAnsi="Calibri"/>
          <w:sz w:val="18"/>
          <w:szCs w:val="18"/>
          <w:i w:val="1"/>
          <w:iCs w:val="1"/>
          <w:color w:val="auto"/>
        </w:rPr>
        <w:t>Restricted investments (to satsfy discharged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debt and related interest) </w:t>
      </w:r>
      <w:r>
        <w:rPr>
          <w:rFonts w:ascii="Calibri" w:cs="Calibri" w:eastAsia="Calibri" w:hAnsi="Calibri"/>
          <w:sz w:val="18"/>
          <w:szCs w:val="18"/>
          <w:color w:val="auto"/>
        </w:rPr>
        <w:t>on the Company's consolidated balance sheet at December 31, 2022. On July 17, 2023, the deposited funds were applied to satsfy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remaining principal and interest payments and the 0.650% Senior Notes have been paid in full.</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4.250% Senior Notes due 2024, 7% Debentures due 2025, 3.450% Senior Notes due 2027, 3.500% Senior Notes due 2027, 2.500% Senior Notes due 2030, 2.400% Senior Notes due 2031, 6.25% Senior Notes due 2037, 4.250% Senior Notes due 2047 and 3.200% Senior Notes due 2051 (collectvely, the Senior Notes) are senior unsecured obligatons of the Company, ranking equal in right of payment with the Company’s existng and future unsubordinated indebtedness. The Senior Notes, with the excepton of the 7% Debentures due 2025 and the 6.25% Senior Notes due 2037, are redeemable prior to their respectve par call dates, as defned, at a make-whole redempton price, and at a price equal to 100% of the principal amount afer their respectve par call dates and prior to their respectve maturity dates. The 6.25% Senior Notes due 2037 are redeemable in whole at any tme or in part from tme to tme at a make-whole redempton price. Upon a change-of-control repurchase event and a resultng below-investment-grade credit ratng, the Company would be required to make an ofer to repurchase all outstanding Senior Notes, with the excepton of the 7% Debentures due 2025, at a price in cash equal to 101% of the principal amount of the Senior Notes, plus any accrued and unpaid interest.</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 ended December 31, 2022, the Company repurchased $67.7 million (par value) of its Senior Notes. There were no debt repurchases during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1" w:name="page92"/>
    <w:bookmarkEnd w:id="91"/>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Senior Notes are carried net of original issue discount, which is being amortzed by the efectve interest method over the life of the issue. The principal amount as of December 31, 2023, efectve interest rate and maturity date for the Senior Notes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40" w:type="dxa"/>
            <w:vAlign w:val="bottom"/>
            <w:tcBorders>
              <w:right w:val="single" w:sz="8" w:color="007CBA"/>
            </w:tcBorders>
            <w:shd w:val="clear" w:color="auto" w:fill="007CBA"/>
          </w:tcPr>
          <w:p>
            <w:pPr>
              <w:spacing w:after="0"/>
              <w:rPr>
                <w:sz w:val="19"/>
                <w:szCs w:val="19"/>
                <w:color w:val="auto"/>
              </w:rPr>
            </w:pPr>
          </w:p>
        </w:tc>
        <w:tc>
          <w:tcPr>
            <w:tcW w:w="340" w:type="dxa"/>
            <w:vAlign w:val="bottom"/>
            <w:shd w:val="clear" w:color="auto" w:fill="007CBA"/>
          </w:tcPr>
          <w:p>
            <w:pPr>
              <w:spacing w:after="0"/>
              <w:rPr>
                <w:sz w:val="19"/>
                <w:szCs w:val="19"/>
                <w:color w:val="auto"/>
              </w:rPr>
            </w:pPr>
          </w:p>
        </w:tc>
        <w:tc>
          <w:tcPr>
            <w:tcW w:w="1220" w:type="dxa"/>
            <w:vAlign w:val="bottom"/>
            <w:tcBorders>
              <w:right w:val="single" w:sz="8" w:color="007CBA"/>
            </w:tcBorders>
            <w:shd w:val="clear" w:color="auto" w:fill="007CBA"/>
          </w:tcPr>
          <w:p>
            <w:pPr>
              <w:jc w:val="center"/>
              <w:ind w:right="210"/>
              <w:spacing w:after="0"/>
              <w:rPr>
                <w:sz w:val="20"/>
                <w:szCs w:val="20"/>
                <w:color w:val="auto"/>
              </w:rPr>
            </w:pPr>
            <w:r>
              <w:rPr>
                <w:rFonts w:ascii="Calibri" w:cs="Calibri" w:eastAsia="Calibri" w:hAnsi="Calibri"/>
                <w:sz w:val="18"/>
                <w:szCs w:val="18"/>
                <w:b w:val="1"/>
                <w:bCs w:val="1"/>
                <w:color w:val="FFFFFF"/>
                <w:w w:val="98"/>
              </w:rPr>
              <w:t>Principal</w:t>
            </w:r>
          </w:p>
        </w:tc>
        <w:tc>
          <w:tcPr>
            <w:tcW w:w="2380" w:type="dxa"/>
            <w:vAlign w:val="bottom"/>
            <w:tcBorders>
              <w:right w:val="single" w:sz="8" w:color="007CBA"/>
            </w:tcBorders>
            <w:shd w:val="clear" w:color="auto" w:fill="007CBA"/>
          </w:tcPr>
          <w:p>
            <w:pPr>
              <w:jc w:val="center"/>
              <w:ind w:left="70"/>
              <w:spacing w:after="0"/>
              <w:rPr>
                <w:sz w:val="20"/>
                <w:szCs w:val="20"/>
                <w:color w:val="auto"/>
              </w:rPr>
            </w:pPr>
            <w:r>
              <w:rPr>
                <w:rFonts w:ascii="Calibri" w:cs="Calibri" w:eastAsia="Calibri" w:hAnsi="Calibri"/>
                <w:sz w:val="18"/>
                <w:szCs w:val="18"/>
                <w:b w:val="1"/>
                <w:bCs w:val="1"/>
                <w:color w:val="FFFFFF"/>
              </w:rPr>
              <w:t>Efectve</w:t>
            </w:r>
          </w:p>
        </w:tc>
        <w:tc>
          <w:tcPr>
            <w:tcW w:w="2360" w:type="dxa"/>
            <w:vAlign w:val="bottom"/>
            <w:shd w:val="clear" w:color="auto" w:fill="007CBA"/>
          </w:tcPr>
          <w:p>
            <w:pPr>
              <w:spacing w:after="0"/>
              <w:rPr>
                <w:sz w:val="19"/>
                <w:szCs w:val="19"/>
                <w:color w:val="auto"/>
              </w:rPr>
            </w:pPr>
          </w:p>
        </w:tc>
      </w:tr>
      <w:tr>
        <w:trPr>
          <w:trHeight w:val="215"/>
        </w:trPr>
        <w:tc>
          <w:tcPr>
            <w:tcW w:w="4940" w:type="dxa"/>
            <w:vAlign w:val="bottom"/>
            <w:tcBorders>
              <w:right w:val="single" w:sz="8" w:color="007CBA"/>
            </w:tcBorders>
            <w:shd w:val="clear" w:color="auto" w:fill="007CBA"/>
          </w:tcPr>
          <w:p>
            <w:pPr>
              <w:spacing w:after="0"/>
              <w:rPr>
                <w:sz w:val="18"/>
                <w:szCs w:val="18"/>
                <w:color w:val="auto"/>
              </w:rPr>
            </w:pPr>
          </w:p>
        </w:tc>
        <w:tc>
          <w:tcPr>
            <w:tcW w:w="340" w:type="dxa"/>
            <w:vAlign w:val="bottom"/>
            <w:shd w:val="clear" w:color="auto" w:fill="007CBA"/>
          </w:tcPr>
          <w:p>
            <w:pPr>
              <w:spacing w:after="0"/>
              <w:rPr>
                <w:sz w:val="18"/>
                <w:szCs w:val="18"/>
                <w:color w:val="auto"/>
              </w:rPr>
            </w:pPr>
          </w:p>
        </w:tc>
        <w:tc>
          <w:tcPr>
            <w:tcW w:w="1220" w:type="dxa"/>
            <w:vAlign w:val="bottom"/>
            <w:tcBorders>
              <w:right w:val="single" w:sz="8" w:color="007CBA"/>
            </w:tcBorders>
            <w:shd w:val="clear" w:color="auto" w:fill="007CBA"/>
          </w:tcPr>
          <w:p>
            <w:pPr>
              <w:jc w:val="center"/>
              <w:ind w:right="190"/>
              <w:spacing w:after="0" w:line="215" w:lineRule="exact"/>
              <w:rPr>
                <w:sz w:val="20"/>
                <w:szCs w:val="20"/>
                <w:color w:val="auto"/>
              </w:rPr>
            </w:pPr>
            <w:r>
              <w:rPr>
                <w:rFonts w:ascii="Calibri" w:cs="Calibri" w:eastAsia="Calibri" w:hAnsi="Calibri"/>
                <w:sz w:val="18"/>
                <w:szCs w:val="18"/>
                <w:b w:val="1"/>
                <w:bCs w:val="1"/>
                <w:color w:val="FFFFFF"/>
                <w:w w:val="95"/>
              </w:rPr>
              <w:t>Amount</w:t>
            </w:r>
          </w:p>
        </w:tc>
        <w:tc>
          <w:tcPr>
            <w:tcW w:w="2380" w:type="dxa"/>
            <w:vAlign w:val="bottom"/>
            <w:tcBorders>
              <w:right w:val="single" w:sz="8" w:color="007CBA"/>
            </w:tcBorders>
            <w:shd w:val="clear" w:color="auto" w:fill="007CBA"/>
          </w:tcPr>
          <w:p>
            <w:pPr>
              <w:jc w:val="center"/>
              <w:ind w:left="50"/>
              <w:spacing w:after="0" w:line="215" w:lineRule="exact"/>
              <w:rPr>
                <w:sz w:val="20"/>
                <w:szCs w:val="20"/>
                <w:color w:val="auto"/>
              </w:rPr>
            </w:pPr>
            <w:r>
              <w:rPr>
                <w:rFonts w:ascii="Calibri" w:cs="Calibri" w:eastAsia="Calibri" w:hAnsi="Calibri"/>
                <w:sz w:val="18"/>
                <w:szCs w:val="18"/>
                <w:b w:val="1"/>
                <w:bCs w:val="1"/>
                <w:color w:val="FFFFFF"/>
                <w:w w:val="95"/>
              </w:rPr>
              <w:t>Interest</w:t>
            </w:r>
          </w:p>
        </w:tc>
        <w:tc>
          <w:tcPr>
            <w:tcW w:w="2360" w:type="dxa"/>
            <w:vAlign w:val="bottom"/>
            <w:shd w:val="clear" w:color="auto" w:fill="007CBA"/>
          </w:tcPr>
          <w:p>
            <w:pPr>
              <w:spacing w:after="0"/>
              <w:rPr>
                <w:sz w:val="18"/>
                <w:szCs w:val="18"/>
                <w:color w:val="auto"/>
              </w:rPr>
            </w:pPr>
          </w:p>
        </w:tc>
      </w:tr>
      <w:tr>
        <w:trPr>
          <w:trHeight w:val="233"/>
        </w:trPr>
        <w:tc>
          <w:tcPr>
            <w:tcW w:w="4940" w:type="dxa"/>
            <w:vAlign w:val="bottom"/>
            <w:tcBorders>
              <w:bottom w:val="single" w:sz="8" w:color="007CBA"/>
              <w:right w:val="single" w:sz="8" w:color="007CBA"/>
            </w:tcBorders>
            <w:shd w:val="clear" w:color="auto" w:fill="007CBA"/>
          </w:tcPr>
          <w:p>
            <w:pPr>
              <w:spacing w:after="0"/>
              <w:rPr>
                <w:sz w:val="20"/>
                <w:szCs w:val="20"/>
                <w:color w:val="auto"/>
              </w:rPr>
            </w:pPr>
          </w:p>
        </w:tc>
        <w:tc>
          <w:tcPr>
            <w:tcW w:w="340" w:type="dxa"/>
            <w:vAlign w:val="bottom"/>
            <w:tcBorders>
              <w:bottom w:val="single" w:sz="8" w:color="007CBA"/>
            </w:tcBorders>
            <w:shd w:val="clear" w:color="auto" w:fill="007CBA"/>
          </w:tcPr>
          <w:p>
            <w:pPr>
              <w:spacing w:after="0"/>
              <w:rPr>
                <w:sz w:val="20"/>
                <w:szCs w:val="20"/>
                <w:color w:val="auto"/>
              </w:rPr>
            </w:pPr>
          </w:p>
        </w:tc>
        <w:tc>
          <w:tcPr>
            <w:tcW w:w="1220" w:type="dxa"/>
            <w:vAlign w:val="bottom"/>
            <w:tcBorders>
              <w:bottom w:val="single" w:sz="8" w:color="007CBA"/>
              <w:right w:val="single" w:sz="8" w:color="007CBA"/>
            </w:tcBorders>
            <w:shd w:val="clear" w:color="auto" w:fill="007CBA"/>
          </w:tcPr>
          <w:p>
            <w:pPr>
              <w:jc w:val="center"/>
              <w:ind w:right="210"/>
              <w:spacing w:after="0" w:line="216" w:lineRule="exact"/>
              <w:rPr>
                <w:sz w:val="20"/>
                <w:szCs w:val="20"/>
                <w:color w:val="auto"/>
              </w:rPr>
            </w:pPr>
            <w:r>
              <w:rPr>
                <w:rFonts w:ascii="Calibri" w:cs="Calibri" w:eastAsia="Calibri" w:hAnsi="Calibri"/>
                <w:sz w:val="18"/>
                <w:szCs w:val="18"/>
                <w:color w:val="FFFFFF"/>
                <w:w w:val="98"/>
              </w:rPr>
              <w:t>(in millions)</w:t>
            </w:r>
          </w:p>
        </w:tc>
        <w:tc>
          <w:tcPr>
            <w:tcW w:w="2380" w:type="dxa"/>
            <w:vAlign w:val="bottom"/>
            <w:tcBorders>
              <w:bottom w:val="single" w:sz="8" w:color="007CBA"/>
              <w:right w:val="single" w:sz="8" w:color="007CBA"/>
            </w:tcBorders>
            <w:shd w:val="clear" w:color="auto" w:fill="007CBA"/>
          </w:tcPr>
          <w:p>
            <w:pPr>
              <w:jc w:val="center"/>
              <w:ind w:left="70"/>
              <w:spacing w:after="0" w:line="216" w:lineRule="exact"/>
              <w:rPr>
                <w:sz w:val="20"/>
                <w:szCs w:val="20"/>
                <w:color w:val="auto"/>
              </w:rPr>
            </w:pPr>
            <w:r>
              <w:rPr>
                <w:rFonts w:ascii="Calibri" w:cs="Calibri" w:eastAsia="Calibri" w:hAnsi="Calibri"/>
                <w:sz w:val="18"/>
                <w:szCs w:val="18"/>
                <w:b w:val="1"/>
                <w:bCs w:val="1"/>
                <w:color w:val="FFFFFF"/>
                <w:w w:val="98"/>
              </w:rPr>
              <w:t>Rate</w:t>
            </w:r>
          </w:p>
        </w:tc>
        <w:tc>
          <w:tcPr>
            <w:tcW w:w="2360" w:type="dxa"/>
            <w:vAlign w:val="bottom"/>
            <w:tcBorders>
              <w:bottom w:val="single" w:sz="8" w:color="007CBA"/>
            </w:tcBorders>
            <w:shd w:val="clear" w:color="auto" w:fill="007CBA"/>
          </w:tcPr>
          <w:p>
            <w:pPr>
              <w:jc w:val="center"/>
              <w:ind w:left="70"/>
              <w:spacing w:after="0" w:line="216" w:lineRule="exact"/>
              <w:rPr>
                <w:sz w:val="20"/>
                <w:szCs w:val="20"/>
                <w:color w:val="auto"/>
              </w:rPr>
            </w:pPr>
            <w:r>
              <w:rPr>
                <w:rFonts w:ascii="Calibri" w:cs="Calibri" w:eastAsia="Calibri" w:hAnsi="Calibri"/>
                <w:sz w:val="18"/>
                <w:szCs w:val="18"/>
                <w:b w:val="1"/>
                <w:bCs w:val="1"/>
                <w:color w:val="FFFFFF"/>
                <w:w w:val="98"/>
              </w:rPr>
              <w:t>Maturity Date</w:t>
            </w:r>
          </w:p>
        </w:tc>
      </w:tr>
      <w:tr>
        <w:trPr>
          <w:trHeight w:val="215"/>
        </w:trPr>
        <w:tc>
          <w:tcPr>
            <w:tcW w:w="49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4.250% Senior Notes</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400.0</w:t>
            </w:r>
          </w:p>
        </w:tc>
        <w:tc>
          <w:tcPr>
            <w:tcW w:w="2380" w:type="dxa"/>
            <w:vAlign w:val="bottom"/>
            <w:tcBorders>
              <w:right w:val="single" w:sz="8" w:color="007CBA"/>
            </w:tcBorders>
          </w:tcPr>
          <w:p>
            <w:pPr>
              <w:jc w:val="center"/>
              <w:ind w:left="50"/>
              <w:spacing w:after="0" w:line="215" w:lineRule="exact"/>
              <w:rPr>
                <w:sz w:val="20"/>
                <w:szCs w:val="20"/>
                <w:color w:val="auto"/>
              </w:rPr>
            </w:pPr>
            <w:r>
              <w:rPr>
                <w:rFonts w:ascii="Calibri" w:cs="Calibri" w:eastAsia="Calibri" w:hAnsi="Calibri"/>
                <w:sz w:val="18"/>
                <w:szCs w:val="18"/>
                <w:color w:val="auto"/>
                <w:w w:val="98"/>
              </w:rPr>
              <w:t>4.40%</w:t>
            </w:r>
          </w:p>
        </w:tc>
        <w:tc>
          <w:tcPr>
            <w:tcW w:w="236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7"/>
              </w:rPr>
              <w:t>July 2, 2024</w:t>
            </w:r>
          </w:p>
        </w:tc>
      </w:tr>
      <w:tr>
        <w:trPr>
          <w:trHeight w:val="28"/>
        </w:trPr>
        <w:tc>
          <w:tcPr>
            <w:tcW w:w="4940" w:type="dxa"/>
            <w:vAlign w:val="bottom"/>
            <w:tcBorders>
              <w:right w:val="single" w:sz="8" w:color="007CBA"/>
            </w:tcBorders>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Borders>
              <w:right w:val="single" w:sz="8" w:color="007CBA"/>
            </w:tcBorders>
          </w:tcPr>
          <w:p>
            <w:pPr>
              <w:spacing w:after="0"/>
              <w:rPr>
                <w:sz w:val="2"/>
                <w:szCs w:val="2"/>
                <w:color w:val="auto"/>
              </w:rPr>
            </w:pPr>
          </w:p>
        </w:tc>
        <w:tc>
          <w:tcPr>
            <w:tcW w:w="2380" w:type="dxa"/>
            <w:vAlign w:val="bottom"/>
            <w:tcBorders>
              <w:right w:val="single" w:sz="8" w:color="007CBA"/>
            </w:tcBorders>
          </w:tcPr>
          <w:p>
            <w:pPr>
              <w:spacing w:after="0"/>
              <w:rPr>
                <w:sz w:val="2"/>
                <w:szCs w:val="2"/>
                <w:color w:val="auto"/>
              </w:rPr>
            </w:pPr>
          </w:p>
        </w:tc>
        <w:tc>
          <w:tcPr>
            <w:tcW w:w="2360" w:type="dxa"/>
            <w:vAlign w:val="bottom"/>
          </w:tcPr>
          <w:p>
            <w:pPr>
              <w:spacing w:after="0"/>
              <w:rPr>
                <w:sz w:val="2"/>
                <w:szCs w:val="2"/>
                <w:color w:val="auto"/>
              </w:rPr>
            </w:pPr>
          </w:p>
        </w:tc>
      </w:tr>
      <w:tr>
        <w:trPr>
          <w:trHeight w:val="223"/>
        </w:trPr>
        <w:tc>
          <w:tcPr>
            <w:tcW w:w="49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7% Debentures</w:t>
            </w:r>
          </w:p>
        </w:tc>
        <w:tc>
          <w:tcPr>
            <w:tcW w:w="3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125.0</w:t>
            </w:r>
          </w:p>
        </w:tc>
        <w:tc>
          <w:tcPr>
            <w:tcW w:w="2380" w:type="dxa"/>
            <w:vAlign w:val="bottom"/>
            <w:tcBorders>
              <w:bottom w:val="single" w:sz="8" w:color="E5F1F8"/>
              <w:right w:val="single" w:sz="8" w:color="007CBA"/>
            </w:tcBorders>
            <w:shd w:val="clear" w:color="auto" w:fill="E5F1F8"/>
          </w:tcPr>
          <w:p>
            <w:pPr>
              <w:jc w:val="center"/>
              <w:ind w:left="50"/>
              <w:spacing w:after="0" w:line="215" w:lineRule="exact"/>
              <w:rPr>
                <w:sz w:val="20"/>
                <w:szCs w:val="20"/>
                <w:color w:val="auto"/>
              </w:rPr>
            </w:pPr>
            <w:r>
              <w:rPr>
                <w:rFonts w:ascii="Calibri" w:cs="Calibri" w:eastAsia="Calibri" w:hAnsi="Calibri"/>
                <w:sz w:val="18"/>
                <w:szCs w:val="18"/>
                <w:color w:val="auto"/>
                <w:w w:val="98"/>
              </w:rPr>
              <w:t>7.05%</w:t>
            </w:r>
          </w:p>
        </w:tc>
        <w:tc>
          <w:tcPr>
            <w:tcW w:w="2360" w:type="dxa"/>
            <w:vAlign w:val="bottom"/>
            <w:tcBorders>
              <w:bottom w:val="single" w:sz="8" w:color="E5F1F8"/>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w w:val="98"/>
              </w:rPr>
              <w:t>December 1, 2025</w:t>
            </w:r>
          </w:p>
        </w:tc>
      </w:tr>
      <w:tr>
        <w:trPr>
          <w:trHeight w:val="215"/>
        </w:trPr>
        <w:tc>
          <w:tcPr>
            <w:tcW w:w="49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3.450% Senior Notes</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300.0</w:t>
            </w:r>
          </w:p>
        </w:tc>
        <w:tc>
          <w:tcPr>
            <w:tcW w:w="2380" w:type="dxa"/>
            <w:vAlign w:val="bottom"/>
            <w:tcBorders>
              <w:right w:val="single" w:sz="8" w:color="007CBA"/>
            </w:tcBorders>
          </w:tcPr>
          <w:p>
            <w:pPr>
              <w:jc w:val="center"/>
              <w:ind w:left="50"/>
              <w:spacing w:after="0" w:line="215" w:lineRule="exact"/>
              <w:rPr>
                <w:sz w:val="20"/>
                <w:szCs w:val="20"/>
                <w:color w:val="auto"/>
              </w:rPr>
            </w:pPr>
            <w:r>
              <w:rPr>
                <w:rFonts w:ascii="Calibri" w:cs="Calibri" w:eastAsia="Calibri" w:hAnsi="Calibri"/>
                <w:sz w:val="18"/>
                <w:szCs w:val="18"/>
                <w:color w:val="auto"/>
                <w:w w:val="98"/>
              </w:rPr>
              <w:t>3.55%</w:t>
            </w:r>
          </w:p>
        </w:tc>
        <w:tc>
          <w:tcPr>
            <w:tcW w:w="236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5"/>
              </w:rPr>
              <w:t>June 1, 2027</w:t>
            </w:r>
          </w:p>
        </w:tc>
      </w:tr>
      <w:tr>
        <w:trPr>
          <w:trHeight w:val="28"/>
        </w:trPr>
        <w:tc>
          <w:tcPr>
            <w:tcW w:w="4940" w:type="dxa"/>
            <w:vAlign w:val="bottom"/>
            <w:tcBorders>
              <w:right w:val="single" w:sz="8" w:color="007CBA"/>
            </w:tcBorders>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Borders>
              <w:right w:val="single" w:sz="8" w:color="007CBA"/>
            </w:tcBorders>
          </w:tcPr>
          <w:p>
            <w:pPr>
              <w:spacing w:after="0"/>
              <w:rPr>
                <w:sz w:val="2"/>
                <w:szCs w:val="2"/>
                <w:color w:val="auto"/>
              </w:rPr>
            </w:pPr>
          </w:p>
        </w:tc>
        <w:tc>
          <w:tcPr>
            <w:tcW w:w="2380" w:type="dxa"/>
            <w:vAlign w:val="bottom"/>
            <w:tcBorders>
              <w:right w:val="single" w:sz="8" w:color="007CBA"/>
            </w:tcBorders>
          </w:tcPr>
          <w:p>
            <w:pPr>
              <w:spacing w:after="0"/>
              <w:rPr>
                <w:sz w:val="2"/>
                <w:szCs w:val="2"/>
                <w:color w:val="auto"/>
              </w:rPr>
            </w:pPr>
          </w:p>
        </w:tc>
        <w:tc>
          <w:tcPr>
            <w:tcW w:w="2360" w:type="dxa"/>
            <w:vAlign w:val="bottom"/>
          </w:tcPr>
          <w:p>
            <w:pPr>
              <w:spacing w:after="0"/>
              <w:rPr>
                <w:sz w:val="2"/>
                <w:szCs w:val="2"/>
                <w:color w:val="auto"/>
              </w:rPr>
            </w:pPr>
          </w:p>
        </w:tc>
      </w:tr>
      <w:tr>
        <w:trPr>
          <w:trHeight w:val="223"/>
        </w:trPr>
        <w:tc>
          <w:tcPr>
            <w:tcW w:w="49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3.500% Senior Notes</w:t>
            </w:r>
          </w:p>
        </w:tc>
        <w:tc>
          <w:tcPr>
            <w:tcW w:w="3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494.6</w:t>
            </w:r>
          </w:p>
        </w:tc>
        <w:tc>
          <w:tcPr>
            <w:tcW w:w="2380" w:type="dxa"/>
            <w:vAlign w:val="bottom"/>
            <w:tcBorders>
              <w:bottom w:val="single" w:sz="8" w:color="E5F1F8"/>
              <w:right w:val="single" w:sz="8" w:color="007CBA"/>
            </w:tcBorders>
            <w:shd w:val="clear" w:color="auto" w:fill="E5F1F8"/>
          </w:tcPr>
          <w:p>
            <w:pPr>
              <w:jc w:val="center"/>
              <w:ind w:left="50"/>
              <w:spacing w:after="0" w:line="215" w:lineRule="exact"/>
              <w:rPr>
                <w:sz w:val="20"/>
                <w:szCs w:val="20"/>
                <w:color w:val="auto"/>
              </w:rPr>
            </w:pPr>
            <w:r>
              <w:rPr>
                <w:rFonts w:ascii="Calibri" w:cs="Calibri" w:eastAsia="Calibri" w:hAnsi="Calibri"/>
                <w:sz w:val="18"/>
                <w:szCs w:val="18"/>
                <w:color w:val="auto"/>
                <w:w w:val="98"/>
              </w:rPr>
              <w:t>3.61%</w:t>
            </w:r>
          </w:p>
        </w:tc>
        <w:tc>
          <w:tcPr>
            <w:tcW w:w="2360" w:type="dxa"/>
            <w:vAlign w:val="bottom"/>
            <w:tcBorders>
              <w:bottom w:val="single" w:sz="8" w:color="E5F1F8"/>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w w:val="97"/>
              </w:rPr>
              <w:t>December 15, 2027</w:t>
            </w:r>
          </w:p>
        </w:tc>
      </w:tr>
      <w:tr>
        <w:trPr>
          <w:trHeight w:val="215"/>
        </w:trPr>
        <w:tc>
          <w:tcPr>
            <w:tcW w:w="49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2.500% Senior Notes</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478.0</w:t>
            </w:r>
          </w:p>
        </w:tc>
        <w:tc>
          <w:tcPr>
            <w:tcW w:w="2380" w:type="dxa"/>
            <w:vAlign w:val="bottom"/>
            <w:tcBorders>
              <w:right w:val="single" w:sz="8" w:color="007CBA"/>
            </w:tcBorders>
          </w:tcPr>
          <w:p>
            <w:pPr>
              <w:jc w:val="center"/>
              <w:ind w:left="50"/>
              <w:spacing w:after="0" w:line="215" w:lineRule="exact"/>
              <w:rPr>
                <w:sz w:val="20"/>
                <w:szCs w:val="20"/>
                <w:color w:val="auto"/>
              </w:rPr>
            </w:pPr>
            <w:r>
              <w:rPr>
                <w:rFonts w:ascii="Calibri" w:cs="Calibri" w:eastAsia="Calibri" w:hAnsi="Calibri"/>
                <w:sz w:val="18"/>
                <w:szCs w:val="18"/>
                <w:color w:val="auto"/>
                <w:w w:val="98"/>
              </w:rPr>
              <w:t>2.71%</w:t>
            </w:r>
          </w:p>
        </w:tc>
        <w:tc>
          <w:tcPr>
            <w:tcW w:w="236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7"/>
              </w:rPr>
              <w:t>March 15, 2030</w:t>
            </w:r>
          </w:p>
        </w:tc>
      </w:tr>
      <w:tr>
        <w:trPr>
          <w:trHeight w:val="28"/>
        </w:trPr>
        <w:tc>
          <w:tcPr>
            <w:tcW w:w="4940" w:type="dxa"/>
            <w:vAlign w:val="bottom"/>
            <w:tcBorders>
              <w:right w:val="single" w:sz="8" w:color="007CBA"/>
            </w:tcBorders>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Borders>
              <w:right w:val="single" w:sz="8" w:color="007CBA"/>
            </w:tcBorders>
          </w:tcPr>
          <w:p>
            <w:pPr>
              <w:spacing w:after="0"/>
              <w:rPr>
                <w:sz w:val="2"/>
                <w:szCs w:val="2"/>
                <w:color w:val="auto"/>
              </w:rPr>
            </w:pPr>
          </w:p>
        </w:tc>
        <w:tc>
          <w:tcPr>
            <w:tcW w:w="2380" w:type="dxa"/>
            <w:vAlign w:val="bottom"/>
            <w:tcBorders>
              <w:right w:val="single" w:sz="8" w:color="007CBA"/>
            </w:tcBorders>
          </w:tcPr>
          <w:p>
            <w:pPr>
              <w:spacing w:after="0"/>
              <w:rPr>
                <w:sz w:val="2"/>
                <w:szCs w:val="2"/>
                <w:color w:val="auto"/>
              </w:rPr>
            </w:pPr>
          </w:p>
        </w:tc>
        <w:tc>
          <w:tcPr>
            <w:tcW w:w="2360" w:type="dxa"/>
            <w:vAlign w:val="bottom"/>
          </w:tcPr>
          <w:p>
            <w:pPr>
              <w:spacing w:after="0"/>
              <w:rPr>
                <w:sz w:val="2"/>
                <w:szCs w:val="2"/>
                <w:color w:val="auto"/>
              </w:rPr>
            </w:pPr>
          </w:p>
        </w:tc>
      </w:tr>
      <w:tr>
        <w:trPr>
          <w:trHeight w:val="223"/>
        </w:trPr>
        <w:tc>
          <w:tcPr>
            <w:tcW w:w="49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2.400% Senior Notes</w:t>
            </w:r>
          </w:p>
        </w:tc>
        <w:tc>
          <w:tcPr>
            <w:tcW w:w="3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895.9</w:t>
            </w:r>
          </w:p>
        </w:tc>
        <w:tc>
          <w:tcPr>
            <w:tcW w:w="2380" w:type="dxa"/>
            <w:vAlign w:val="bottom"/>
            <w:tcBorders>
              <w:bottom w:val="single" w:sz="8" w:color="E5F1F8"/>
              <w:right w:val="single" w:sz="8" w:color="007CBA"/>
            </w:tcBorders>
            <w:shd w:val="clear" w:color="auto" w:fill="E5F1F8"/>
          </w:tcPr>
          <w:p>
            <w:pPr>
              <w:jc w:val="center"/>
              <w:ind w:left="50"/>
              <w:spacing w:after="0" w:line="215" w:lineRule="exact"/>
              <w:rPr>
                <w:sz w:val="20"/>
                <w:szCs w:val="20"/>
                <w:color w:val="auto"/>
              </w:rPr>
            </w:pPr>
            <w:r>
              <w:rPr>
                <w:rFonts w:ascii="Calibri" w:cs="Calibri" w:eastAsia="Calibri" w:hAnsi="Calibri"/>
                <w:sz w:val="18"/>
                <w:szCs w:val="18"/>
                <w:color w:val="auto"/>
                <w:w w:val="98"/>
              </w:rPr>
              <w:t>2.48%</w:t>
            </w:r>
          </w:p>
        </w:tc>
        <w:tc>
          <w:tcPr>
            <w:tcW w:w="2360" w:type="dxa"/>
            <w:vAlign w:val="bottom"/>
            <w:tcBorders>
              <w:bottom w:val="single" w:sz="8" w:color="E5F1F8"/>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w w:val="96"/>
              </w:rPr>
              <w:t>July 15, 2031</w:t>
            </w:r>
          </w:p>
        </w:tc>
      </w:tr>
      <w:tr>
        <w:trPr>
          <w:trHeight w:val="215"/>
        </w:trPr>
        <w:tc>
          <w:tcPr>
            <w:tcW w:w="49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6.25% Senior Notes</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230.0</w:t>
            </w:r>
          </w:p>
        </w:tc>
        <w:tc>
          <w:tcPr>
            <w:tcW w:w="2380" w:type="dxa"/>
            <w:vAlign w:val="bottom"/>
            <w:tcBorders>
              <w:right w:val="single" w:sz="8" w:color="007CBA"/>
            </w:tcBorders>
          </w:tcPr>
          <w:p>
            <w:pPr>
              <w:jc w:val="center"/>
              <w:ind w:left="50"/>
              <w:spacing w:after="0" w:line="215" w:lineRule="exact"/>
              <w:rPr>
                <w:sz w:val="20"/>
                <w:szCs w:val="20"/>
                <w:color w:val="auto"/>
              </w:rPr>
            </w:pPr>
            <w:r>
              <w:rPr>
                <w:rFonts w:ascii="Calibri" w:cs="Calibri" w:eastAsia="Calibri" w:hAnsi="Calibri"/>
                <w:sz w:val="18"/>
                <w:szCs w:val="18"/>
                <w:color w:val="auto"/>
                <w:w w:val="98"/>
              </w:rPr>
              <w:t>6.32%</w:t>
            </w:r>
          </w:p>
        </w:tc>
        <w:tc>
          <w:tcPr>
            <w:tcW w:w="236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7"/>
              </w:rPr>
              <w:t>May 1, 2037</w:t>
            </w:r>
          </w:p>
        </w:tc>
      </w:tr>
      <w:tr>
        <w:trPr>
          <w:trHeight w:val="28"/>
        </w:trPr>
        <w:tc>
          <w:tcPr>
            <w:tcW w:w="4940" w:type="dxa"/>
            <w:vAlign w:val="bottom"/>
            <w:tcBorders>
              <w:right w:val="single" w:sz="8" w:color="007CBA"/>
            </w:tcBorders>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Borders>
              <w:right w:val="single" w:sz="8" w:color="007CBA"/>
            </w:tcBorders>
          </w:tcPr>
          <w:p>
            <w:pPr>
              <w:spacing w:after="0"/>
              <w:rPr>
                <w:sz w:val="2"/>
                <w:szCs w:val="2"/>
                <w:color w:val="auto"/>
              </w:rPr>
            </w:pPr>
          </w:p>
        </w:tc>
        <w:tc>
          <w:tcPr>
            <w:tcW w:w="2380" w:type="dxa"/>
            <w:vAlign w:val="bottom"/>
            <w:tcBorders>
              <w:right w:val="single" w:sz="8" w:color="007CBA"/>
            </w:tcBorders>
          </w:tcPr>
          <w:p>
            <w:pPr>
              <w:spacing w:after="0"/>
              <w:rPr>
                <w:sz w:val="2"/>
                <w:szCs w:val="2"/>
                <w:color w:val="auto"/>
              </w:rPr>
            </w:pPr>
          </w:p>
        </w:tc>
        <w:tc>
          <w:tcPr>
            <w:tcW w:w="2360" w:type="dxa"/>
            <w:vAlign w:val="bottom"/>
          </w:tcPr>
          <w:p>
            <w:pPr>
              <w:spacing w:after="0"/>
              <w:rPr>
                <w:sz w:val="2"/>
                <w:szCs w:val="2"/>
                <w:color w:val="auto"/>
              </w:rPr>
            </w:pPr>
          </w:p>
        </w:tc>
      </w:tr>
      <w:tr>
        <w:trPr>
          <w:trHeight w:val="223"/>
        </w:trPr>
        <w:tc>
          <w:tcPr>
            <w:tcW w:w="49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4.250% Senior Notes</w:t>
            </w:r>
          </w:p>
        </w:tc>
        <w:tc>
          <w:tcPr>
            <w:tcW w:w="3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597.9</w:t>
            </w:r>
          </w:p>
        </w:tc>
        <w:tc>
          <w:tcPr>
            <w:tcW w:w="2380" w:type="dxa"/>
            <w:vAlign w:val="bottom"/>
            <w:tcBorders>
              <w:bottom w:val="single" w:sz="8" w:color="E5F1F8"/>
              <w:right w:val="single" w:sz="8" w:color="007CBA"/>
            </w:tcBorders>
            <w:shd w:val="clear" w:color="auto" w:fill="E5F1F8"/>
          </w:tcPr>
          <w:p>
            <w:pPr>
              <w:jc w:val="center"/>
              <w:ind w:left="50"/>
              <w:spacing w:after="0" w:line="215" w:lineRule="exact"/>
              <w:rPr>
                <w:sz w:val="20"/>
                <w:szCs w:val="20"/>
                <w:color w:val="auto"/>
              </w:rPr>
            </w:pPr>
            <w:r>
              <w:rPr>
                <w:rFonts w:ascii="Calibri" w:cs="Calibri" w:eastAsia="Calibri" w:hAnsi="Calibri"/>
                <w:sz w:val="18"/>
                <w:szCs w:val="18"/>
                <w:color w:val="auto"/>
                <w:w w:val="98"/>
              </w:rPr>
              <w:t>4.32%</w:t>
            </w:r>
          </w:p>
        </w:tc>
        <w:tc>
          <w:tcPr>
            <w:tcW w:w="2360" w:type="dxa"/>
            <w:vAlign w:val="bottom"/>
            <w:tcBorders>
              <w:bottom w:val="single" w:sz="8" w:color="E5F1F8"/>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w w:val="97"/>
              </w:rPr>
              <w:t>December 15, 2047</w:t>
            </w:r>
          </w:p>
        </w:tc>
      </w:tr>
      <w:tr>
        <w:trPr>
          <w:trHeight w:val="215"/>
        </w:trPr>
        <w:tc>
          <w:tcPr>
            <w:tcW w:w="4940" w:type="dxa"/>
            <w:vAlign w:val="bottom"/>
          </w:tcPr>
          <w:p>
            <w:pPr>
              <w:ind w:left="120"/>
              <w:spacing w:after="0" w:line="215" w:lineRule="exact"/>
              <w:rPr>
                <w:sz w:val="20"/>
                <w:szCs w:val="20"/>
                <w:color w:val="auto"/>
              </w:rPr>
            </w:pPr>
            <w:r>
              <w:rPr>
                <w:rFonts w:ascii="Calibri" w:cs="Calibri" w:eastAsia="Calibri" w:hAnsi="Calibri"/>
                <w:sz w:val="18"/>
                <w:szCs w:val="18"/>
                <w:color w:val="auto"/>
              </w:rPr>
              <w:t>3.200% Senior Notes</w:t>
            </w:r>
          </w:p>
        </w:tc>
        <w:tc>
          <w:tcPr>
            <w:tcW w:w="34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865.9</w:t>
            </w:r>
          </w:p>
        </w:tc>
        <w:tc>
          <w:tcPr>
            <w:tcW w:w="2380" w:type="dxa"/>
            <w:vAlign w:val="bottom"/>
          </w:tcPr>
          <w:p>
            <w:pPr>
              <w:jc w:val="center"/>
              <w:ind w:left="50"/>
              <w:spacing w:after="0" w:line="215" w:lineRule="exact"/>
              <w:rPr>
                <w:sz w:val="20"/>
                <w:szCs w:val="20"/>
                <w:color w:val="auto"/>
              </w:rPr>
            </w:pPr>
            <w:r>
              <w:rPr>
                <w:rFonts w:ascii="Calibri" w:cs="Calibri" w:eastAsia="Calibri" w:hAnsi="Calibri"/>
                <w:sz w:val="18"/>
                <w:szCs w:val="18"/>
                <w:color w:val="auto"/>
                <w:w w:val="98"/>
              </w:rPr>
              <w:t>3.29%</w:t>
            </w:r>
          </w:p>
        </w:tc>
        <w:tc>
          <w:tcPr>
            <w:tcW w:w="236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6"/>
              </w:rPr>
              <w:t>July 15, 2051</w:t>
            </w:r>
          </w:p>
        </w:tc>
      </w:tr>
      <w:tr>
        <w:trPr>
          <w:trHeight w:val="28"/>
        </w:trPr>
        <w:tc>
          <w:tcPr>
            <w:tcW w:w="4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-175260</wp:posOffset>
            </wp:positionV>
            <wp:extent cx="33655" cy="1885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4098290</wp:posOffset>
            </wp:positionH>
            <wp:positionV relativeFrom="paragraph">
              <wp:posOffset>-175260</wp:posOffset>
            </wp:positionV>
            <wp:extent cx="33655" cy="1885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5607050</wp:posOffset>
            </wp:positionH>
            <wp:positionV relativeFrom="paragraph">
              <wp:posOffset>-175260</wp:posOffset>
            </wp:positionV>
            <wp:extent cx="33655" cy="18859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33655" cy="188595"/>
                    </a:xfrm>
                    <a:prstGeom prst="rect">
                      <a:avLst/>
                    </a:prstGeom>
                    <a:noFill/>
                  </pic:spPr>
                </pic:pic>
              </a:graphicData>
            </a:graphic>
          </wp:anchor>
        </w:drawing>
      </w:r>
    </w:p>
    <w:p>
      <w:pPr>
        <w:spacing w:after="0" w:line="147"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The Company has a credit agreement with JPMorgan Chase Bank, N.A., as Administratve Agent, Deutsche Bank Securites, Inc., PNC Bank, Truist Bank and Wells Fargo Bank, N.A., as Syndicaton Agents, and the lenders party thereto (the Credit Agreement), which provides for a $800.0 million fve-year senior unsecured revolving facility (the Revolving Facility) with a maturity date of December 21, 2028. Borrowings under the Revolving Facility bear interest, at the Company’s opton, at rates based upon the Secured Overnight Financing Rate (SOFR) or a base rate, plus, for each rate, a margin determined in accordance with a ratngs-based pricing grid. Any outstanding principal amounts, together with interest accrued thereon, are due in full on that maturity date. There were no borrowings outstanding under the Credit Agreement as of December 31, 2023 and 2022. Available borrowings under the Revolving Facility are reduced by any outstanding leters of credit issued by the Company under the Revolving Facility. At December 31, 2023 and 2022, the Company had $2.6 million of outstanding leters of credit issued and $797.4 million available for borrowing under the Revolving Facility. The Company paid the bank group an upfront loan commitment fee that is being amortzed over the life of the Revolving Facility. The Revolving Facility includes an annual facility fee.</w:t>
      </w:r>
    </w:p>
    <w:p>
      <w:pPr>
        <w:spacing w:after="0" w:line="10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Credit Agreement requires the Company’s rato of consolidated net debt-to-consolidated earnings before interest, taxes, depreciaton, depleton and amortzaton, as defned, for the trailing-twelve months (the Rato) to not exceed 3.50x as of the end of any fscal quarter, provided that the Company may exclude from the Rato any debt incurred in connecton with certain acquisitons during the quarter or three preceding quarters so long as the Rato calculated without such exclusion does not exceed 4.00x. Additonally, if no amounts are outstanding under the Revolving Facility or the Company's trade receivable securitzaton facility (discussed later), consolidated debt, as defned, which includes debt for which the Company is a guarantor, shall be reduced in an amount equal to the lesser of $500.0 million or the sum of the Company’s unrestricted cash and temporary investments, for purposes of the covenant calculaton. The Company was in compliance with the Rato at December 31, 2023.</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through a wholly-owned special-purpose subsidiary, has a $400.0 million trade receivable securitzaton facility (the Trade Receivable Facility). On September 20, 2023, the Company extended the maturity to September 19, 2024. The Trade Receivable Facility, with Truist Bank, Regions Bank, First-Citzens Bank &amp; Trust Company, and certain other lenders that may become a party to the facility from tme to tme, is backed by eligible trade receivables, as defned. Borrowings are limited to the lesser of the facility limit or the borrowing base, as defned. These receivables are originated by the Company and then sold or contributed to the wholly-owned special-purpose subsidiary. The Company contnues to be responsible for the servicing and administraton of the receivables purchased by the wholly-owned special-purpose subsidiary. Borrowings under the Trade Receivable Facility bear interest at a rate equal to Adjusted Term Secured Overnight Financing Rate (Adjusted Term SOFR), as defned, plus 0.7%. The Trade Receivable Facility contains a cross-default provision to the Company’s other debt agreements. Subject to certain conditons, including lenders providing the requisite commitments, the Trade Receivable Facility may be increased to a borrowing base not to exceed $500 million. At December 31, 2023 and 2022, there were no borrowings outstanding under the Trade Receivable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233680</wp:posOffset>
            </wp:positionV>
            <wp:extent cx="325755" cy="1974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37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308"/>
        </w:trPr>
        <w:tc>
          <w:tcPr>
            <w:tcW w:w="3800" w:type="dxa"/>
            <w:vAlign w:val="bottom"/>
          </w:tcPr>
          <w:p>
            <w:pPr>
              <w:spacing w:after="0"/>
              <w:rPr>
                <w:sz w:val="24"/>
                <w:szCs w:val="24"/>
                <w:color w:val="auto"/>
              </w:rPr>
            </w:pPr>
          </w:p>
        </w:tc>
        <w:tc>
          <w:tcPr>
            <w:tcW w:w="7460" w:type="dxa"/>
            <w:vAlign w:val="bottom"/>
            <w:gridSpan w:val="4"/>
          </w:tcPr>
          <w:p>
            <w:pPr>
              <w:ind w:left="2840"/>
              <w:spacing w:after="0"/>
              <w:rPr>
                <w:sz w:val="20"/>
                <w:szCs w:val="20"/>
                <w:color w:val="auto"/>
              </w:rPr>
            </w:pPr>
            <w:r>
              <w:rPr>
                <w:rFonts w:ascii="Calibri" w:cs="Calibri" w:eastAsia="Calibri" w:hAnsi="Calibri"/>
                <w:sz w:val="18"/>
                <w:szCs w:val="18"/>
                <w:color w:val="auto"/>
                <w:w w:val="98"/>
              </w:rPr>
              <w:t xml:space="preserve">Part II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8 – Financial Statements and Supplementary Data</w:t>
            </w:r>
          </w:p>
        </w:tc>
      </w:tr>
      <w:tr>
        <w:trPr>
          <w:trHeight w:val="361"/>
        </w:trPr>
        <w:tc>
          <w:tcPr>
            <w:tcW w:w="9960" w:type="dxa"/>
            <w:vAlign w:val="bottom"/>
            <w:gridSpan w:val="3"/>
          </w:tcPr>
          <w:p>
            <w:pPr>
              <w:spacing w:after="0"/>
              <w:rPr>
                <w:sz w:val="20"/>
                <w:szCs w:val="20"/>
                <w:color w:val="auto"/>
              </w:rPr>
            </w:pPr>
            <w:r>
              <w:rPr>
                <w:rFonts w:ascii="Calibri" w:cs="Calibri" w:eastAsia="Calibri" w:hAnsi="Calibri"/>
                <w:sz w:val="18"/>
                <w:szCs w:val="18"/>
                <w:color w:val="auto"/>
              </w:rPr>
              <w:t>The Company’s long-term debt maturites for each of the next fve years and thereafer are as follows: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2"/>
        </w:trPr>
        <w:tc>
          <w:tcPr>
            <w:tcW w:w="380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23"/>
        </w:trPr>
        <w:tc>
          <w:tcPr>
            <w:tcW w:w="3800" w:type="dxa"/>
            <w:vAlign w:val="bottom"/>
            <w:tcBorders>
              <w:bottom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160" w:type="dxa"/>
            <w:vAlign w:val="bottom"/>
            <w:tcBorders>
              <w:bottom w:val="single" w:sz="8" w:color="007CBA"/>
              <w:right w:val="single" w:sz="8" w:color="007CBA"/>
            </w:tcBorders>
            <w:shd w:val="clear" w:color="auto" w:fill="007CBA"/>
          </w:tcPr>
          <w:p>
            <w:pPr>
              <w:spacing w:after="0"/>
              <w:rPr>
                <w:sz w:val="19"/>
                <w:szCs w:val="19"/>
                <w:color w:val="auto"/>
              </w:rPr>
            </w:pPr>
          </w:p>
        </w:tc>
        <w:tc>
          <w:tcPr>
            <w:tcW w:w="1000" w:type="dxa"/>
            <w:vAlign w:val="bottom"/>
            <w:tcBorders>
              <w:bottom w:val="single" w:sz="8" w:color="007CBA"/>
            </w:tcBorders>
            <w:shd w:val="clear" w:color="auto" w:fill="007CBA"/>
          </w:tcPr>
          <w:p>
            <w:pPr>
              <w:spacing w:after="0"/>
              <w:rPr>
                <w:sz w:val="19"/>
                <w:szCs w:val="19"/>
                <w:color w:val="auto"/>
              </w:rPr>
            </w:pPr>
          </w:p>
        </w:tc>
        <w:tc>
          <w:tcPr>
            <w:tcW w:w="1280" w:type="dxa"/>
            <w:vAlign w:val="bottom"/>
            <w:tcBorders>
              <w:bottom w:val="single" w:sz="8" w:color="007CBA"/>
            </w:tcBorders>
            <w:shd w:val="clear" w:color="auto" w:fill="007CBA"/>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800" w:type="dxa"/>
            <w:vAlign w:val="bottom"/>
          </w:tcPr>
          <w:p>
            <w:pPr>
              <w:ind w:left="120"/>
              <w:spacing w:after="0" w:line="215" w:lineRule="exact"/>
              <w:rPr>
                <w:sz w:val="20"/>
                <w:szCs w:val="20"/>
                <w:color w:val="auto"/>
              </w:rPr>
            </w:pPr>
            <w:r>
              <w:rPr>
                <w:rFonts w:ascii="Calibri" w:cs="Calibri" w:eastAsia="Calibri" w:hAnsi="Calibri"/>
                <w:sz w:val="18"/>
                <w:szCs w:val="18"/>
                <w:color w:val="auto"/>
              </w:rPr>
              <w:t>2024</w:t>
            </w:r>
          </w:p>
        </w:tc>
        <w:tc>
          <w:tcPr>
            <w:tcW w:w="5160" w:type="dxa"/>
            <w:vAlign w:val="bottom"/>
            <w:tcBorders>
              <w:right w:val="single" w:sz="8" w:color="007CBA"/>
            </w:tcBorders>
          </w:tcPr>
          <w:p>
            <w:pPr>
              <w:spacing w:after="0"/>
              <w:rPr>
                <w:sz w:val="18"/>
                <w:szCs w:val="18"/>
                <w:color w:val="auto"/>
              </w:rPr>
            </w:pPr>
          </w:p>
        </w:tc>
        <w:tc>
          <w:tcPr>
            <w:tcW w:w="1000" w:type="dxa"/>
            <w:vAlign w:val="bottom"/>
          </w:tcPr>
          <w:p>
            <w:pPr>
              <w:jc w:val="right"/>
              <w:ind w:right="530"/>
              <w:spacing w:after="0" w:line="215" w:lineRule="exact"/>
              <w:rPr>
                <w:sz w:val="20"/>
                <w:szCs w:val="20"/>
                <w:color w:val="auto"/>
              </w:rPr>
            </w:pPr>
            <w:r>
              <w:rPr>
                <w:rFonts w:ascii="Calibri" w:cs="Calibri" w:eastAsia="Calibri" w:hAnsi="Calibri"/>
                <w:sz w:val="18"/>
                <w:szCs w:val="18"/>
                <w:color w:val="auto"/>
              </w:rPr>
              <w:t>$</w:t>
            </w:r>
          </w:p>
        </w:tc>
        <w:tc>
          <w:tcPr>
            <w:tcW w:w="12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399.6</w:t>
            </w:r>
          </w:p>
        </w:tc>
        <w:tc>
          <w:tcPr>
            <w:tcW w:w="20" w:type="dxa"/>
            <w:vAlign w:val="bottom"/>
          </w:tcPr>
          <w:p>
            <w:pPr>
              <w:spacing w:after="0"/>
              <w:rPr>
                <w:sz w:val="18"/>
                <w:szCs w:val="18"/>
                <w:color w:val="auto"/>
              </w:rPr>
            </w:pPr>
          </w:p>
        </w:tc>
      </w:tr>
      <w:tr>
        <w:trPr>
          <w:trHeight w:val="28"/>
        </w:trPr>
        <w:tc>
          <w:tcPr>
            <w:tcW w:w="3800" w:type="dxa"/>
            <w:vAlign w:val="bottom"/>
          </w:tcPr>
          <w:p>
            <w:pPr>
              <w:spacing w:after="0"/>
              <w:rPr>
                <w:sz w:val="2"/>
                <w:szCs w:val="2"/>
                <w:color w:val="auto"/>
              </w:rPr>
            </w:pPr>
          </w:p>
        </w:tc>
        <w:tc>
          <w:tcPr>
            <w:tcW w:w="5160" w:type="dxa"/>
            <w:vAlign w:val="bottom"/>
            <w:tcBorders>
              <w:right w:val="single" w:sz="8" w:color="007CBA"/>
            </w:tcBorders>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80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2025</w:t>
            </w:r>
          </w:p>
        </w:tc>
        <w:tc>
          <w:tcPr>
            <w:tcW w:w="5160" w:type="dxa"/>
            <w:vAlign w:val="bottom"/>
            <w:tcBorders>
              <w:bottom w:val="single" w:sz="8" w:color="E5F1F8"/>
              <w:right w:val="single" w:sz="8" w:color="007CBA"/>
            </w:tcBorders>
            <w:shd w:val="clear" w:color="auto" w:fill="E5F1F8"/>
          </w:tcPr>
          <w:p>
            <w:pPr>
              <w:spacing w:after="0"/>
              <w:rPr>
                <w:sz w:val="19"/>
                <w:szCs w:val="19"/>
                <w:color w:val="auto"/>
              </w:rPr>
            </w:pPr>
          </w:p>
        </w:tc>
        <w:tc>
          <w:tcPr>
            <w:tcW w:w="1000" w:type="dxa"/>
            <w:vAlign w:val="bottom"/>
            <w:tcBorders>
              <w:bottom w:val="single" w:sz="8" w:color="E5F1F8"/>
            </w:tcBorders>
            <w:shd w:val="clear" w:color="auto" w:fill="E5F1F8"/>
          </w:tcPr>
          <w:p>
            <w:pPr>
              <w:spacing w:after="0"/>
              <w:rPr>
                <w:sz w:val="19"/>
                <w:szCs w:val="19"/>
                <w:color w:val="auto"/>
              </w:rPr>
            </w:pPr>
          </w:p>
        </w:tc>
        <w:tc>
          <w:tcPr>
            <w:tcW w:w="12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124.8</w:t>
            </w:r>
          </w:p>
        </w:tc>
        <w:tc>
          <w:tcPr>
            <w:tcW w:w="20" w:type="dxa"/>
            <w:vAlign w:val="bottom"/>
          </w:tcPr>
          <w:p>
            <w:pPr>
              <w:spacing w:after="0"/>
              <w:rPr>
                <w:sz w:val="19"/>
                <w:szCs w:val="19"/>
                <w:color w:val="auto"/>
              </w:rPr>
            </w:pPr>
          </w:p>
        </w:tc>
      </w:tr>
      <w:tr>
        <w:trPr>
          <w:trHeight w:val="215"/>
        </w:trPr>
        <w:tc>
          <w:tcPr>
            <w:tcW w:w="3800" w:type="dxa"/>
            <w:vAlign w:val="bottom"/>
          </w:tcPr>
          <w:p>
            <w:pPr>
              <w:ind w:left="120"/>
              <w:spacing w:after="0" w:line="215" w:lineRule="exact"/>
              <w:rPr>
                <w:sz w:val="20"/>
                <w:szCs w:val="20"/>
                <w:color w:val="auto"/>
              </w:rPr>
            </w:pPr>
            <w:r>
              <w:rPr>
                <w:rFonts w:ascii="Calibri" w:cs="Calibri" w:eastAsia="Calibri" w:hAnsi="Calibri"/>
                <w:sz w:val="18"/>
                <w:szCs w:val="18"/>
                <w:color w:val="auto"/>
              </w:rPr>
              <w:t>2026</w:t>
            </w:r>
          </w:p>
        </w:tc>
        <w:tc>
          <w:tcPr>
            <w:tcW w:w="5160" w:type="dxa"/>
            <w:vAlign w:val="bottom"/>
            <w:tcBorders>
              <w:right w:val="single" w:sz="8" w:color="007CBA"/>
            </w:tcBorders>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r>
      <w:tr>
        <w:trPr>
          <w:trHeight w:val="28"/>
        </w:trPr>
        <w:tc>
          <w:tcPr>
            <w:tcW w:w="3800" w:type="dxa"/>
            <w:vAlign w:val="bottom"/>
          </w:tcPr>
          <w:p>
            <w:pPr>
              <w:spacing w:after="0"/>
              <w:rPr>
                <w:sz w:val="2"/>
                <w:szCs w:val="2"/>
                <w:color w:val="auto"/>
              </w:rPr>
            </w:pPr>
          </w:p>
        </w:tc>
        <w:tc>
          <w:tcPr>
            <w:tcW w:w="5160" w:type="dxa"/>
            <w:vAlign w:val="bottom"/>
            <w:tcBorders>
              <w:right w:val="single" w:sz="8" w:color="007CBA"/>
            </w:tcBorders>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80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2027</w:t>
            </w:r>
          </w:p>
        </w:tc>
        <w:tc>
          <w:tcPr>
            <w:tcW w:w="5160" w:type="dxa"/>
            <w:vAlign w:val="bottom"/>
            <w:tcBorders>
              <w:bottom w:val="single" w:sz="8" w:color="E5F1F8"/>
              <w:right w:val="single" w:sz="8" w:color="007CBA"/>
            </w:tcBorders>
            <w:shd w:val="clear" w:color="auto" w:fill="E5F1F8"/>
          </w:tcPr>
          <w:p>
            <w:pPr>
              <w:spacing w:after="0"/>
              <w:rPr>
                <w:sz w:val="19"/>
                <w:szCs w:val="19"/>
                <w:color w:val="auto"/>
              </w:rPr>
            </w:pPr>
          </w:p>
        </w:tc>
        <w:tc>
          <w:tcPr>
            <w:tcW w:w="1000" w:type="dxa"/>
            <w:vAlign w:val="bottom"/>
            <w:tcBorders>
              <w:bottom w:val="single" w:sz="8" w:color="E5F1F8"/>
            </w:tcBorders>
            <w:shd w:val="clear" w:color="auto" w:fill="E5F1F8"/>
          </w:tcPr>
          <w:p>
            <w:pPr>
              <w:spacing w:after="0"/>
              <w:rPr>
                <w:sz w:val="19"/>
                <w:szCs w:val="19"/>
                <w:color w:val="auto"/>
              </w:rPr>
            </w:pPr>
          </w:p>
        </w:tc>
        <w:tc>
          <w:tcPr>
            <w:tcW w:w="12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790.9</w:t>
            </w:r>
          </w:p>
        </w:tc>
        <w:tc>
          <w:tcPr>
            <w:tcW w:w="20" w:type="dxa"/>
            <w:vAlign w:val="bottom"/>
          </w:tcPr>
          <w:p>
            <w:pPr>
              <w:spacing w:after="0"/>
              <w:rPr>
                <w:sz w:val="19"/>
                <w:szCs w:val="19"/>
                <w:color w:val="auto"/>
              </w:rPr>
            </w:pPr>
          </w:p>
        </w:tc>
      </w:tr>
      <w:tr>
        <w:trPr>
          <w:trHeight w:val="243"/>
        </w:trPr>
        <w:tc>
          <w:tcPr>
            <w:tcW w:w="3800" w:type="dxa"/>
            <w:vAlign w:val="bottom"/>
          </w:tcPr>
          <w:p>
            <w:pPr>
              <w:ind w:left="120"/>
              <w:spacing w:after="0" w:line="215" w:lineRule="exact"/>
              <w:rPr>
                <w:sz w:val="20"/>
                <w:szCs w:val="20"/>
                <w:color w:val="auto"/>
              </w:rPr>
            </w:pPr>
            <w:r>
              <w:rPr>
                <w:rFonts w:ascii="Calibri" w:cs="Calibri" w:eastAsia="Calibri" w:hAnsi="Calibri"/>
                <w:sz w:val="18"/>
                <w:szCs w:val="18"/>
                <w:color w:val="auto"/>
              </w:rPr>
              <w:t>2028</w:t>
            </w:r>
          </w:p>
        </w:tc>
        <w:tc>
          <w:tcPr>
            <w:tcW w:w="5160" w:type="dxa"/>
            <w:vAlign w:val="bottom"/>
            <w:tcBorders>
              <w:right w:val="single" w:sz="8" w:color="007CBA"/>
            </w:tcBorders>
          </w:tcPr>
          <w:p>
            <w:pPr>
              <w:spacing w:after="0"/>
              <w:rPr>
                <w:sz w:val="21"/>
                <w:szCs w:val="21"/>
                <w:color w:val="auto"/>
              </w:rPr>
            </w:pPr>
          </w:p>
        </w:tc>
        <w:tc>
          <w:tcPr>
            <w:tcW w:w="1000" w:type="dxa"/>
            <w:vAlign w:val="bottom"/>
          </w:tcPr>
          <w:p>
            <w:pPr>
              <w:spacing w:after="0"/>
              <w:rPr>
                <w:sz w:val="21"/>
                <w:szCs w:val="21"/>
                <w:color w:val="auto"/>
              </w:rPr>
            </w:pPr>
          </w:p>
        </w:tc>
        <w:tc>
          <w:tcPr>
            <w:tcW w:w="12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21"/>
                <w:szCs w:val="21"/>
                <w:color w:val="auto"/>
              </w:rPr>
            </w:pPr>
          </w:p>
        </w:tc>
      </w:tr>
      <w:tr>
        <w:trPr>
          <w:trHeight w:val="248"/>
        </w:trPr>
        <w:tc>
          <w:tcPr>
            <w:tcW w:w="380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Thereafer</w:t>
            </w:r>
          </w:p>
        </w:tc>
        <w:tc>
          <w:tcPr>
            <w:tcW w:w="5160" w:type="dxa"/>
            <w:vAlign w:val="bottom"/>
            <w:tcBorders>
              <w:bottom w:val="single" w:sz="8" w:color="E5F1F8"/>
              <w:right w:val="single" w:sz="8" w:color="E5F1F8"/>
            </w:tcBorders>
            <w:shd w:val="clear" w:color="auto" w:fill="E5F1F8"/>
          </w:tcPr>
          <w:p>
            <w:pPr>
              <w:spacing w:after="0"/>
              <w:rPr>
                <w:sz w:val="21"/>
                <w:szCs w:val="21"/>
                <w:color w:val="auto"/>
              </w:rPr>
            </w:pPr>
          </w:p>
        </w:tc>
        <w:tc>
          <w:tcPr>
            <w:tcW w:w="1000" w:type="dxa"/>
            <w:vAlign w:val="bottom"/>
            <w:tcBorders>
              <w:bottom w:val="single" w:sz="8" w:color="E5F1F8"/>
            </w:tcBorders>
            <w:shd w:val="clear" w:color="auto" w:fill="E5F1F8"/>
          </w:tcPr>
          <w:p>
            <w:pPr>
              <w:spacing w:after="0"/>
              <w:rPr>
                <w:sz w:val="21"/>
                <w:szCs w:val="21"/>
                <w:color w:val="auto"/>
              </w:rPr>
            </w:pPr>
          </w:p>
        </w:tc>
        <w:tc>
          <w:tcPr>
            <w:tcW w:w="12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3,029.9</w:t>
            </w:r>
          </w:p>
        </w:tc>
        <w:tc>
          <w:tcPr>
            <w:tcW w:w="20" w:type="dxa"/>
            <w:vAlign w:val="bottom"/>
          </w:tcPr>
          <w:p>
            <w:pPr>
              <w:spacing w:after="0"/>
              <w:rPr>
                <w:sz w:val="21"/>
                <w:szCs w:val="21"/>
                <w:color w:val="auto"/>
              </w:rPr>
            </w:pPr>
          </w:p>
        </w:tc>
      </w:tr>
      <w:tr>
        <w:trPr>
          <w:trHeight w:val="208"/>
        </w:trPr>
        <w:tc>
          <w:tcPr>
            <w:tcW w:w="38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6160" w:type="dxa"/>
            <w:vAlign w:val="bottom"/>
            <w:tcBorders>
              <w:top w:val="single" w:sz="8" w:color="auto"/>
            </w:tcBorders>
            <w:gridSpan w:val="2"/>
          </w:tcPr>
          <w:p>
            <w:pPr>
              <w:jc w:val="right"/>
              <w:ind w:right="530"/>
              <w:spacing w:after="0" w:line="208" w:lineRule="exact"/>
              <w:rPr>
                <w:sz w:val="20"/>
                <w:szCs w:val="20"/>
                <w:color w:val="auto"/>
              </w:rPr>
            </w:pPr>
            <w:r>
              <w:rPr>
                <w:rFonts w:ascii="Calibri" w:cs="Calibri" w:eastAsia="Calibri" w:hAnsi="Calibri"/>
                <w:sz w:val="18"/>
                <w:szCs w:val="18"/>
                <w:color w:val="auto"/>
              </w:rPr>
              <w:t>$</w:t>
            </w:r>
          </w:p>
        </w:tc>
        <w:tc>
          <w:tcPr>
            <w:tcW w:w="12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4,345.2</w:t>
            </w:r>
          </w:p>
        </w:tc>
        <w:tc>
          <w:tcPr>
            <w:tcW w:w="20" w:type="dxa"/>
            <w:vAlign w:val="bottom"/>
          </w:tcPr>
          <w:p>
            <w:pPr>
              <w:spacing w:after="0"/>
              <w:rPr>
                <w:sz w:val="18"/>
                <w:szCs w:val="18"/>
                <w:color w:val="auto"/>
              </w:rPr>
            </w:pPr>
          </w:p>
        </w:tc>
      </w:tr>
      <w:tr>
        <w:trPr>
          <w:trHeight w:val="28"/>
        </w:trPr>
        <w:tc>
          <w:tcPr>
            <w:tcW w:w="380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380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5658485</wp:posOffset>
            </wp:positionH>
            <wp:positionV relativeFrom="paragraph">
              <wp:posOffset>-354965</wp:posOffset>
            </wp:positionV>
            <wp:extent cx="33655" cy="3683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H: Financial Instruments</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fnancial instruments include temporary cash investments, restricted cash, restricted investments, accounts receivable, notes receivable, accounts payable, publicly-registered long-term notes, debentures and other long-term debt.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Temporary cash investments are placed primarily in money market funds, money market demand deposit accounts and Eurodollar tme deposit accounts with fnancial insttutons. The Company’s cash equivalents have maturites of less than three months. Due to the short maturity of these investments, they are carried on the consolidated balance sheets at cost, which approximates fair value.</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Restricted cash is held in a trust account with a third-party intermediary. Due to the short-term nature of this account, the carrying value of restricted cash approximates its fair value.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Restricted investments at December 31, 2022 were held in a fund that invested solely in U.S. Treasury securites. The estmated fair value of the fund was valued at net asset value, which the fund seeks to maintain at one dollar per share. As such, the carrying value of the restricted investments approximated its fair value. The Company was restricted from accessing the investments, which were used to setle the 0.650% Senior Notes and related interest payments on the maturity date of July 17, 2023.</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Accounts receivable are due from a large number of customers, primarily in the constructon industry, and are dispersed across wide geographic and economic regions. However, accounts receivable are more heavily concentrated in certain states, namely Texas, North Carolina, Colorado, California, Georgia, Minnesota, Arizona, Iowa, Florida and Indiana. The carrying values of accounts receivable approximate their fair values.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note receivable at December 31, 2022 was a promissory note with an unconsolidated afliate (see Note N) and was not publicly traded. Management estmated that the carrying value of the note receivable approximated its fair value. This note was repaid in full in 2023.</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Accounts payable represent amounts owed to suppliers and vendors. The estmated carrying value of accounts payable approximates its fair value due to the short-term nature of the payables.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carrying values and fair values of the Company’s long-term debt were $4.35 billion and $3.88 billion, respectvely, at December 31, 2023 and $5.04 billion and $4.36 billion, respectvely, at December 31, 2022. The estmated fair value of the Company’s publicly-registered long-term debt was estmated based on Level 1 of the fair value hierarchy using quoted market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9"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3" w:name="page94"/>
    <w:bookmarkEnd w:id="93"/>
    <w:p>
      <w:pPr>
        <w:jc w:val="right"/>
        <w:ind w:right="40"/>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I: Income Taxes</w:t>
      </w:r>
    </w:p>
    <w:p>
      <w:pPr>
        <w:spacing w:after="0" w:line="56"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components of the Company’s income tax expense from contnuing operatons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40" w:type="dxa"/>
            <w:vAlign w:val="bottom"/>
            <w:shd w:val="clear" w:color="auto" w:fill="007CBA"/>
          </w:tcPr>
          <w:p>
            <w:pPr>
              <w:spacing w:after="0"/>
              <w:rPr>
                <w:sz w:val="19"/>
                <w:szCs w:val="19"/>
                <w:color w:val="auto"/>
              </w:rPr>
            </w:pPr>
          </w:p>
        </w:tc>
      </w:tr>
      <w:tr>
        <w:trPr>
          <w:trHeight w:val="245"/>
        </w:trPr>
        <w:tc>
          <w:tcPr>
            <w:tcW w:w="640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tcBorders>
              <w:bottom w:val="single" w:sz="8" w:color="007CBA"/>
            </w:tcBorders>
            <w:shd w:val="clear" w:color="auto" w:fill="007CBA"/>
          </w:tcPr>
          <w:p>
            <w:pPr>
              <w:spacing w:after="0"/>
              <w:rPr>
                <w:sz w:val="21"/>
                <w:szCs w:val="21"/>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2023</w:t>
            </w:r>
          </w:p>
        </w:tc>
        <w:tc>
          <w:tcPr>
            <w:tcW w:w="46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2022</w:t>
            </w:r>
          </w:p>
        </w:tc>
        <w:tc>
          <w:tcPr>
            <w:tcW w:w="46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2021</w:t>
            </w:r>
          </w:p>
        </w:tc>
      </w:tr>
      <w:tr>
        <w:trPr>
          <w:trHeight w:val="215"/>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Federal income taxes:</w:t>
            </w:r>
          </w:p>
        </w:tc>
        <w:tc>
          <w:tcPr>
            <w:tcW w:w="48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
        </w:trPr>
        <w:tc>
          <w:tcPr>
            <w:tcW w:w="640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Current</w:t>
            </w:r>
          </w:p>
        </w:tc>
        <w:tc>
          <w:tcPr>
            <w:tcW w:w="48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264.0</w:t>
            </w:r>
          </w:p>
        </w:tc>
        <w:tc>
          <w:tcPr>
            <w:tcW w:w="46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174.9</w:t>
            </w:r>
          </w:p>
        </w:tc>
        <w:tc>
          <w:tcPr>
            <w:tcW w:w="46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66.3</w:t>
            </w:r>
          </w:p>
        </w:tc>
      </w:tr>
      <w:tr>
        <w:trPr>
          <w:trHeight w:val="215"/>
        </w:trPr>
        <w:tc>
          <w:tcPr>
            <w:tcW w:w="6400" w:type="dxa"/>
            <w:vAlign w:val="bottom"/>
          </w:tcPr>
          <w:p>
            <w:pPr>
              <w:ind w:left="300"/>
              <w:spacing w:after="0" w:line="215" w:lineRule="exact"/>
              <w:rPr>
                <w:sz w:val="20"/>
                <w:szCs w:val="20"/>
                <w:color w:val="auto"/>
              </w:rPr>
            </w:pPr>
            <w:r>
              <w:rPr>
                <w:rFonts w:ascii="Calibri" w:cs="Calibri" w:eastAsia="Calibri" w:hAnsi="Calibri"/>
                <w:sz w:val="18"/>
                <w:szCs w:val="18"/>
                <w:color w:val="auto"/>
              </w:rPr>
              <w:t>Deferred</w:t>
            </w:r>
          </w:p>
        </w:tc>
        <w:tc>
          <w:tcPr>
            <w:tcW w:w="48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(11.4 )</w:t>
            </w:r>
          </w:p>
        </w:tc>
        <w:tc>
          <w:tcPr>
            <w:tcW w:w="46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18.0</w:t>
            </w:r>
          </w:p>
        </w:tc>
        <w:tc>
          <w:tcPr>
            <w:tcW w:w="46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61.4</w:t>
            </w:r>
          </w:p>
        </w:tc>
      </w:tr>
      <w:tr>
        <w:trPr>
          <w:trHeight w:val="28"/>
        </w:trPr>
        <w:tc>
          <w:tcPr>
            <w:tcW w:w="6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2"/>
        </w:trPr>
        <w:tc>
          <w:tcPr>
            <w:tcW w:w="640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federal income taxes</w:t>
            </w:r>
          </w:p>
        </w:tc>
        <w:tc>
          <w:tcPr>
            <w:tcW w:w="480" w:type="dxa"/>
            <w:vAlign w:val="bottom"/>
            <w:tcBorders>
              <w:bottom w:val="single" w:sz="8" w:color="E5F1F8"/>
            </w:tcBorders>
            <w:shd w:val="clear" w:color="auto" w:fill="E5F1F8"/>
          </w:tcPr>
          <w:p>
            <w:pPr>
              <w:spacing w:after="0"/>
              <w:rPr>
                <w:sz w:val="20"/>
                <w:szCs w:val="20"/>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252.6</w:t>
            </w:r>
          </w:p>
        </w:tc>
        <w:tc>
          <w:tcPr>
            <w:tcW w:w="460" w:type="dxa"/>
            <w:vAlign w:val="bottom"/>
            <w:tcBorders>
              <w:bottom w:val="single" w:sz="8" w:color="E5F1F8"/>
            </w:tcBorders>
            <w:shd w:val="clear" w:color="auto" w:fill="E5F1F8"/>
          </w:tcPr>
          <w:p>
            <w:pPr>
              <w:spacing w:after="0"/>
              <w:rPr>
                <w:sz w:val="20"/>
                <w:szCs w:val="20"/>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192.9</w:t>
            </w:r>
          </w:p>
        </w:tc>
        <w:tc>
          <w:tcPr>
            <w:tcW w:w="460" w:type="dxa"/>
            <w:vAlign w:val="bottom"/>
            <w:tcBorders>
              <w:bottom w:val="single" w:sz="8" w:color="E5F1F8"/>
            </w:tcBorders>
            <w:shd w:val="clear" w:color="auto" w:fill="E5F1F8"/>
          </w:tcPr>
          <w:p>
            <w:pPr>
              <w:spacing w:after="0"/>
              <w:rPr>
                <w:sz w:val="20"/>
                <w:szCs w:val="20"/>
                <w:color w:val="auto"/>
              </w:rPr>
            </w:pPr>
          </w:p>
        </w:tc>
        <w:tc>
          <w:tcPr>
            <w:tcW w:w="11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127.7</w:t>
            </w:r>
          </w:p>
        </w:tc>
      </w:tr>
      <w:tr>
        <w:trPr>
          <w:trHeight w:val="208"/>
        </w:trPr>
        <w:tc>
          <w:tcPr>
            <w:tcW w:w="640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State income taxes:</w:t>
            </w: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007CBA"/>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007CBA"/>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8"/>
        </w:trPr>
        <w:tc>
          <w:tcPr>
            <w:tcW w:w="640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Current</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42.7</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35.1</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18.7</w:t>
            </w:r>
          </w:p>
        </w:tc>
      </w:tr>
      <w:tr>
        <w:trPr>
          <w:trHeight w:val="215"/>
        </w:trPr>
        <w:tc>
          <w:tcPr>
            <w:tcW w:w="6400" w:type="dxa"/>
            <w:vAlign w:val="bottom"/>
          </w:tcPr>
          <w:p>
            <w:pPr>
              <w:ind w:left="300"/>
              <w:spacing w:after="0" w:line="215" w:lineRule="exact"/>
              <w:rPr>
                <w:sz w:val="20"/>
                <w:szCs w:val="20"/>
                <w:color w:val="auto"/>
              </w:rPr>
            </w:pPr>
            <w:r>
              <w:rPr>
                <w:rFonts w:ascii="Calibri" w:cs="Calibri" w:eastAsia="Calibri" w:hAnsi="Calibri"/>
                <w:sz w:val="18"/>
                <w:szCs w:val="18"/>
                <w:color w:val="auto"/>
              </w:rPr>
              <w:t>Deferred</w:t>
            </w:r>
          </w:p>
        </w:tc>
        <w:tc>
          <w:tcPr>
            <w:tcW w:w="48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(3.0 )</w:t>
            </w:r>
          </w:p>
        </w:tc>
        <w:tc>
          <w:tcPr>
            <w:tcW w:w="46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5.3</w:t>
            </w:r>
          </w:p>
        </w:tc>
        <w:tc>
          <w:tcPr>
            <w:tcW w:w="46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6.5</w:t>
            </w:r>
          </w:p>
        </w:tc>
      </w:tr>
      <w:tr>
        <w:trPr>
          <w:trHeight w:val="28"/>
        </w:trPr>
        <w:tc>
          <w:tcPr>
            <w:tcW w:w="6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1"/>
        </w:trPr>
        <w:tc>
          <w:tcPr>
            <w:tcW w:w="640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state income taxes</w:t>
            </w:r>
          </w:p>
        </w:tc>
        <w:tc>
          <w:tcPr>
            <w:tcW w:w="480" w:type="dxa"/>
            <w:vAlign w:val="bottom"/>
            <w:tcBorders>
              <w:bottom w:val="single" w:sz="8" w:color="E5F1F8"/>
            </w:tcBorders>
            <w:shd w:val="clear" w:color="auto" w:fill="E5F1F8"/>
          </w:tcPr>
          <w:p>
            <w:pPr>
              <w:spacing w:after="0"/>
              <w:rPr>
                <w:sz w:val="20"/>
                <w:szCs w:val="20"/>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39.7</w:t>
            </w:r>
          </w:p>
        </w:tc>
        <w:tc>
          <w:tcPr>
            <w:tcW w:w="460" w:type="dxa"/>
            <w:vAlign w:val="bottom"/>
            <w:tcBorders>
              <w:bottom w:val="single" w:sz="8" w:color="E5F1F8"/>
            </w:tcBorders>
            <w:shd w:val="clear" w:color="auto" w:fill="E5F1F8"/>
          </w:tcPr>
          <w:p>
            <w:pPr>
              <w:spacing w:after="0"/>
              <w:rPr>
                <w:sz w:val="20"/>
                <w:szCs w:val="20"/>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40.4</w:t>
            </w:r>
          </w:p>
        </w:tc>
        <w:tc>
          <w:tcPr>
            <w:tcW w:w="460" w:type="dxa"/>
            <w:vAlign w:val="bottom"/>
            <w:tcBorders>
              <w:bottom w:val="single" w:sz="8" w:color="E5F1F8"/>
            </w:tcBorders>
            <w:shd w:val="clear" w:color="auto" w:fill="E5F1F8"/>
          </w:tcPr>
          <w:p>
            <w:pPr>
              <w:spacing w:after="0"/>
              <w:rPr>
                <w:sz w:val="20"/>
                <w:szCs w:val="20"/>
                <w:color w:val="auto"/>
              </w:rPr>
            </w:pPr>
          </w:p>
        </w:tc>
        <w:tc>
          <w:tcPr>
            <w:tcW w:w="11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25.2</w:t>
            </w:r>
          </w:p>
        </w:tc>
      </w:tr>
      <w:tr>
        <w:trPr>
          <w:trHeight w:val="208"/>
        </w:trPr>
        <w:tc>
          <w:tcPr>
            <w:tcW w:w="640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Foreign income taxes:</w:t>
            </w: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007CBA"/>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007CBA"/>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8"/>
        </w:trPr>
        <w:tc>
          <w:tcPr>
            <w:tcW w:w="640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Current</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0.2</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6400" w:type="dxa"/>
            <w:vAlign w:val="bottom"/>
          </w:tcPr>
          <w:p>
            <w:pPr>
              <w:ind w:left="300"/>
              <w:spacing w:after="0" w:line="215" w:lineRule="exact"/>
              <w:rPr>
                <w:sz w:val="20"/>
                <w:szCs w:val="20"/>
                <w:color w:val="auto"/>
              </w:rPr>
            </w:pPr>
            <w:r>
              <w:rPr>
                <w:rFonts w:ascii="Calibri" w:cs="Calibri" w:eastAsia="Calibri" w:hAnsi="Calibri"/>
                <w:sz w:val="18"/>
                <w:szCs w:val="18"/>
                <w:color w:val="auto"/>
              </w:rPr>
              <w:t>Deferred</w:t>
            </w:r>
          </w:p>
        </w:tc>
        <w:tc>
          <w:tcPr>
            <w:tcW w:w="48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0.3</w:t>
            </w:r>
          </w:p>
        </w:tc>
        <w:tc>
          <w:tcPr>
            <w:tcW w:w="46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0.3</w:t>
            </w:r>
          </w:p>
        </w:tc>
      </w:tr>
      <w:tr>
        <w:trPr>
          <w:trHeight w:val="28"/>
        </w:trPr>
        <w:tc>
          <w:tcPr>
            <w:tcW w:w="6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1"/>
        </w:trPr>
        <w:tc>
          <w:tcPr>
            <w:tcW w:w="640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foreign income taxes</w:t>
            </w:r>
          </w:p>
        </w:tc>
        <w:tc>
          <w:tcPr>
            <w:tcW w:w="480" w:type="dxa"/>
            <w:vAlign w:val="bottom"/>
            <w:tcBorders>
              <w:bottom w:val="single" w:sz="8" w:color="E5F1F8"/>
            </w:tcBorders>
            <w:shd w:val="clear" w:color="auto" w:fill="E5F1F8"/>
          </w:tcPr>
          <w:p>
            <w:pPr>
              <w:spacing w:after="0"/>
              <w:rPr>
                <w:sz w:val="20"/>
                <w:szCs w:val="20"/>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0.2</w:t>
            </w:r>
          </w:p>
        </w:tc>
        <w:tc>
          <w:tcPr>
            <w:tcW w:w="460" w:type="dxa"/>
            <w:vAlign w:val="bottom"/>
            <w:tcBorders>
              <w:bottom w:val="single" w:sz="8" w:color="E5F1F8"/>
            </w:tcBorders>
            <w:shd w:val="clear" w:color="auto" w:fill="E5F1F8"/>
          </w:tcPr>
          <w:p>
            <w:pPr>
              <w:spacing w:after="0"/>
              <w:rPr>
                <w:sz w:val="20"/>
                <w:szCs w:val="20"/>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1.5</w:t>
            </w:r>
          </w:p>
        </w:tc>
        <w:tc>
          <w:tcPr>
            <w:tcW w:w="460" w:type="dxa"/>
            <w:vAlign w:val="bottom"/>
            <w:tcBorders>
              <w:bottom w:val="single" w:sz="8" w:color="E5F1F8"/>
            </w:tcBorders>
            <w:shd w:val="clear" w:color="auto" w:fill="E5F1F8"/>
          </w:tcPr>
          <w:p>
            <w:pPr>
              <w:spacing w:after="0"/>
              <w:rPr>
                <w:sz w:val="20"/>
                <w:szCs w:val="20"/>
                <w:color w:val="auto"/>
              </w:rPr>
            </w:pPr>
          </w:p>
        </w:tc>
        <w:tc>
          <w:tcPr>
            <w:tcW w:w="11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0.3</w:t>
            </w:r>
          </w:p>
        </w:tc>
      </w:tr>
      <w:tr>
        <w:trPr>
          <w:trHeight w:val="208"/>
        </w:trPr>
        <w:tc>
          <w:tcPr>
            <w:tcW w:w="64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Income tax expense</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292.5</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234.8</w:t>
            </w:r>
          </w:p>
        </w:tc>
        <w:tc>
          <w:tcPr>
            <w:tcW w:w="46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153.2</w:t>
            </w:r>
          </w:p>
        </w:tc>
      </w:tr>
      <w:tr>
        <w:trPr>
          <w:trHeight w:val="28"/>
        </w:trPr>
        <w:tc>
          <w:tcPr>
            <w:tcW w:w="6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16319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-1786255</wp:posOffset>
            </wp:positionV>
            <wp:extent cx="33655" cy="3511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33655" cy="35115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-1786255</wp:posOffset>
            </wp:positionV>
            <wp:extent cx="33655" cy="3511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33655" cy="35115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-1786255</wp:posOffset>
            </wp:positionV>
            <wp:extent cx="34290" cy="3511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-1152525</wp:posOffset>
            </wp:positionV>
            <wp:extent cx="33655" cy="3511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33655" cy="35115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-1152525</wp:posOffset>
            </wp:positionV>
            <wp:extent cx="33655" cy="3511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33655" cy="35115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-1152525</wp:posOffset>
            </wp:positionV>
            <wp:extent cx="34290" cy="3511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-518160</wp:posOffset>
            </wp:positionV>
            <wp:extent cx="33655" cy="5314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33655" cy="53149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-518160</wp:posOffset>
            </wp:positionV>
            <wp:extent cx="33655" cy="5314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33655" cy="53149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-518160</wp:posOffset>
            </wp:positionV>
            <wp:extent cx="34290" cy="5314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34290" cy="531495"/>
                    </a:xfrm>
                    <a:prstGeom prst="rect">
                      <a:avLst/>
                    </a:prstGeom>
                    <a:noFill/>
                  </pic:spPr>
                </pic:pic>
              </a:graphicData>
            </a:graphic>
          </wp:anchor>
        </w:drawing>
      </w:r>
    </w:p>
    <w:p>
      <w:pPr>
        <w:spacing w:after="0" w:line="133"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The Company generated foreign pretax earnings of $8.1 million, a loss of $2.3 million and earnings of $7.5 million for the years ended December 31, 2023, 2022 and 2021, respectvely.</w:t>
      </w:r>
    </w:p>
    <w:p>
      <w:pPr>
        <w:spacing w:after="0" w:line="110"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The Company’s efectve income tax rate on contnuing operatons varied from the statutory United States income tax rate because of the following tax diferences: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1960" w:type="dxa"/>
            <w:vAlign w:val="bottom"/>
            <w:tcBorders>
              <w:bottom w:val="single" w:sz="8" w:color="007CBA"/>
            </w:tcBorders>
            <w:shd w:val="clear" w:color="auto" w:fill="007CBA"/>
          </w:tcPr>
          <w:p>
            <w:pPr>
              <w:jc w:val="right"/>
              <w:ind w:right="870"/>
              <w:spacing w:after="0"/>
              <w:rPr>
                <w:sz w:val="20"/>
                <w:szCs w:val="20"/>
                <w:color w:val="auto"/>
              </w:rPr>
            </w:pPr>
            <w:r>
              <w:rPr>
                <w:rFonts w:ascii="Calibri" w:cs="Calibri" w:eastAsia="Calibri" w:hAnsi="Calibri"/>
                <w:sz w:val="18"/>
                <w:szCs w:val="18"/>
                <w:b w:val="1"/>
                <w:bCs w:val="1"/>
                <w:color w:val="FFFFFF"/>
              </w:rPr>
              <w:t>2023</w:t>
            </w:r>
          </w:p>
        </w:tc>
        <w:tc>
          <w:tcPr>
            <w:tcW w:w="1620" w:type="dxa"/>
            <w:vAlign w:val="bottom"/>
            <w:tcBorders>
              <w:bottom w:val="single" w:sz="8" w:color="007CBA"/>
            </w:tcBorders>
            <w:shd w:val="clear" w:color="auto" w:fill="007CBA"/>
          </w:tcPr>
          <w:p>
            <w:pPr>
              <w:jc w:val="right"/>
              <w:ind w:right="850"/>
              <w:spacing w:after="0"/>
              <w:rPr>
                <w:sz w:val="20"/>
                <w:szCs w:val="20"/>
                <w:color w:val="auto"/>
              </w:rPr>
            </w:pPr>
            <w:r>
              <w:rPr>
                <w:rFonts w:ascii="Calibri" w:cs="Calibri" w:eastAsia="Calibri" w:hAnsi="Calibri"/>
                <w:sz w:val="18"/>
                <w:szCs w:val="18"/>
                <w:color w:val="FFFFFF"/>
              </w:rPr>
              <w:t>2022</w:t>
            </w:r>
          </w:p>
        </w:tc>
        <w:tc>
          <w:tcPr>
            <w:tcW w:w="1260" w:type="dxa"/>
            <w:vAlign w:val="bottom"/>
            <w:tcBorders>
              <w:bottom w:val="single" w:sz="8" w:color="007CBA"/>
            </w:tcBorders>
            <w:shd w:val="clear" w:color="auto" w:fill="007CBA"/>
          </w:tcPr>
          <w:p>
            <w:pPr>
              <w:jc w:val="right"/>
              <w:ind w:right="510"/>
              <w:spacing w:after="0"/>
              <w:rPr>
                <w:sz w:val="20"/>
                <w:szCs w:val="20"/>
                <w:color w:val="auto"/>
              </w:rPr>
            </w:pPr>
            <w:r>
              <w:rPr>
                <w:rFonts w:ascii="Calibri" w:cs="Calibri" w:eastAsia="Calibri" w:hAnsi="Calibri"/>
                <w:sz w:val="18"/>
                <w:szCs w:val="18"/>
                <w:color w:val="FFFFFF"/>
              </w:rPr>
              <w:t>2021</w:t>
            </w:r>
          </w:p>
        </w:tc>
        <w:tc>
          <w:tcPr>
            <w:tcW w:w="40" w:type="dxa"/>
            <w:vAlign w:val="bottom"/>
          </w:tcPr>
          <w:p>
            <w:pPr>
              <w:spacing w:after="0"/>
              <w:rPr>
                <w:sz w:val="20"/>
                <w:szCs w:val="20"/>
                <w:color w:val="auto"/>
              </w:rPr>
            </w:pPr>
          </w:p>
        </w:tc>
      </w:tr>
      <w:tr>
        <w:trPr>
          <w:trHeight w:val="215"/>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Statutory income tax rate</w:t>
            </w:r>
          </w:p>
        </w:tc>
        <w:tc>
          <w:tcPr>
            <w:tcW w:w="1960" w:type="dxa"/>
            <w:vAlign w:val="bottom"/>
          </w:tcPr>
          <w:p>
            <w:pPr>
              <w:jc w:val="right"/>
              <w:ind w:right="250"/>
              <w:spacing w:after="0" w:line="215" w:lineRule="exact"/>
              <w:rPr>
                <w:sz w:val="20"/>
                <w:szCs w:val="20"/>
                <w:color w:val="auto"/>
              </w:rPr>
            </w:pPr>
            <w:r>
              <w:rPr>
                <w:rFonts w:ascii="Calibri" w:cs="Calibri" w:eastAsia="Calibri" w:hAnsi="Calibri"/>
                <w:sz w:val="18"/>
                <w:szCs w:val="18"/>
                <w:b w:val="1"/>
                <w:bCs w:val="1"/>
                <w:color w:val="auto"/>
              </w:rPr>
              <w:t>21.0 %</w:t>
            </w:r>
          </w:p>
        </w:tc>
        <w:tc>
          <w:tcPr>
            <w:tcW w:w="162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21.0 %</w:t>
            </w:r>
          </w:p>
        </w:tc>
        <w:tc>
          <w:tcPr>
            <w:tcW w:w="13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21.0 %</w:t>
            </w:r>
          </w:p>
        </w:tc>
      </w:tr>
      <w:tr>
        <w:trPr>
          <w:trHeight w:val="28"/>
        </w:trPr>
        <w:tc>
          <w:tcPr>
            <w:tcW w:w="6400" w:type="dxa"/>
            <w:vAlign w:val="bottom"/>
            <w:tcBorders>
              <w:right w:val="single" w:sz="8" w:color="007CBA"/>
            </w:tcBorders>
          </w:tcPr>
          <w:p>
            <w:pPr>
              <w:spacing w:after="0"/>
              <w:rPr>
                <w:sz w:val="2"/>
                <w:szCs w:val="2"/>
                <w:color w:val="auto"/>
              </w:rPr>
            </w:pPr>
          </w:p>
        </w:tc>
        <w:tc>
          <w:tcPr>
            <w:tcW w:w="1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(Reducton) increase resultng from:</w:t>
            </w:r>
          </w:p>
        </w:tc>
        <w:tc>
          <w:tcPr>
            <w:tcW w:w="1960" w:type="dxa"/>
            <w:vAlign w:val="bottom"/>
            <w:tcBorders>
              <w:bottom w:val="single" w:sz="8" w:color="E5F1F8"/>
            </w:tcBorders>
            <w:shd w:val="clear" w:color="auto" w:fill="E5F1F8"/>
          </w:tcPr>
          <w:p>
            <w:pPr>
              <w:spacing w:after="0"/>
              <w:rPr>
                <w:sz w:val="19"/>
                <w:szCs w:val="19"/>
                <w:color w:val="auto"/>
              </w:rPr>
            </w:pPr>
          </w:p>
        </w:tc>
        <w:tc>
          <w:tcPr>
            <w:tcW w:w="1620" w:type="dxa"/>
            <w:vAlign w:val="bottom"/>
            <w:tcBorders>
              <w:bottom w:val="single" w:sz="8" w:color="E5F1F8"/>
            </w:tcBorders>
            <w:shd w:val="clear" w:color="auto" w:fill="E5F1F8"/>
          </w:tcPr>
          <w:p>
            <w:pPr>
              <w:spacing w:after="0"/>
              <w:rPr>
                <w:sz w:val="19"/>
                <w:szCs w:val="19"/>
                <w:color w:val="auto"/>
              </w:rPr>
            </w:pPr>
          </w:p>
        </w:tc>
        <w:tc>
          <w:tcPr>
            <w:tcW w:w="1260" w:type="dxa"/>
            <w:vAlign w:val="bottom"/>
            <w:tcBorders>
              <w:bottom w:val="single" w:sz="8" w:color="E5F1F8"/>
            </w:tcBorders>
            <w:shd w:val="clear" w:color="auto" w:fill="E5F1F8"/>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640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Efect of statutory depleton</w:t>
            </w:r>
          </w:p>
        </w:tc>
        <w:tc>
          <w:tcPr>
            <w:tcW w:w="1960" w:type="dxa"/>
            <w:vAlign w:val="bottom"/>
          </w:tcPr>
          <w:p>
            <w:pPr>
              <w:jc w:val="right"/>
              <w:ind w:right="290"/>
              <w:spacing w:after="0" w:line="215" w:lineRule="exact"/>
              <w:rPr>
                <w:sz w:val="20"/>
                <w:szCs w:val="20"/>
                <w:color w:val="auto"/>
              </w:rPr>
            </w:pPr>
            <w:r>
              <w:rPr>
                <w:rFonts w:ascii="Calibri" w:cs="Calibri" w:eastAsia="Calibri" w:hAnsi="Calibri"/>
                <w:sz w:val="18"/>
                <w:szCs w:val="18"/>
                <w:b w:val="1"/>
                <w:bCs w:val="1"/>
                <w:color w:val="auto"/>
              </w:rPr>
              <w:t>(2.3 )</w:t>
            </w:r>
          </w:p>
        </w:tc>
        <w:tc>
          <w:tcPr>
            <w:tcW w:w="1620" w:type="dxa"/>
            <w:vAlign w:val="bottom"/>
          </w:tcPr>
          <w:p>
            <w:pPr>
              <w:jc w:val="right"/>
              <w:ind w:right="290"/>
              <w:spacing w:after="0" w:line="215" w:lineRule="exact"/>
              <w:rPr>
                <w:sz w:val="20"/>
                <w:szCs w:val="20"/>
                <w:color w:val="auto"/>
              </w:rPr>
            </w:pPr>
            <w:r>
              <w:rPr>
                <w:rFonts w:ascii="Calibri" w:cs="Calibri" w:eastAsia="Calibri" w:hAnsi="Calibri"/>
                <w:sz w:val="18"/>
                <w:szCs w:val="18"/>
                <w:color w:val="auto"/>
              </w:rPr>
              <w:t>(2.4 )</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(3.5 )</w:t>
            </w:r>
          </w:p>
        </w:tc>
        <w:tc>
          <w:tcPr>
            <w:tcW w:w="40" w:type="dxa"/>
            <w:vAlign w:val="bottom"/>
          </w:tcPr>
          <w:p>
            <w:pPr>
              <w:spacing w:after="0"/>
              <w:rPr>
                <w:sz w:val="18"/>
                <w:szCs w:val="18"/>
                <w:color w:val="auto"/>
              </w:rPr>
            </w:pPr>
          </w:p>
        </w:tc>
      </w:tr>
      <w:tr>
        <w:trPr>
          <w:trHeight w:val="28"/>
        </w:trPr>
        <w:tc>
          <w:tcPr>
            <w:tcW w:w="6400" w:type="dxa"/>
            <w:vAlign w:val="bottom"/>
            <w:tcBorders>
              <w:right w:val="single" w:sz="8" w:color="007CBA"/>
            </w:tcBorders>
          </w:tcPr>
          <w:p>
            <w:pPr>
              <w:spacing w:after="0"/>
              <w:rPr>
                <w:sz w:val="2"/>
                <w:szCs w:val="2"/>
                <w:color w:val="auto"/>
              </w:rPr>
            </w:pPr>
          </w:p>
        </w:tc>
        <w:tc>
          <w:tcPr>
            <w:tcW w:w="1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State income taxes, net of federal tax beneft</w:t>
            </w:r>
          </w:p>
        </w:tc>
        <w:tc>
          <w:tcPr>
            <w:tcW w:w="1960" w:type="dxa"/>
            <w:vAlign w:val="bottom"/>
            <w:tcBorders>
              <w:bottom w:val="single" w:sz="8" w:color="E5F1F8"/>
            </w:tcBorders>
            <w:shd w:val="clear" w:color="auto" w:fill="E5F1F8"/>
          </w:tcPr>
          <w:p>
            <w:pPr>
              <w:jc w:val="right"/>
              <w:ind w:right="370"/>
              <w:spacing w:after="0" w:line="215" w:lineRule="exact"/>
              <w:rPr>
                <w:sz w:val="20"/>
                <w:szCs w:val="20"/>
                <w:color w:val="auto"/>
              </w:rPr>
            </w:pPr>
            <w:r>
              <w:rPr>
                <w:rFonts w:ascii="Calibri" w:cs="Calibri" w:eastAsia="Calibri" w:hAnsi="Calibri"/>
                <w:sz w:val="18"/>
                <w:szCs w:val="18"/>
                <w:b w:val="1"/>
                <w:bCs w:val="1"/>
                <w:color w:val="auto"/>
              </w:rPr>
              <w:t>2.1</w:t>
            </w:r>
          </w:p>
        </w:tc>
        <w:tc>
          <w:tcPr>
            <w:tcW w:w="1620" w:type="dxa"/>
            <w:vAlign w:val="bottom"/>
            <w:tcBorders>
              <w:bottom w:val="single" w:sz="8" w:color="E5F1F8"/>
            </w:tcBorders>
            <w:shd w:val="clear" w:color="auto" w:fill="E5F1F8"/>
          </w:tcPr>
          <w:p>
            <w:pPr>
              <w:jc w:val="right"/>
              <w:ind w:right="370"/>
              <w:spacing w:after="0" w:line="215" w:lineRule="exact"/>
              <w:rPr>
                <w:sz w:val="20"/>
                <w:szCs w:val="20"/>
                <w:color w:val="auto"/>
              </w:rPr>
            </w:pPr>
            <w:r>
              <w:rPr>
                <w:rFonts w:ascii="Calibri" w:cs="Calibri" w:eastAsia="Calibri" w:hAnsi="Calibri"/>
                <w:sz w:val="18"/>
                <w:szCs w:val="18"/>
                <w:color w:val="auto"/>
              </w:rPr>
              <w:t>2.9</w:t>
            </w:r>
          </w:p>
        </w:tc>
        <w:tc>
          <w:tcPr>
            <w:tcW w:w="12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2.3</w:t>
            </w:r>
          </w:p>
        </w:tc>
        <w:tc>
          <w:tcPr>
            <w:tcW w:w="40" w:type="dxa"/>
            <w:vAlign w:val="bottom"/>
          </w:tcPr>
          <w:p>
            <w:pPr>
              <w:spacing w:after="0"/>
              <w:rPr>
                <w:sz w:val="19"/>
                <w:szCs w:val="19"/>
                <w:color w:val="auto"/>
              </w:rPr>
            </w:pPr>
          </w:p>
        </w:tc>
      </w:tr>
      <w:tr>
        <w:trPr>
          <w:trHeight w:val="243"/>
        </w:trPr>
        <w:tc>
          <w:tcPr>
            <w:tcW w:w="640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Federal tax credits</w:t>
            </w:r>
          </w:p>
        </w:tc>
        <w:tc>
          <w:tcPr>
            <w:tcW w:w="1960" w:type="dxa"/>
            <w:vAlign w:val="bottom"/>
          </w:tcPr>
          <w:p>
            <w:pPr>
              <w:jc w:val="right"/>
              <w:ind w:right="290"/>
              <w:spacing w:after="0" w:line="215" w:lineRule="exact"/>
              <w:rPr>
                <w:sz w:val="20"/>
                <w:szCs w:val="20"/>
                <w:color w:val="auto"/>
              </w:rPr>
            </w:pPr>
            <w:r>
              <w:rPr>
                <w:rFonts w:ascii="Calibri" w:cs="Calibri" w:eastAsia="Calibri" w:hAnsi="Calibri"/>
                <w:sz w:val="18"/>
                <w:szCs w:val="18"/>
                <w:b w:val="1"/>
                <w:bCs w:val="1"/>
                <w:color w:val="auto"/>
              </w:rPr>
              <w:t>(1.0 )</w:t>
            </w:r>
          </w:p>
        </w:tc>
        <w:tc>
          <w:tcPr>
            <w:tcW w:w="1620" w:type="dxa"/>
            <w:vAlign w:val="bottom"/>
          </w:tcPr>
          <w:p>
            <w:pPr>
              <w:jc w:val="right"/>
              <w:ind w:right="290"/>
              <w:spacing w:after="0" w:line="215" w:lineRule="exact"/>
              <w:rPr>
                <w:sz w:val="20"/>
                <w:szCs w:val="20"/>
                <w:color w:val="auto"/>
              </w:rPr>
            </w:pPr>
            <w:r>
              <w:rPr>
                <w:rFonts w:ascii="Calibri" w:cs="Calibri" w:eastAsia="Calibri" w:hAnsi="Calibri"/>
                <w:sz w:val="18"/>
                <w:szCs w:val="18"/>
                <w:color w:val="auto"/>
              </w:rPr>
              <w:t>(0.9 )</w:t>
            </w: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(1.4 )</w:t>
            </w:r>
          </w:p>
        </w:tc>
        <w:tc>
          <w:tcPr>
            <w:tcW w:w="40" w:type="dxa"/>
            <w:vAlign w:val="bottom"/>
          </w:tcPr>
          <w:p>
            <w:pPr>
              <w:spacing w:after="0"/>
              <w:rPr>
                <w:sz w:val="21"/>
                <w:szCs w:val="21"/>
                <w:color w:val="auto"/>
              </w:rPr>
            </w:pPr>
          </w:p>
        </w:tc>
      </w:tr>
      <w:tr>
        <w:trPr>
          <w:trHeight w:val="223"/>
        </w:trPr>
        <w:tc>
          <w:tcPr>
            <w:tcW w:w="6400" w:type="dxa"/>
            <w:vAlign w:val="bottom"/>
            <w:tcBorders>
              <w:bottom w:val="single" w:sz="8" w:color="E5F1F8"/>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Other items</w:t>
            </w:r>
          </w:p>
        </w:tc>
        <w:tc>
          <w:tcPr>
            <w:tcW w:w="1960" w:type="dxa"/>
            <w:vAlign w:val="bottom"/>
            <w:tcBorders>
              <w:bottom w:val="single" w:sz="8" w:color="E5F1F8"/>
            </w:tcBorders>
            <w:shd w:val="clear" w:color="auto" w:fill="E5F1F8"/>
          </w:tcPr>
          <w:p>
            <w:pPr>
              <w:jc w:val="right"/>
              <w:ind w:right="290"/>
              <w:spacing w:after="0" w:line="215" w:lineRule="exact"/>
              <w:rPr>
                <w:sz w:val="20"/>
                <w:szCs w:val="20"/>
                <w:color w:val="auto"/>
              </w:rPr>
            </w:pPr>
            <w:r>
              <w:rPr>
                <w:rFonts w:ascii="Calibri" w:cs="Calibri" w:eastAsia="Calibri" w:hAnsi="Calibri"/>
                <w:sz w:val="18"/>
                <w:szCs w:val="18"/>
                <w:b w:val="1"/>
                <w:bCs w:val="1"/>
                <w:color w:val="auto"/>
              </w:rPr>
              <w:t>(0.2 )</w:t>
            </w:r>
          </w:p>
        </w:tc>
        <w:tc>
          <w:tcPr>
            <w:tcW w:w="1620" w:type="dxa"/>
            <w:vAlign w:val="bottom"/>
            <w:tcBorders>
              <w:bottom w:val="single" w:sz="8" w:color="E5F1F8"/>
            </w:tcBorders>
            <w:shd w:val="clear" w:color="auto" w:fill="E5F1F8"/>
          </w:tcPr>
          <w:p>
            <w:pPr>
              <w:jc w:val="right"/>
              <w:ind w:right="370"/>
              <w:spacing w:after="0" w:line="215" w:lineRule="exact"/>
              <w:rPr>
                <w:sz w:val="20"/>
                <w:szCs w:val="20"/>
                <w:color w:val="auto"/>
              </w:rPr>
            </w:pPr>
            <w:r>
              <w:rPr>
                <w:rFonts w:ascii="Calibri" w:cs="Calibri" w:eastAsia="Calibri" w:hAnsi="Calibri"/>
                <w:sz w:val="18"/>
                <w:szCs w:val="18"/>
                <w:color w:val="auto"/>
              </w:rPr>
              <w:t>0.9</w:t>
            </w:r>
          </w:p>
        </w:tc>
        <w:tc>
          <w:tcPr>
            <w:tcW w:w="1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(0.5 )</w:t>
            </w:r>
          </w:p>
        </w:tc>
        <w:tc>
          <w:tcPr>
            <w:tcW w:w="40" w:type="dxa"/>
            <w:vAlign w:val="bottom"/>
          </w:tcPr>
          <w:p>
            <w:pPr>
              <w:spacing w:after="0"/>
              <w:rPr>
                <w:sz w:val="19"/>
                <w:szCs w:val="19"/>
                <w:color w:val="auto"/>
              </w:rPr>
            </w:pPr>
          </w:p>
        </w:tc>
      </w:tr>
      <w:tr>
        <w:trPr>
          <w:trHeight w:val="20"/>
        </w:trPr>
        <w:tc>
          <w:tcPr>
            <w:tcW w:w="6400" w:type="dxa"/>
            <w:vAlign w:val="bottom"/>
            <w:tcBorders>
              <w:right w:val="single" w:sz="8" w:color="auto"/>
            </w:tcBorders>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6400" w:type="dxa"/>
            <w:vAlign w:val="bottom"/>
          </w:tcPr>
          <w:p>
            <w:pPr>
              <w:ind w:left="120"/>
              <w:spacing w:after="0" w:line="208" w:lineRule="exact"/>
              <w:rPr>
                <w:sz w:val="20"/>
                <w:szCs w:val="20"/>
                <w:color w:val="auto"/>
              </w:rPr>
            </w:pPr>
            <w:r>
              <w:rPr>
                <w:rFonts w:ascii="Calibri" w:cs="Calibri" w:eastAsia="Calibri" w:hAnsi="Calibri"/>
                <w:sz w:val="18"/>
                <w:szCs w:val="18"/>
                <w:color w:val="auto"/>
              </w:rPr>
              <w:t>Efectve income tax rate</w:t>
            </w:r>
          </w:p>
        </w:tc>
        <w:tc>
          <w:tcPr>
            <w:tcW w:w="1960" w:type="dxa"/>
            <w:vAlign w:val="bottom"/>
          </w:tcPr>
          <w:p>
            <w:pPr>
              <w:jc w:val="right"/>
              <w:ind w:right="210"/>
              <w:spacing w:after="0" w:line="208" w:lineRule="exact"/>
              <w:rPr>
                <w:sz w:val="20"/>
                <w:szCs w:val="20"/>
                <w:color w:val="auto"/>
              </w:rPr>
            </w:pPr>
            <w:r>
              <w:rPr>
                <w:rFonts w:ascii="Calibri" w:cs="Calibri" w:eastAsia="Calibri" w:hAnsi="Calibri"/>
                <w:sz w:val="18"/>
                <w:szCs w:val="18"/>
                <w:b w:val="1"/>
                <w:bCs w:val="1"/>
                <w:color w:val="auto"/>
              </w:rPr>
              <w:t>19.6 %</w:t>
            </w:r>
          </w:p>
        </w:tc>
        <w:tc>
          <w:tcPr>
            <w:tcW w:w="1620" w:type="dxa"/>
            <w:vAlign w:val="bottom"/>
          </w:tcPr>
          <w:p>
            <w:pPr>
              <w:jc w:val="right"/>
              <w:ind w:right="210"/>
              <w:spacing w:after="0" w:line="208" w:lineRule="exact"/>
              <w:rPr>
                <w:sz w:val="20"/>
                <w:szCs w:val="20"/>
                <w:color w:val="auto"/>
              </w:rPr>
            </w:pPr>
            <w:r>
              <w:rPr>
                <w:rFonts w:ascii="Calibri" w:cs="Calibri" w:eastAsia="Calibri" w:hAnsi="Calibri"/>
                <w:sz w:val="18"/>
                <w:szCs w:val="18"/>
                <w:color w:val="auto"/>
              </w:rPr>
              <w:t>21.5 %</w:t>
            </w:r>
          </w:p>
        </w:tc>
        <w:tc>
          <w:tcPr>
            <w:tcW w:w="1300" w:type="dxa"/>
            <w:vAlign w:val="bottom"/>
            <w:gridSpan w:val="2"/>
          </w:tcPr>
          <w:p>
            <w:pPr>
              <w:jc w:val="right"/>
              <w:spacing w:after="0" w:line="208" w:lineRule="exact"/>
              <w:rPr>
                <w:sz w:val="20"/>
                <w:szCs w:val="20"/>
                <w:color w:val="auto"/>
              </w:rPr>
            </w:pPr>
            <w:r>
              <w:rPr>
                <w:rFonts w:ascii="Calibri" w:cs="Calibri" w:eastAsia="Calibri" w:hAnsi="Calibri"/>
                <w:sz w:val="18"/>
                <w:szCs w:val="18"/>
                <w:color w:val="auto"/>
              </w:rPr>
              <w:t>17.9 %</w:t>
            </w:r>
          </w:p>
        </w:tc>
      </w:tr>
      <w:tr>
        <w:trPr>
          <w:trHeight w:val="28"/>
        </w:trPr>
        <w:tc>
          <w:tcPr>
            <w:tcW w:w="6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-1122680</wp:posOffset>
            </wp:positionV>
            <wp:extent cx="3098800" cy="11360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3098800" cy="1136015"/>
                    </a:xfrm>
                    <a:prstGeom prst="rect">
                      <a:avLst/>
                    </a:prstGeom>
                    <a:noFill/>
                  </pic:spPr>
                </pic:pic>
              </a:graphicData>
            </a:graphic>
          </wp:anchor>
        </w:drawing>
      </w:r>
    </w:p>
    <w:p>
      <w:pPr>
        <w:spacing w:after="0" w:line="147"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The higher 2022 efectve tax rate versus 2023 and 2021 was primarily driven by the impact of the divestture of the Colorado and Central Texas ready mixed concrete businesses.</w:t>
      </w:r>
    </w:p>
    <w:p>
      <w:pPr>
        <w:spacing w:after="0" w:line="110"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The statutory depleton deducton for all years is calculated as a percentage of sales, subject to certain limitatons. Due to these limitatons, the impact of changes in the sales volumes and earnings may not proportonately afect the Company’s statutory depleton deducton and the corresponding impact on the efectve income tax rate.</w:t>
      </w:r>
    </w:p>
    <w:p>
      <w:pPr>
        <w:spacing w:after="0" w:line="111"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color w:val="auto"/>
        </w:rPr>
        <w:t>In 2023, 2022, and 2021, the Company fnanced third-party railroad track maintenance. In exchange, the Company received federal income tax credits and tax deductons.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74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70" w:right="29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308"/>
        </w:trPr>
        <w:tc>
          <w:tcPr>
            <w:tcW w:w="6600" w:type="dxa"/>
            <w:vAlign w:val="bottom"/>
          </w:tcPr>
          <w:p>
            <w:pPr>
              <w:spacing w:after="0"/>
              <w:rPr>
                <w:sz w:val="24"/>
                <w:szCs w:val="24"/>
                <w:color w:val="auto"/>
              </w:rPr>
            </w:pPr>
          </w:p>
        </w:tc>
        <w:tc>
          <w:tcPr>
            <w:tcW w:w="4660" w:type="dxa"/>
            <w:vAlign w:val="bottom"/>
            <w:gridSpan w:val="6"/>
          </w:tcPr>
          <w:p>
            <w:pPr>
              <w:ind w:left="40"/>
              <w:spacing w:after="0"/>
              <w:rPr>
                <w:sz w:val="20"/>
                <w:szCs w:val="20"/>
                <w:color w:val="auto"/>
              </w:rPr>
            </w:pPr>
            <w:r>
              <w:rPr>
                <w:rFonts w:ascii="Calibri" w:cs="Calibri" w:eastAsia="Calibri" w:hAnsi="Calibri"/>
                <w:sz w:val="18"/>
                <w:szCs w:val="18"/>
                <w:color w:val="auto"/>
                <w:w w:val="98"/>
              </w:rPr>
              <w:t xml:space="preserve">Part II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8 – Financial Statements and Supplementary Data</w:t>
            </w:r>
          </w:p>
        </w:tc>
        <w:tc>
          <w:tcPr>
            <w:tcW w:w="0" w:type="dxa"/>
            <w:vAlign w:val="bottom"/>
          </w:tcPr>
          <w:p>
            <w:pPr>
              <w:spacing w:after="0"/>
              <w:rPr>
                <w:sz w:val="1"/>
                <w:szCs w:val="1"/>
                <w:color w:val="auto"/>
              </w:rPr>
            </w:pPr>
          </w:p>
        </w:tc>
      </w:tr>
      <w:tr>
        <w:trPr>
          <w:trHeight w:val="361"/>
        </w:trPr>
        <w:tc>
          <w:tcPr>
            <w:tcW w:w="6600" w:type="dxa"/>
            <w:vAlign w:val="bottom"/>
          </w:tcPr>
          <w:p>
            <w:pPr>
              <w:spacing w:after="0"/>
              <w:rPr>
                <w:sz w:val="20"/>
                <w:szCs w:val="20"/>
                <w:color w:val="auto"/>
              </w:rPr>
            </w:pPr>
            <w:r>
              <w:rPr>
                <w:rFonts w:ascii="Calibri" w:cs="Calibri" w:eastAsia="Calibri" w:hAnsi="Calibri"/>
                <w:sz w:val="18"/>
                <w:szCs w:val="18"/>
                <w:color w:val="auto"/>
                <w:w w:val="98"/>
              </w:rPr>
              <w:t>The principal components of the Company’s deferred tax assets and liabilites are as follows:</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860" w:type="dxa"/>
            <w:vAlign w:val="bottom"/>
            <w:gridSpan w:val="2"/>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6600" w:type="dxa"/>
            <w:vAlign w:val="bottom"/>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860" w:type="dxa"/>
            <w:vAlign w:val="bottom"/>
            <w:tcBorders>
              <w:right w:val="single" w:sz="8" w:color="007CBA"/>
            </w:tcBorders>
            <w:shd w:val="clear" w:color="auto" w:fill="007CBA"/>
          </w:tcPr>
          <w:p>
            <w:pPr>
              <w:spacing w:after="0"/>
              <w:rPr>
                <w:sz w:val="19"/>
                <w:szCs w:val="19"/>
                <w:color w:val="auto"/>
              </w:rPr>
            </w:pPr>
          </w:p>
        </w:tc>
        <w:tc>
          <w:tcPr>
            <w:tcW w:w="580" w:type="dxa"/>
            <w:vAlign w:val="bottom"/>
            <w:shd w:val="clear" w:color="auto" w:fill="007CBA"/>
          </w:tcPr>
          <w:p>
            <w:pPr>
              <w:spacing w:after="0"/>
              <w:rPr>
                <w:sz w:val="19"/>
                <w:szCs w:val="19"/>
                <w:color w:val="auto"/>
              </w:rPr>
            </w:pPr>
          </w:p>
        </w:tc>
        <w:tc>
          <w:tcPr>
            <w:tcW w:w="3200" w:type="dxa"/>
            <w:vAlign w:val="bottom"/>
            <w:gridSpan w:val="3"/>
            <w:shd w:val="clear" w:color="auto" w:fill="007CBA"/>
          </w:tcPr>
          <w:p>
            <w:pPr>
              <w:jc w:val="right"/>
              <w:ind w:right="750"/>
              <w:spacing w:after="0" w:line="215" w:lineRule="exact"/>
              <w:rPr>
                <w:sz w:val="20"/>
                <w:szCs w:val="20"/>
                <w:color w:val="auto"/>
              </w:rPr>
            </w:pPr>
            <w:r>
              <w:rPr>
                <w:rFonts w:ascii="Calibri" w:cs="Calibri" w:eastAsia="Calibri" w:hAnsi="Calibri"/>
                <w:sz w:val="18"/>
                <w:szCs w:val="18"/>
                <w:b w:val="1"/>
                <w:bCs w:val="1"/>
                <w:color w:val="FFFFFF"/>
              </w:rPr>
              <w:t>Deferred Assets (Liabilites)</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6600" w:type="dxa"/>
            <w:vAlign w:val="bottom"/>
            <w:tcBorders>
              <w:bottom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860" w:type="dxa"/>
            <w:vAlign w:val="bottom"/>
            <w:tcBorders>
              <w:bottom w:val="single" w:sz="8" w:color="007CBA"/>
              <w:right w:val="single" w:sz="8" w:color="007CBA"/>
            </w:tcBorders>
            <w:shd w:val="clear" w:color="auto" w:fill="007CBA"/>
          </w:tcPr>
          <w:p>
            <w:pPr>
              <w:spacing w:after="0"/>
              <w:rPr>
                <w:sz w:val="23"/>
                <w:szCs w:val="23"/>
                <w:color w:val="auto"/>
              </w:rPr>
            </w:pPr>
          </w:p>
        </w:tc>
        <w:tc>
          <w:tcPr>
            <w:tcW w:w="580" w:type="dxa"/>
            <w:vAlign w:val="bottom"/>
            <w:tcBorders>
              <w:bottom w:val="single" w:sz="8" w:color="007CBA"/>
            </w:tcBorders>
            <w:shd w:val="clear" w:color="auto" w:fill="007CBA"/>
          </w:tcPr>
          <w:p>
            <w:pPr>
              <w:spacing w:after="0"/>
              <w:rPr>
                <w:sz w:val="23"/>
                <w:szCs w:val="23"/>
                <w:color w:val="auto"/>
              </w:rPr>
            </w:pPr>
          </w:p>
        </w:tc>
        <w:tc>
          <w:tcPr>
            <w:tcW w:w="1340" w:type="dxa"/>
            <w:vAlign w:val="bottom"/>
            <w:tcBorders>
              <w:bottom w:val="single" w:sz="8" w:color="007CBA"/>
              <w:right w:val="single" w:sz="8" w:color="007CBA"/>
            </w:tcBorders>
            <w:shd w:val="clear" w:color="auto" w:fill="007CBA"/>
          </w:tcPr>
          <w:p>
            <w:pPr>
              <w:jc w:val="right"/>
              <w:ind w:right="650"/>
              <w:spacing w:after="0"/>
              <w:rPr>
                <w:sz w:val="20"/>
                <w:szCs w:val="20"/>
                <w:color w:val="auto"/>
              </w:rPr>
            </w:pPr>
            <w:r>
              <w:rPr>
                <w:rFonts w:ascii="Calibri" w:cs="Calibri" w:eastAsia="Calibri" w:hAnsi="Calibri"/>
                <w:sz w:val="18"/>
                <w:szCs w:val="18"/>
                <w:b w:val="1"/>
                <w:bCs w:val="1"/>
                <w:color w:val="FFFFFF"/>
              </w:rPr>
              <w:t>2023</w:t>
            </w:r>
          </w:p>
        </w:tc>
        <w:tc>
          <w:tcPr>
            <w:tcW w:w="560" w:type="dxa"/>
            <w:vAlign w:val="bottom"/>
            <w:tcBorders>
              <w:bottom w:val="single" w:sz="8" w:color="007CBA"/>
            </w:tcBorders>
            <w:shd w:val="clear" w:color="auto" w:fill="007CBA"/>
          </w:tcPr>
          <w:p>
            <w:pPr>
              <w:spacing w:after="0"/>
              <w:rPr>
                <w:sz w:val="23"/>
                <w:szCs w:val="23"/>
                <w:color w:val="auto"/>
              </w:rPr>
            </w:pPr>
          </w:p>
        </w:tc>
        <w:tc>
          <w:tcPr>
            <w:tcW w:w="1300" w:type="dxa"/>
            <w:vAlign w:val="bottom"/>
            <w:tcBorders>
              <w:bottom w:val="single" w:sz="8" w:color="007CBA"/>
            </w:tcBorders>
            <w:shd w:val="clear" w:color="auto" w:fill="007CBA"/>
          </w:tcPr>
          <w:p>
            <w:pPr>
              <w:jc w:val="right"/>
              <w:ind w:right="610"/>
              <w:spacing w:after="0"/>
              <w:rPr>
                <w:sz w:val="20"/>
                <w:szCs w:val="20"/>
                <w:color w:val="auto"/>
              </w:rPr>
            </w:pPr>
            <w:r>
              <w:rPr>
                <w:rFonts w:ascii="Calibri" w:cs="Calibri" w:eastAsia="Calibri" w:hAnsi="Calibri"/>
                <w:sz w:val="18"/>
                <w:szCs w:val="18"/>
                <w:color w:val="FFFFFF"/>
              </w:rPr>
              <w:t>2022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120"/>
              <w:spacing w:after="0" w:line="215" w:lineRule="exact"/>
              <w:rPr>
                <w:sz w:val="20"/>
                <w:szCs w:val="20"/>
                <w:color w:val="auto"/>
              </w:rPr>
            </w:pPr>
            <w:r>
              <w:rPr>
                <w:rFonts w:ascii="Calibri" w:cs="Calibri" w:eastAsia="Calibri" w:hAnsi="Calibri"/>
                <w:sz w:val="18"/>
                <w:szCs w:val="18"/>
                <w:color w:val="auto"/>
              </w:rPr>
              <w:t>Deferred tax assets related to:</w:t>
            </w:r>
          </w:p>
        </w:tc>
        <w:tc>
          <w:tcPr>
            <w:tcW w:w="860" w:type="dxa"/>
            <w:vAlign w:val="bottom"/>
            <w:tcBorders>
              <w:right w:val="single" w:sz="8" w:color="007CBA"/>
            </w:tcBorders>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Borders>
              <w:right w:val="single" w:sz="8" w:color="007CBA"/>
            </w:tcBorders>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86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Inventories</w:t>
            </w:r>
          </w:p>
        </w:tc>
        <w:tc>
          <w:tcPr>
            <w:tcW w:w="860" w:type="dxa"/>
            <w:vAlign w:val="bottom"/>
            <w:tcBorders>
              <w:bottom w:val="single" w:sz="8" w:color="E5F1F8"/>
              <w:right w:val="single" w:sz="8" w:color="007CBA"/>
            </w:tcBorders>
            <w:shd w:val="clear" w:color="auto" w:fill="E5F1F8"/>
          </w:tcPr>
          <w:p>
            <w:pPr>
              <w:spacing w:after="0"/>
              <w:rPr>
                <w:sz w:val="19"/>
                <w:szCs w:val="19"/>
                <w:color w:val="auto"/>
              </w:rPr>
            </w:pP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121.0</w:t>
            </w:r>
          </w:p>
        </w:tc>
        <w:tc>
          <w:tcPr>
            <w:tcW w:w="56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300"/>
              <w:spacing w:after="0" w:line="215" w:lineRule="exact"/>
              <w:rPr>
                <w:sz w:val="20"/>
                <w:szCs w:val="20"/>
                <w:color w:val="auto"/>
              </w:rPr>
            </w:pPr>
            <w:r>
              <w:rPr>
                <w:rFonts w:ascii="Calibri" w:cs="Calibri" w:eastAsia="Calibri" w:hAnsi="Calibri"/>
                <w:sz w:val="18"/>
                <w:szCs w:val="18"/>
                <w:color w:val="auto"/>
              </w:rPr>
              <w:t>Valuaton and other reserves</w:t>
            </w:r>
          </w:p>
        </w:tc>
        <w:tc>
          <w:tcPr>
            <w:tcW w:w="860" w:type="dxa"/>
            <w:vAlign w:val="bottom"/>
            <w:tcBorders>
              <w:right w:val="single" w:sz="8" w:color="007CBA"/>
            </w:tcBorders>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34.2</w:t>
            </w:r>
          </w:p>
        </w:tc>
        <w:tc>
          <w:tcPr>
            <w:tcW w:w="560" w:type="dxa"/>
            <w:vAlign w:val="bottom"/>
          </w:tcPr>
          <w:p>
            <w:pPr>
              <w:spacing w:after="0"/>
              <w:rPr>
                <w:sz w:val="18"/>
                <w:szCs w:val="18"/>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86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Net operatng loss carryforwards</w:t>
            </w:r>
          </w:p>
        </w:tc>
        <w:tc>
          <w:tcPr>
            <w:tcW w:w="860" w:type="dxa"/>
            <w:vAlign w:val="bottom"/>
            <w:tcBorders>
              <w:bottom w:val="single" w:sz="8" w:color="E5F1F8"/>
              <w:right w:val="single" w:sz="8" w:color="007CBA"/>
            </w:tcBorders>
            <w:shd w:val="clear" w:color="auto" w:fill="E5F1F8"/>
          </w:tcPr>
          <w:p>
            <w:pPr>
              <w:spacing w:after="0"/>
              <w:rPr>
                <w:sz w:val="19"/>
                <w:szCs w:val="19"/>
                <w:color w:val="auto"/>
              </w:rPr>
            </w:pPr>
          </w:p>
        </w:tc>
        <w:tc>
          <w:tcPr>
            <w:tcW w:w="58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2.8</w:t>
            </w:r>
          </w:p>
        </w:tc>
        <w:tc>
          <w:tcPr>
            <w:tcW w:w="560" w:type="dxa"/>
            <w:vAlign w:val="bottom"/>
            <w:tcBorders>
              <w:bottom w:val="single" w:sz="8" w:color="E5F1F8"/>
            </w:tcBorders>
            <w:shd w:val="clear" w:color="auto" w:fill="E5F1F8"/>
          </w:tcPr>
          <w:p>
            <w:pPr>
              <w:spacing w:after="0"/>
              <w:rPr>
                <w:sz w:val="19"/>
                <w:szCs w:val="19"/>
                <w:color w:val="auto"/>
              </w:rPr>
            </w:pPr>
          </w:p>
        </w:tc>
        <w:tc>
          <w:tcPr>
            <w:tcW w:w="13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300"/>
              <w:spacing w:after="0" w:line="215" w:lineRule="exact"/>
              <w:rPr>
                <w:sz w:val="20"/>
                <w:szCs w:val="20"/>
                <w:color w:val="auto"/>
              </w:rPr>
            </w:pPr>
            <w:r>
              <w:rPr>
                <w:rFonts w:ascii="Calibri" w:cs="Calibri" w:eastAsia="Calibri" w:hAnsi="Calibri"/>
                <w:sz w:val="18"/>
                <w:szCs w:val="18"/>
                <w:color w:val="auto"/>
              </w:rPr>
              <w:t>Accumulated other comprehensive loss</w:t>
            </w:r>
          </w:p>
        </w:tc>
        <w:tc>
          <w:tcPr>
            <w:tcW w:w="860" w:type="dxa"/>
            <w:vAlign w:val="bottom"/>
            <w:tcBorders>
              <w:right w:val="single" w:sz="8" w:color="007CBA"/>
            </w:tcBorders>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53.8</w:t>
            </w:r>
          </w:p>
        </w:tc>
        <w:tc>
          <w:tcPr>
            <w:tcW w:w="560" w:type="dxa"/>
            <w:vAlign w:val="bottom"/>
          </w:tcPr>
          <w:p>
            <w:pPr>
              <w:spacing w:after="0"/>
              <w:rPr>
                <w:sz w:val="18"/>
                <w:szCs w:val="18"/>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86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Lease liabilites</w:t>
            </w:r>
          </w:p>
        </w:tc>
        <w:tc>
          <w:tcPr>
            <w:tcW w:w="860" w:type="dxa"/>
            <w:vAlign w:val="bottom"/>
            <w:tcBorders>
              <w:bottom w:val="single" w:sz="8" w:color="E5F1F8"/>
              <w:right w:val="single" w:sz="8" w:color="007CBA"/>
            </w:tcBorders>
            <w:shd w:val="clear" w:color="auto" w:fill="E5F1F8"/>
          </w:tcPr>
          <w:p>
            <w:pPr>
              <w:spacing w:after="0"/>
              <w:rPr>
                <w:sz w:val="19"/>
                <w:szCs w:val="19"/>
                <w:color w:val="auto"/>
              </w:rPr>
            </w:pPr>
          </w:p>
        </w:tc>
        <w:tc>
          <w:tcPr>
            <w:tcW w:w="58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141.9</w:t>
            </w:r>
          </w:p>
        </w:tc>
        <w:tc>
          <w:tcPr>
            <w:tcW w:w="560" w:type="dxa"/>
            <w:vAlign w:val="bottom"/>
            <w:tcBorders>
              <w:bottom w:val="single" w:sz="8" w:color="E5F1F8"/>
            </w:tcBorders>
            <w:shd w:val="clear" w:color="auto" w:fill="E5F1F8"/>
          </w:tcPr>
          <w:p>
            <w:pPr>
              <w:spacing w:after="0"/>
              <w:rPr>
                <w:sz w:val="19"/>
                <w:szCs w:val="19"/>
                <w:color w:val="auto"/>
              </w:rPr>
            </w:pPr>
          </w:p>
        </w:tc>
        <w:tc>
          <w:tcPr>
            <w:tcW w:w="13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300"/>
              <w:spacing w:after="0" w:line="215" w:lineRule="exact"/>
              <w:rPr>
                <w:sz w:val="20"/>
                <w:szCs w:val="20"/>
                <w:color w:val="auto"/>
              </w:rPr>
            </w:pPr>
            <w:r>
              <w:rPr>
                <w:rFonts w:ascii="Calibri" w:cs="Calibri" w:eastAsia="Calibri" w:hAnsi="Calibri"/>
                <w:sz w:val="18"/>
                <w:szCs w:val="18"/>
                <w:color w:val="auto"/>
              </w:rPr>
              <w:t>Other items, net</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3.6</w:t>
            </w:r>
          </w:p>
        </w:tc>
        <w:tc>
          <w:tcPr>
            <w:tcW w:w="560" w:type="dxa"/>
            <w:vAlign w:val="bottom"/>
          </w:tcPr>
          <w:p>
            <w:pPr>
              <w:spacing w:after="0"/>
              <w:rPr>
                <w:sz w:val="18"/>
                <w:szCs w:val="18"/>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Gross deferred tax assets</w:t>
            </w:r>
          </w:p>
        </w:tc>
        <w:tc>
          <w:tcPr>
            <w:tcW w:w="860" w:type="dxa"/>
            <w:vAlign w:val="bottom"/>
            <w:tcBorders>
              <w:bottom w:val="single" w:sz="8" w:color="E5F1F8"/>
              <w:right w:val="single" w:sz="8" w:color="007CBA"/>
            </w:tcBorders>
            <w:shd w:val="clear" w:color="auto" w:fill="E5F1F8"/>
          </w:tcPr>
          <w:p>
            <w:pPr>
              <w:spacing w:after="0"/>
              <w:rPr>
                <w:sz w:val="18"/>
                <w:szCs w:val="18"/>
                <w:color w:val="auto"/>
              </w:rPr>
            </w:pPr>
          </w:p>
        </w:tc>
        <w:tc>
          <w:tcPr>
            <w:tcW w:w="580" w:type="dxa"/>
            <w:vAlign w:val="bottom"/>
            <w:tcBorders>
              <w:bottom w:val="single" w:sz="8" w:color="E5F1F8"/>
            </w:tcBorders>
            <w:shd w:val="clear" w:color="auto" w:fill="E5F1F8"/>
          </w:tcPr>
          <w:p>
            <w:pPr>
              <w:spacing w:after="0"/>
              <w:rPr>
                <w:sz w:val="18"/>
                <w:szCs w:val="18"/>
                <w:color w:val="auto"/>
              </w:rPr>
            </w:pPr>
          </w:p>
        </w:tc>
        <w:tc>
          <w:tcPr>
            <w:tcW w:w="1340" w:type="dxa"/>
            <w:vAlign w:val="bottom"/>
            <w:tcBorders>
              <w:bottom w:val="single" w:sz="8" w:color="E5F1F8"/>
              <w:right w:val="single" w:sz="8" w:color="007CBA"/>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357.3</w:t>
            </w:r>
          </w:p>
        </w:tc>
        <w:tc>
          <w:tcPr>
            <w:tcW w:w="560" w:type="dxa"/>
            <w:vAlign w:val="bottom"/>
            <w:tcBorders>
              <w:bottom w:val="single" w:sz="8" w:color="E5F1F8"/>
            </w:tcBorders>
            <w:shd w:val="clear" w:color="auto" w:fill="E5F1F8"/>
          </w:tcPr>
          <w:p>
            <w:pPr>
              <w:spacing w:after="0"/>
              <w:rPr>
                <w:sz w:val="18"/>
                <w:szCs w:val="18"/>
                <w:color w:val="auto"/>
              </w:rPr>
            </w:pPr>
          </w:p>
        </w:tc>
        <w:tc>
          <w:tcPr>
            <w:tcW w:w="130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311.6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120"/>
              <w:spacing w:after="0" w:line="215" w:lineRule="exact"/>
              <w:rPr>
                <w:sz w:val="20"/>
                <w:szCs w:val="20"/>
                <w:color w:val="auto"/>
              </w:rPr>
            </w:pPr>
            <w:r>
              <w:rPr>
                <w:rFonts w:ascii="Calibri" w:cs="Calibri" w:eastAsia="Calibri" w:hAnsi="Calibri"/>
                <w:sz w:val="18"/>
                <w:szCs w:val="18"/>
                <w:color w:val="auto"/>
              </w:rPr>
              <w:t>Valuaton allowance on deferred tax assets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(2.5 )</w:t>
            </w:r>
          </w:p>
        </w:tc>
        <w:tc>
          <w:tcPr>
            <w:tcW w:w="5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(2.6 )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600" w:type="dxa"/>
            <w:vAlign w:val="bottom"/>
            <w:tcBorders>
              <w:bottom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net deferred tax assets</w:t>
            </w:r>
          </w:p>
        </w:tc>
        <w:tc>
          <w:tcPr>
            <w:tcW w:w="860" w:type="dxa"/>
            <w:vAlign w:val="bottom"/>
            <w:tcBorders>
              <w:bottom w:val="single" w:sz="8" w:color="E5F1F8"/>
              <w:right w:val="single" w:sz="8" w:color="E5F1F8"/>
            </w:tcBorders>
            <w:shd w:val="clear" w:color="auto" w:fill="E5F1F8"/>
          </w:tcPr>
          <w:p>
            <w:pPr>
              <w:spacing w:after="0"/>
              <w:rPr>
                <w:sz w:val="20"/>
                <w:szCs w:val="20"/>
                <w:color w:val="auto"/>
              </w:rPr>
            </w:pPr>
          </w:p>
        </w:tc>
        <w:tc>
          <w:tcPr>
            <w:tcW w:w="580" w:type="dxa"/>
            <w:vAlign w:val="bottom"/>
            <w:tcBorders>
              <w:bottom w:val="single" w:sz="8" w:color="E5F1F8"/>
            </w:tcBorders>
            <w:shd w:val="clear" w:color="auto" w:fill="E5F1F8"/>
          </w:tcPr>
          <w:p>
            <w:pPr>
              <w:spacing w:after="0"/>
              <w:rPr>
                <w:sz w:val="20"/>
                <w:szCs w:val="20"/>
                <w:color w:val="auto"/>
              </w:rPr>
            </w:pPr>
          </w:p>
        </w:tc>
        <w:tc>
          <w:tcPr>
            <w:tcW w:w="134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354.8</w:t>
            </w:r>
          </w:p>
        </w:tc>
        <w:tc>
          <w:tcPr>
            <w:tcW w:w="560" w:type="dxa"/>
            <w:vAlign w:val="bottom"/>
            <w:tcBorders>
              <w:bottom w:val="single" w:sz="8" w:color="E5F1F8"/>
            </w:tcBorders>
            <w:shd w:val="clear" w:color="auto" w:fill="E5F1F8"/>
          </w:tcPr>
          <w:p>
            <w:pPr>
              <w:spacing w:after="0"/>
              <w:rPr>
                <w:sz w:val="20"/>
                <w:szCs w:val="20"/>
                <w:color w:val="auto"/>
              </w:rPr>
            </w:pPr>
          </w:p>
        </w:tc>
        <w:tc>
          <w:tcPr>
            <w:tcW w:w="130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309.0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6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Deferred tax liabilites related to:</w:t>
            </w:r>
          </w:p>
        </w:tc>
        <w:tc>
          <w:tcPr>
            <w:tcW w:w="860" w:type="dxa"/>
            <w:vAlign w:val="bottom"/>
            <w:tcBorders>
              <w:top w:val="single" w:sz="8" w:color="auto"/>
              <w:right w:val="single" w:sz="8" w:color="007CBA"/>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right w:val="single" w:sz="8" w:color="007CBA"/>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86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Property, plant and equipment</w:t>
            </w:r>
          </w:p>
        </w:tc>
        <w:tc>
          <w:tcPr>
            <w:tcW w:w="860" w:type="dxa"/>
            <w:vAlign w:val="bottom"/>
            <w:tcBorders>
              <w:bottom w:val="single" w:sz="8" w:color="E5F1F8"/>
              <w:right w:val="single" w:sz="8" w:color="007CBA"/>
            </w:tcBorders>
            <w:shd w:val="clear" w:color="auto" w:fill="E5F1F8"/>
          </w:tcPr>
          <w:p>
            <w:pPr>
              <w:spacing w:after="0"/>
              <w:rPr>
                <w:sz w:val="19"/>
                <w:szCs w:val="19"/>
                <w:color w:val="auto"/>
              </w:rPr>
            </w:pPr>
          </w:p>
        </w:tc>
        <w:tc>
          <w:tcPr>
            <w:tcW w:w="58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(828.0 )</w:t>
            </w:r>
          </w:p>
        </w:tc>
        <w:tc>
          <w:tcPr>
            <w:tcW w:w="560" w:type="dxa"/>
            <w:vAlign w:val="bottom"/>
            <w:tcBorders>
              <w:bottom w:val="single" w:sz="8" w:color="E5F1F8"/>
            </w:tcBorders>
            <w:shd w:val="clear" w:color="auto" w:fill="E5F1F8"/>
          </w:tcPr>
          <w:p>
            <w:pPr>
              <w:spacing w:after="0"/>
              <w:rPr>
                <w:sz w:val="19"/>
                <w:szCs w:val="19"/>
                <w:color w:val="auto"/>
              </w:rPr>
            </w:pPr>
          </w:p>
        </w:tc>
        <w:tc>
          <w:tcPr>
            <w:tcW w:w="13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(843.8 )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300"/>
              <w:spacing w:after="0" w:line="215" w:lineRule="exact"/>
              <w:rPr>
                <w:sz w:val="20"/>
                <w:szCs w:val="20"/>
                <w:color w:val="auto"/>
              </w:rPr>
            </w:pPr>
            <w:r>
              <w:rPr>
                <w:rFonts w:ascii="Calibri" w:cs="Calibri" w:eastAsia="Calibri" w:hAnsi="Calibri"/>
                <w:sz w:val="18"/>
                <w:szCs w:val="18"/>
                <w:color w:val="auto"/>
              </w:rPr>
              <w:t>Goodwill and other intangibles</w:t>
            </w:r>
          </w:p>
        </w:tc>
        <w:tc>
          <w:tcPr>
            <w:tcW w:w="860" w:type="dxa"/>
            <w:vAlign w:val="bottom"/>
            <w:tcBorders>
              <w:right w:val="single" w:sz="8" w:color="007CBA"/>
            </w:tcBorders>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(168.3 )</w:t>
            </w:r>
          </w:p>
        </w:tc>
        <w:tc>
          <w:tcPr>
            <w:tcW w:w="5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(143.9 )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86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Right-of-use assets</w:t>
            </w:r>
          </w:p>
        </w:tc>
        <w:tc>
          <w:tcPr>
            <w:tcW w:w="860" w:type="dxa"/>
            <w:vAlign w:val="bottom"/>
            <w:tcBorders>
              <w:bottom w:val="single" w:sz="8" w:color="E5F1F8"/>
              <w:right w:val="single" w:sz="8" w:color="007CBA"/>
            </w:tcBorders>
            <w:shd w:val="clear" w:color="auto" w:fill="E5F1F8"/>
          </w:tcPr>
          <w:p>
            <w:pPr>
              <w:spacing w:after="0"/>
              <w:rPr>
                <w:sz w:val="19"/>
                <w:szCs w:val="19"/>
                <w:color w:val="auto"/>
              </w:rPr>
            </w:pPr>
          </w:p>
        </w:tc>
        <w:tc>
          <w:tcPr>
            <w:tcW w:w="58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(142.3 )</w:t>
            </w:r>
          </w:p>
        </w:tc>
        <w:tc>
          <w:tcPr>
            <w:tcW w:w="560" w:type="dxa"/>
            <w:vAlign w:val="bottom"/>
            <w:tcBorders>
              <w:bottom w:val="single" w:sz="8" w:color="E5F1F8"/>
            </w:tcBorders>
            <w:shd w:val="clear" w:color="auto" w:fill="E5F1F8"/>
          </w:tcPr>
          <w:p>
            <w:pPr>
              <w:spacing w:after="0"/>
              <w:rPr>
                <w:sz w:val="19"/>
                <w:szCs w:val="19"/>
                <w:color w:val="auto"/>
              </w:rPr>
            </w:pPr>
          </w:p>
        </w:tc>
        <w:tc>
          <w:tcPr>
            <w:tcW w:w="13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(140.8 )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300"/>
              <w:spacing w:after="0" w:line="215" w:lineRule="exact"/>
              <w:rPr>
                <w:sz w:val="20"/>
                <w:szCs w:val="20"/>
                <w:color w:val="auto"/>
              </w:rPr>
            </w:pPr>
            <w:r>
              <w:rPr>
                <w:rFonts w:ascii="Calibri" w:cs="Calibri" w:eastAsia="Calibri" w:hAnsi="Calibri"/>
                <w:sz w:val="18"/>
                <w:szCs w:val="18"/>
                <w:color w:val="auto"/>
              </w:rPr>
              <w:t>Partnerships and joint ventures</w:t>
            </w:r>
          </w:p>
        </w:tc>
        <w:tc>
          <w:tcPr>
            <w:tcW w:w="860" w:type="dxa"/>
            <w:vAlign w:val="bottom"/>
            <w:tcBorders>
              <w:right w:val="single" w:sz="8" w:color="007CBA"/>
            </w:tcBorders>
          </w:tcPr>
          <w:p>
            <w:pPr>
              <w:spacing w:after="0"/>
              <w:rPr>
                <w:sz w:val="21"/>
                <w:szCs w:val="21"/>
                <w:color w:val="auto"/>
              </w:rPr>
            </w:pPr>
          </w:p>
        </w:tc>
        <w:tc>
          <w:tcPr>
            <w:tcW w:w="580" w:type="dxa"/>
            <w:vAlign w:val="bottom"/>
          </w:tcPr>
          <w:p>
            <w:pPr>
              <w:spacing w:after="0"/>
              <w:rPr>
                <w:sz w:val="21"/>
                <w:szCs w:val="21"/>
                <w:color w:val="auto"/>
              </w:rPr>
            </w:pPr>
          </w:p>
        </w:tc>
        <w:tc>
          <w:tcPr>
            <w:tcW w:w="13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(34.0 )</w:t>
            </w:r>
          </w:p>
        </w:tc>
        <w:tc>
          <w:tcPr>
            <w:tcW w:w="560" w:type="dxa"/>
            <w:vAlign w:val="bottom"/>
          </w:tcPr>
          <w:p>
            <w:pPr>
              <w:spacing w:after="0"/>
              <w:rPr>
                <w:sz w:val="21"/>
                <w:szCs w:val="21"/>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(32.5 )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Employee benefts</w:t>
            </w:r>
          </w:p>
        </w:tc>
        <w:tc>
          <w:tcPr>
            <w:tcW w:w="860" w:type="dxa"/>
            <w:vAlign w:val="bottom"/>
            <w:tcBorders>
              <w:bottom w:val="single" w:sz="8" w:color="E5F1F8"/>
              <w:right w:val="single" w:sz="8" w:color="E5F1F8"/>
            </w:tcBorders>
            <w:shd w:val="clear" w:color="auto" w:fill="E5F1F8"/>
          </w:tcPr>
          <w:p>
            <w:pPr>
              <w:spacing w:after="0"/>
              <w:rPr>
                <w:sz w:val="21"/>
                <w:szCs w:val="21"/>
                <w:color w:val="auto"/>
              </w:rPr>
            </w:pPr>
          </w:p>
        </w:tc>
        <w:tc>
          <w:tcPr>
            <w:tcW w:w="580" w:type="dxa"/>
            <w:vAlign w:val="bottom"/>
            <w:tcBorders>
              <w:bottom w:val="single" w:sz="8" w:color="E5F1F8"/>
            </w:tcBorders>
            <w:shd w:val="clear" w:color="auto" w:fill="E5F1F8"/>
          </w:tcPr>
          <w:p>
            <w:pPr>
              <w:spacing w:after="0"/>
              <w:rPr>
                <w:sz w:val="21"/>
                <w:szCs w:val="21"/>
                <w:color w:val="auto"/>
              </w:rPr>
            </w:pPr>
          </w:p>
        </w:tc>
        <w:tc>
          <w:tcPr>
            <w:tcW w:w="13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(56.8 )</w:t>
            </w:r>
          </w:p>
        </w:tc>
        <w:tc>
          <w:tcPr>
            <w:tcW w:w="560" w:type="dxa"/>
            <w:vAlign w:val="bottom"/>
            <w:tcBorders>
              <w:bottom w:val="single" w:sz="8" w:color="E5F1F8"/>
            </w:tcBorders>
            <w:shd w:val="clear" w:color="auto" w:fill="E5F1F8"/>
          </w:tcPr>
          <w:p>
            <w:pPr>
              <w:spacing w:after="0"/>
              <w:rPr>
                <w:sz w:val="21"/>
                <w:szCs w:val="21"/>
                <w:color w:val="auto"/>
              </w:rPr>
            </w:pPr>
          </w:p>
        </w:tc>
        <w:tc>
          <w:tcPr>
            <w:tcW w:w="13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(62.3 )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6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deferred tax liabilites</w:t>
            </w:r>
          </w:p>
        </w:tc>
        <w:tc>
          <w:tcPr>
            <w:tcW w:w="8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(1,229.4 )</w:t>
            </w:r>
          </w:p>
        </w:tc>
        <w:tc>
          <w:tcPr>
            <w:tcW w:w="5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(1,223.3 )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6600" w:type="dxa"/>
            <w:vAlign w:val="bottom"/>
            <w:tcBorders>
              <w:bottom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Deferred income taxes, net</w:t>
            </w:r>
          </w:p>
        </w:tc>
        <w:tc>
          <w:tcPr>
            <w:tcW w:w="1440" w:type="dxa"/>
            <w:vAlign w:val="bottom"/>
            <w:tcBorders>
              <w:bottom w:val="single" w:sz="8" w:color="E5F1F8"/>
            </w:tcBorders>
            <w:gridSpan w:val="2"/>
            <w:shd w:val="clear" w:color="auto" w:fill="E5F1F8"/>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(874.6 )</w:t>
            </w:r>
          </w:p>
        </w:tc>
        <w:tc>
          <w:tcPr>
            <w:tcW w:w="56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30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(914.3 )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-3020695</wp:posOffset>
            </wp:positionV>
            <wp:extent cx="7132320" cy="3295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7132320" cy="32956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-1932305</wp:posOffset>
            </wp:positionV>
            <wp:extent cx="34290" cy="18859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-1932305</wp:posOffset>
            </wp:positionV>
            <wp:extent cx="33655" cy="18859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-1615440</wp:posOffset>
            </wp:positionV>
            <wp:extent cx="34290" cy="3511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-1615440</wp:posOffset>
            </wp:positionV>
            <wp:extent cx="33655" cy="3511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33655" cy="35115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-518160</wp:posOffset>
            </wp:positionV>
            <wp:extent cx="34290" cy="5314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34290" cy="53149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-518160</wp:posOffset>
            </wp:positionV>
            <wp:extent cx="33655" cy="5314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33655" cy="53149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had $1.2 million and $1.3 million of domestc federal net operatng loss (NOL) carryforwards at December 31, 2023 and 2022, respectvely. The Company had domestc state NOL carryforwards of $42.8 million and $55.3 million at December 31, 2023 and 2022, respectvely. These carryforwards have various expiraton dates through 2043. At December 31, 2023 and 2022, deferred tax assets associated with these carryforwards were $2.8 million and $3.6 million, respectvely, net of the federal beneft of the state deducton, for which valuaton allowances of $2.0 million and $2.1 million, respectvely, were recorded. The Company also had domestc state tax credit carryforwards of $2.1 million and $1.3 million at December 31, 2023 and 2022, respectvely, which have various expiraton dates through 2043. At December 31, 2023 and 2022, deferred tax assets associated with these carryforwards were $1.7 million and $1.0 million, respectvely, net of the federal beneft of the state deducton.</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expects to reinvest the earnings from its wholly-owned Canadian and Bahamian subsidiaries indefnitely, and accordingly, has not provided deferred taxes on the subsidiaries’ undistributed net earnings or basis diferences. The Company believes that the tax liability that would be incurred upon repatriaton of the foreign earnings was immaterial at December 31, 2023 and 2022.</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Company’s unrecognized tax benefts, excluding interest and correlatve efects of $0.1 million for the years ended</w:t>
      </w:r>
    </w:p>
    <w:p>
      <w:pPr>
        <w:spacing w:after="0" w:line="235" w:lineRule="auto"/>
        <w:rPr>
          <w:sz w:val="20"/>
          <w:szCs w:val="20"/>
          <w:color w:val="auto"/>
        </w:rPr>
      </w:pPr>
      <w:r>
        <w:rPr>
          <w:rFonts w:ascii="Calibri" w:cs="Calibri" w:eastAsia="Calibri" w:hAnsi="Calibri"/>
          <w:sz w:val="18"/>
          <w:szCs w:val="18"/>
          <w:color w:val="auto"/>
        </w:rPr>
        <w:t>December 31, 2023, 2022 and 2021:</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40" w:type="dxa"/>
            <w:vAlign w:val="bottom"/>
            <w:shd w:val="clear" w:color="auto" w:fill="007CBA"/>
          </w:tcPr>
          <w:p>
            <w:pPr>
              <w:spacing w:after="0"/>
              <w:rPr>
                <w:sz w:val="19"/>
                <w:szCs w:val="19"/>
                <w:color w:val="auto"/>
              </w:rPr>
            </w:pPr>
          </w:p>
        </w:tc>
      </w:tr>
      <w:tr>
        <w:trPr>
          <w:trHeight w:val="245"/>
        </w:trPr>
        <w:tc>
          <w:tcPr>
            <w:tcW w:w="640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tcBorders>
              <w:bottom w:val="single" w:sz="8" w:color="007CBA"/>
            </w:tcBorders>
            <w:shd w:val="clear" w:color="auto" w:fill="007CBA"/>
          </w:tcPr>
          <w:p>
            <w:pPr>
              <w:spacing w:after="0"/>
              <w:rPr>
                <w:sz w:val="21"/>
                <w:szCs w:val="21"/>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2023</w:t>
            </w:r>
          </w:p>
        </w:tc>
        <w:tc>
          <w:tcPr>
            <w:tcW w:w="46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2022</w:t>
            </w:r>
          </w:p>
        </w:tc>
        <w:tc>
          <w:tcPr>
            <w:tcW w:w="46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2021</w:t>
            </w:r>
          </w:p>
        </w:tc>
      </w:tr>
      <w:tr>
        <w:trPr>
          <w:trHeight w:val="215"/>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Unrecognized tax benefts at beginning of year</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3.6</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5.4</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8.2</w:t>
            </w:r>
          </w:p>
        </w:tc>
      </w:tr>
      <w:tr>
        <w:trPr>
          <w:trHeight w:val="28"/>
        </w:trPr>
        <w:tc>
          <w:tcPr>
            <w:tcW w:w="640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Gross increases – tax positons in prior years</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0.3</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0.5</w:t>
            </w:r>
          </w:p>
        </w:tc>
      </w:tr>
      <w:tr>
        <w:trPr>
          <w:trHeight w:val="215"/>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Gross decreases – tax positons in prior years</w:t>
            </w:r>
          </w:p>
        </w:tc>
        <w:tc>
          <w:tcPr>
            <w:tcW w:w="48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Pr>
          <w:p>
            <w:pPr>
              <w:spacing w:after="0"/>
              <w:rPr>
                <w:sz w:val="18"/>
                <w:szCs w:val="18"/>
                <w:color w:val="auto"/>
              </w:rPr>
            </w:pP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r>
      <w:tr>
        <w:trPr>
          <w:trHeight w:val="28"/>
        </w:trPr>
        <w:tc>
          <w:tcPr>
            <w:tcW w:w="640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Gross increases – tax positons in current year</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0.3</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0.2</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0.1</w:t>
            </w:r>
          </w:p>
        </w:tc>
      </w:tr>
      <w:tr>
        <w:trPr>
          <w:trHeight w:val="243"/>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Gross decreases – tax positons in current year</w:t>
            </w:r>
          </w:p>
        </w:tc>
        <w:tc>
          <w:tcPr>
            <w:tcW w:w="480" w:type="dxa"/>
            <w:vAlign w:val="bottom"/>
          </w:tcPr>
          <w:p>
            <w:pPr>
              <w:spacing w:after="0"/>
              <w:rPr>
                <w:sz w:val="21"/>
                <w:szCs w:val="21"/>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Pr>
          <w:p>
            <w:pPr>
              <w:spacing w:after="0"/>
              <w:rPr>
                <w:sz w:val="21"/>
                <w:szCs w:val="21"/>
                <w:color w:val="auto"/>
              </w:rPr>
            </w:pP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48"/>
        </w:trPr>
        <w:tc>
          <w:tcPr>
            <w:tcW w:w="64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Lapse of statute of limitatons</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(3.1 )</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(2.0 )</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(3.4 )</w:t>
            </w:r>
          </w:p>
        </w:tc>
      </w:tr>
      <w:tr>
        <w:trPr>
          <w:trHeight w:val="208"/>
        </w:trPr>
        <w:tc>
          <w:tcPr>
            <w:tcW w:w="64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Unrecognized tax benefts at end of year</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1.1</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3.6</w:t>
            </w:r>
          </w:p>
        </w:tc>
        <w:tc>
          <w:tcPr>
            <w:tcW w:w="46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5.4</w:t>
            </w:r>
          </w:p>
        </w:tc>
      </w:tr>
      <w:tr>
        <w:trPr>
          <w:trHeight w:val="28"/>
        </w:trPr>
        <w:tc>
          <w:tcPr>
            <w:tcW w:w="6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6400" w:type="dxa"/>
            <w:vAlign w:val="bottom"/>
            <w:tcBorders>
              <w:right w:val="single" w:sz="8" w:color="007CBA"/>
            </w:tcBorders>
            <w:shd w:val="clear" w:color="auto" w:fill="E5F1F8"/>
          </w:tcPr>
          <w:p>
            <w:pPr>
              <w:spacing w:after="0"/>
              <w:rPr>
                <w:sz w:val="19"/>
                <w:szCs w:val="19"/>
                <w:color w:val="auto"/>
              </w:rPr>
            </w:pPr>
          </w:p>
        </w:tc>
        <w:tc>
          <w:tcPr>
            <w:tcW w:w="480" w:type="dxa"/>
            <w:vAlign w:val="bottom"/>
            <w:shd w:val="clear" w:color="auto" w:fill="E5F1F8"/>
          </w:tcPr>
          <w:p>
            <w:pPr>
              <w:spacing w:after="0"/>
              <w:rPr>
                <w:sz w:val="19"/>
                <w:szCs w:val="19"/>
                <w:color w:val="auto"/>
              </w:rPr>
            </w:pPr>
          </w:p>
        </w:tc>
        <w:tc>
          <w:tcPr>
            <w:tcW w:w="1160" w:type="dxa"/>
            <w:vAlign w:val="bottom"/>
            <w:tcBorders>
              <w:right w:val="single" w:sz="8" w:color="007CBA"/>
            </w:tcBorders>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1140" w:type="dxa"/>
            <w:vAlign w:val="bottom"/>
            <w:shd w:val="clear" w:color="auto" w:fill="E5F1F8"/>
          </w:tcPr>
          <w:p>
            <w:pPr>
              <w:spacing w:after="0"/>
              <w:rPr>
                <w:sz w:val="19"/>
                <w:szCs w:val="19"/>
                <w:color w:val="auto"/>
              </w:rPr>
            </w:pPr>
          </w:p>
        </w:tc>
      </w:tr>
      <w:tr>
        <w:trPr>
          <w:trHeight w:val="207"/>
        </w:trPr>
        <w:tc>
          <w:tcPr>
            <w:tcW w:w="6400" w:type="dxa"/>
            <w:vAlign w:val="bottom"/>
          </w:tcPr>
          <w:p>
            <w:pPr>
              <w:ind w:left="120"/>
              <w:spacing w:after="0" w:line="207" w:lineRule="exact"/>
              <w:rPr>
                <w:sz w:val="20"/>
                <w:szCs w:val="20"/>
                <w:color w:val="auto"/>
              </w:rPr>
            </w:pPr>
            <w:r>
              <w:rPr>
                <w:rFonts w:ascii="Calibri" w:cs="Calibri" w:eastAsia="Calibri" w:hAnsi="Calibri"/>
                <w:sz w:val="18"/>
                <w:szCs w:val="18"/>
                <w:color w:val="auto"/>
              </w:rPr>
              <w:t>Amount that, if recognized, would favorably impact</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6400" w:type="dxa"/>
            <w:vAlign w:val="bottom"/>
          </w:tcPr>
          <w:p>
            <w:pPr>
              <w:ind w:left="240"/>
              <w:spacing w:after="0" w:line="215" w:lineRule="exact"/>
              <w:rPr>
                <w:sz w:val="20"/>
                <w:szCs w:val="20"/>
                <w:color w:val="auto"/>
              </w:rPr>
            </w:pPr>
            <w:r>
              <w:rPr>
                <w:rFonts w:ascii="Calibri" w:cs="Calibri" w:eastAsia="Calibri" w:hAnsi="Calibri"/>
                <w:sz w:val="18"/>
                <w:szCs w:val="18"/>
                <w:color w:val="auto"/>
              </w:rPr>
              <w:t>the efectve tax rate</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1.2</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3.7</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5.5</w:t>
            </w:r>
          </w:p>
        </w:tc>
      </w:tr>
      <w:tr>
        <w:trPr>
          <w:trHeight w:val="37"/>
        </w:trPr>
        <w:tc>
          <w:tcPr>
            <w:tcW w:w="64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631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-808990</wp:posOffset>
            </wp:positionV>
            <wp:extent cx="33655" cy="3683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-808990</wp:posOffset>
            </wp:positionV>
            <wp:extent cx="33655" cy="3683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-808990</wp:posOffset>
            </wp:positionV>
            <wp:extent cx="34290" cy="3683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-311785</wp:posOffset>
            </wp:positionV>
            <wp:extent cx="33655" cy="3257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33655" cy="32575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-311785</wp:posOffset>
            </wp:positionV>
            <wp:extent cx="33655" cy="3257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33655" cy="32575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-311785</wp:posOffset>
            </wp:positionV>
            <wp:extent cx="34290" cy="3257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34290" cy="32575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213995</wp:posOffset>
            </wp:positionV>
            <wp:extent cx="325755" cy="1968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5" w:name="page96"/>
    <w:bookmarkEnd w:id="95"/>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Unrecognized tax benefts are reversed as a discrete event if an examinaton of applicable tax returns is not initated by a federal or state tax authority within the statute of limitatons or upon efectve setlement with federal or state tax authorites. Management believes its accrual for unrecognized tax benefts is sufcient to cover uncertain tax positons reviewed during audits by taxing authorites.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antcipates that it is reasonably possible that its unrecognized tax benefts may decrease up to $0.3 million, excluding interest and correlatve efects, during the twelve months ending December 31, 2024, due to the expiraton of the statutes of limitatons for the 2020 tax year and all prior open tax years.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tax years subject to federal, state or foreign examinatons are 2019 through 2023.</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J: Retrement Plans, Postretrement and Postemployment Benefts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sponsors defned beneft retrement plans that cover substantally all employees. Additonally, the Company provides other postretrement benefts for certain employees, including medical benefts for retrees and their spouses and retree life insurance. Employees startng on or afer January 1, 2002 are not eligible for postretrement welfare plans. The Company also provides certain benefts, such as disability benefts, to former or inactve employees afer employment but before retrement.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measurement date for the Company’s defned beneft plans, postretrement beneft plans and postemployment beneft plans is December 31. During 2022, the Company amended its qualifed pension plan to provide an enhanced beneft for eligible hourly actve partcipants who retre subsequent to April 30, 2022, which resulted in a remeasurement of the qualifed pension plan as of February 28, 2022. The remeasurement increased the defned beneft plans’ unrecognized prior service cost by $47.6 million.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Defned Beneft Retrement Plans. </w:t>
      </w:r>
      <w:r>
        <w:rPr>
          <w:rFonts w:ascii="Calibri" w:cs="Calibri" w:eastAsia="Calibri" w:hAnsi="Calibri"/>
          <w:sz w:val="18"/>
          <w:szCs w:val="18"/>
          <w:color w:val="000000"/>
        </w:rPr>
        <w:t>Defned retrement benefts for salaried employees are based on each employee’s years of service and average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compensaton for a specifed period of tme before retrement. Defned retrement benefts for hourly employees are generally stated amounts for specifed periods of service.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sponsors a Supplemental Excess Retrement Plan (SERP) that generally provides for the payment of retrement benefts in excess of allowable Internal Revenue Code limits. The SERP generally provides for a lump-sum payment of vested benefts. When these beneft payments exceed the sum of the service and interest costs for the SERP during a year, the Company recognizes a pro rata porton of the SERP’s unrecognized actuarial loss as setlement expense.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0" w:type="dxa"/>
            <w:vAlign w:val="bottom"/>
          </w:tcPr>
          <w:p>
            <w:pPr>
              <w:spacing w:after="0"/>
              <w:rPr>
                <w:sz w:val="20"/>
                <w:szCs w:val="20"/>
                <w:color w:val="auto"/>
              </w:rPr>
            </w:pPr>
            <w:r>
              <w:rPr>
                <w:rFonts w:ascii="Calibri" w:cs="Calibri" w:eastAsia="Calibri" w:hAnsi="Calibri"/>
                <w:sz w:val="18"/>
                <w:szCs w:val="18"/>
                <w:color w:val="auto"/>
                <w:w w:val="99"/>
              </w:rPr>
              <w:t>The net periodic beneft cost of defned beneft plans includes the following components:</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31"/>
        </w:trPr>
        <w:tc>
          <w:tcPr>
            <w:tcW w:w="6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07"/>
        </w:trPr>
        <w:tc>
          <w:tcPr>
            <w:tcW w:w="6400" w:type="dxa"/>
            <w:vAlign w:val="bottom"/>
            <w:tcBorders>
              <w:right w:val="single" w:sz="8" w:color="007CBA"/>
            </w:tcBorders>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2"/>
        </w:trPr>
        <w:tc>
          <w:tcPr>
            <w:tcW w:w="640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2023</w:t>
            </w:r>
          </w:p>
        </w:tc>
        <w:tc>
          <w:tcPr>
            <w:tcW w:w="46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2022</w:t>
            </w:r>
          </w:p>
        </w:tc>
        <w:tc>
          <w:tcPr>
            <w:tcW w:w="46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2021</w:t>
            </w:r>
          </w:p>
        </w:tc>
      </w:tr>
      <w:tr>
        <w:trPr>
          <w:trHeight w:val="215"/>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Service cost</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32.9</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48.1</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46.2</w:t>
            </w:r>
          </w:p>
        </w:tc>
      </w:tr>
      <w:tr>
        <w:trPr>
          <w:trHeight w:val="28"/>
        </w:trPr>
        <w:tc>
          <w:tcPr>
            <w:tcW w:w="640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Interest cost</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51.3</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41.2</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35.7</w:t>
            </w:r>
          </w:p>
        </w:tc>
      </w:tr>
      <w:tr>
        <w:trPr>
          <w:trHeight w:val="215"/>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Expected return on assets</w:t>
            </w:r>
          </w:p>
        </w:tc>
        <w:tc>
          <w:tcPr>
            <w:tcW w:w="480" w:type="dxa"/>
            <w:vAlign w:val="bottom"/>
          </w:tcPr>
          <w:p>
            <w:pPr>
              <w:spacing w:after="0"/>
              <w:rPr>
                <w:sz w:val="18"/>
                <w:szCs w:val="18"/>
                <w:color w:val="auto"/>
              </w:rPr>
            </w:pPr>
          </w:p>
        </w:tc>
        <w:tc>
          <w:tcPr>
            <w:tcW w:w="11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(71.4 )</w:t>
            </w:r>
          </w:p>
        </w:tc>
        <w:tc>
          <w:tcPr>
            <w:tcW w:w="460" w:type="dxa"/>
            <w:vAlign w:val="bottom"/>
          </w:tcPr>
          <w:p>
            <w:pPr>
              <w:spacing w:after="0"/>
              <w:rPr>
                <w:sz w:val="18"/>
                <w:szCs w:val="18"/>
                <w:color w:val="auto"/>
              </w:rPr>
            </w:pPr>
          </w:p>
        </w:tc>
        <w:tc>
          <w:tcPr>
            <w:tcW w:w="11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(77.3 )</w:t>
            </w:r>
          </w:p>
        </w:tc>
        <w:tc>
          <w:tcPr>
            <w:tcW w:w="46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(70.5 )</w:t>
            </w:r>
          </w:p>
        </w:tc>
      </w:tr>
      <w:tr>
        <w:trPr>
          <w:trHeight w:val="28"/>
        </w:trPr>
        <w:tc>
          <w:tcPr>
            <w:tcW w:w="640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Amortzaton of:</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spacing w:after="0"/>
              <w:rPr>
                <w:sz w:val="19"/>
                <w:szCs w:val="19"/>
                <w:color w:val="auto"/>
              </w:rPr>
            </w:pP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spacing w:after="0"/>
              <w:rPr>
                <w:sz w:val="19"/>
                <w:szCs w:val="19"/>
                <w:color w:val="auto"/>
              </w:rPr>
            </w:pP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spacing w:after="0"/>
              <w:rPr>
                <w:sz w:val="19"/>
                <w:szCs w:val="19"/>
                <w:color w:val="auto"/>
              </w:rPr>
            </w:pPr>
          </w:p>
        </w:tc>
      </w:tr>
      <w:tr>
        <w:trPr>
          <w:trHeight w:val="215"/>
        </w:trPr>
        <w:tc>
          <w:tcPr>
            <w:tcW w:w="640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Prior service cost</w:t>
            </w:r>
          </w:p>
        </w:tc>
        <w:tc>
          <w:tcPr>
            <w:tcW w:w="48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5.9</w:t>
            </w:r>
          </w:p>
        </w:tc>
        <w:tc>
          <w:tcPr>
            <w:tcW w:w="460" w:type="dxa"/>
            <w:vAlign w:val="bottom"/>
          </w:tcPr>
          <w:p>
            <w:pPr>
              <w:spacing w:after="0"/>
              <w:rPr>
                <w:sz w:val="18"/>
                <w:szCs w:val="18"/>
                <w:color w:val="auto"/>
              </w:rPr>
            </w:pP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4.9</w:t>
            </w:r>
          </w:p>
        </w:tc>
        <w:tc>
          <w:tcPr>
            <w:tcW w:w="46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0.8</w:t>
            </w:r>
          </w:p>
        </w:tc>
      </w:tr>
      <w:tr>
        <w:trPr>
          <w:trHeight w:val="28"/>
        </w:trPr>
        <w:tc>
          <w:tcPr>
            <w:tcW w:w="640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Actuarial loss</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0.6</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3.9</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12.2</w:t>
            </w:r>
          </w:p>
        </w:tc>
      </w:tr>
      <w:tr>
        <w:trPr>
          <w:trHeight w:val="215"/>
        </w:trPr>
        <w:tc>
          <w:tcPr>
            <w:tcW w:w="6400" w:type="dxa"/>
            <w:vAlign w:val="bottom"/>
          </w:tcPr>
          <w:p>
            <w:pPr>
              <w:ind w:left="120"/>
              <w:spacing w:after="0" w:line="215" w:lineRule="exact"/>
              <w:rPr>
                <w:sz w:val="20"/>
                <w:szCs w:val="20"/>
                <w:color w:val="auto"/>
              </w:rPr>
            </w:pPr>
            <w:r>
              <w:rPr>
                <w:rFonts w:ascii="Calibri" w:cs="Calibri" w:eastAsia="Calibri" w:hAnsi="Calibri"/>
                <w:sz w:val="18"/>
                <w:szCs w:val="18"/>
                <w:color w:val="auto"/>
              </w:rPr>
              <w:t>Setlement charge</w:t>
            </w:r>
          </w:p>
        </w:tc>
        <w:tc>
          <w:tcPr>
            <w:tcW w:w="48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4.6</w:t>
            </w:r>
          </w:p>
        </w:tc>
        <w:tc>
          <w:tcPr>
            <w:tcW w:w="46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6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1"/>
        </w:trPr>
        <w:tc>
          <w:tcPr>
            <w:tcW w:w="640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Net periodic beneft cost</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19.3</w:t>
            </w:r>
          </w:p>
        </w:tc>
        <w:tc>
          <w:tcPr>
            <w:tcW w:w="46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25.4</w:t>
            </w:r>
          </w:p>
        </w:tc>
        <w:tc>
          <w:tcPr>
            <w:tcW w:w="460" w:type="dxa"/>
            <w:vAlign w:val="bottom"/>
            <w:tcBorders>
              <w:bottom w:val="single" w:sz="8" w:color="E5F1F8"/>
            </w:tcBorders>
            <w:shd w:val="clear" w:color="auto" w:fill="E5F1F8"/>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24.4</w:t>
            </w:r>
          </w:p>
        </w:tc>
      </w:tr>
      <w:tr>
        <w:trPr>
          <w:trHeight w:val="20"/>
        </w:trPr>
        <w:tc>
          <w:tcPr>
            <w:tcW w:w="6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-354965</wp:posOffset>
            </wp:positionV>
            <wp:extent cx="33655" cy="3683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-354965</wp:posOffset>
            </wp:positionV>
            <wp:extent cx="33655" cy="3683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-354965</wp:posOffset>
            </wp:positionV>
            <wp:extent cx="34290" cy="3683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34290" cy="36830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components of net periodic beneft cost, other than service cost, are included in the line item </w:t>
      </w:r>
      <w:r>
        <w:rPr>
          <w:rFonts w:ascii="Calibri" w:cs="Calibri" w:eastAsia="Calibri" w:hAnsi="Calibri"/>
          <w:sz w:val="18"/>
          <w:szCs w:val="18"/>
          <w:i w:val="1"/>
          <w:iCs w:val="1"/>
          <w:color w:val="auto"/>
        </w:rPr>
        <w:t>Other nonoperatng income, net</w:t>
      </w:r>
      <w:r>
        <w:rPr>
          <w:rFonts w:ascii="Calibri" w:cs="Calibri" w:eastAsia="Calibri" w:hAnsi="Calibri"/>
          <w:sz w:val="18"/>
          <w:szCs w:val="18"/>
          <w:color w:val="auto"/>
        </w:rPr>
        <w:t xml:space="preserve">, in the consolidated statements of earnings. Based on the roles of the employees, service cost is included in </w:t>
      </w:r>
      <w:r>
        <w:rPr>
          <w:rFonts w:ascii="Calibri" w:cs="Calibri" w:eastAsia="Calibri" w:hAnsi="Calibri"/>
          <w:sz w:val="18"/>
          <w:szCs w:val="18"/>
          <w:i w:val="1"/>
          <w:iCs w:val="1"/>
          <w:color w:val="auto"/>
        </w:rPr>
        <w:t>Total</w:t>
      </w:r>
      <w:r>
        <w:rPr>
          <w:rFonts w:ascii="Calibri" w:cs="Calibri" w:eastAsia="Calibri" w:hAnsi="Calibri"/>
          <w:sz w:val="18"/>
          <w:szCs w:val="18"/>
          <w:color w:val="auto"/>
        </w:rPr>
        <w:t xml:space="preserve"> c</w:t>
      </w:r>
      <w:r>
        <w:rPr>
          <w:rFonts w:ascii="Calibri" w:cs="Calibri" w:eastAsia="Calibri" w:hAnsi="Calibri"/>
          <w:sz w:val="18"/>
          <w:szCs w:val="18"/>
          <w:i w:val="1"/>
          <w:iCs w:val="1"/>
          <w:color w:val="auto"/>
        </w:rPr>
        <w:t>ost of revenues</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Selling</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general and administratve expenses</w:t>
      </w:r>
      <w:r>
        <w:rPr>
          <w:rFonts w:ascii="Calibri" w:cs="Calibri" w:eastAsia="Calibri" w:hAnsi="Calibri"/>
          <w:sz w:val="18"/>
          <w:szCs w:val="18"/>
          <w:color w:val="auto"/>
        </w:rPr>
        <w:t xml:space="preserve"> line items in the consolidated statements of earnings.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expected return on assets is calculated by applying an annually selected expected long-term rate of return assumpton to the estmated fair value of the plan assets during the year, giving consideraton to contributons and benefts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74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308"/>
        </w:trPr>
        <w:tc>
          <w:tcPr>
            <w:tcW w:w="6400" w:type="dxa"/>
            <w:vAlign w:val="bottom"/>
          </w:tcPr>
          <w:p>
            <w:pPr>
              <w:spacing w:after="0"/>
              <w:rPr>
                <w:sz w:val="24"/>
                <w:szCs w:val="24"/>
                <w:color w:val="auto"/>
              </w:rPr>
            </w:pPr>
          </w:p>
        </w:tc>
        <w:tc>
          <w:tcPr>
            <w:tcW w:w="4860" w:type="dxa"/>
            <w:vAlign w:val="bottom"/>
            <w:gridSpan w:val="7"/>
          </w:tcPr>
          <w:p>
            <w:pPr>
              <w:ind w:left="240"/>
              <w:spacing w:after="0"/>
              <w:rPr>
                <w:sz w:val="20"/>
                <w:szCs w:val="20"/>
                <w:color w:val="auto"/>
              </w:rPr>
            </w:pPr>
            <w:r>
              <w:rPr>
                <w:rFonts w:ascii="Calibri" w:cs="Calibri" w:eastAsia="Calibri" w:hAnsi="Calibri"/>
                <w:sz w:val="18"/>
                <w:szCs w:val="18"/>
                <w:color w:val="auto"/>
                <w:w w:val="98"/>
              </w:rPr>
              <w:t xml:space="preserve">Part II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8 – Financial Statements and Supplementary Data</w:t>
            </w:r>
          </w:p>
        </w:tc>
        <w:tc>
          <w:tcPr>
            <w:tcW w:w="0" w:type="dxa"/>
            <w:vAlign w:val="bottom"/>
          </w:tcPr>
          <w:p>
            <w:pPr>
              <w:spacing w:after="0"/>
              <w:rPr>
                <w:sz w:val="1"/>
                <w:szCs w:val="1"/>
                <w:color w:val="auto"/>
              </w:rPr>
            </w:pPr>
          </w:p>
        </w:tc>
      </w:tr>
      <w:tr>
        <w:trPr>
          <w:trHeight w:val="362"/>
        </w:trPr>
        <w:tc>
          <w:tcPr>
            <w:tcW w:w="6980" w:type="dxa"/>
            <w:vAlign w:val="bottom"/>
            <w:gridSpan w:val="2"/>
          </w:tcPr>
          <w:p>
            <w:pPr>
              <w:spacing w:after="0"/>
              <w:rPr>
                <w:sz w:val="20"/>
                <w:szCs w:val="20"/>
                <w:color w:val="auto"/>
              </w:rPr>
            </w:pPr>
            <w:r>
              <w:rPr>
                <w:rFonts w:ascii="Calibri" w:cs="Calibri" w:eastAsia="Calibri" w:hAnsi="Calibri"/>
                <w:sz w:val="18"/>
                <w:szCs w:val="18"/>
                <w:color w:val="auto"/>
                <w:w w:val="98"/>
              </w:rPr>
              <w:t>The Company recognized the following pretax amounts in consolidated comprehensive earnings:</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640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years ended December 31</w:t>
            </w:r>
          </w:p>
        </w:tc>
        <w:tc>
          <w:tcPr>
            <w:tcW w:w="580" w:type="dxa"/>
            <w:vAlign w:val="bottom"/>
            <w:shd w:val="clear" w:color="auto" w:fill="007CBA"/>
          </w:tcPr>
          <w:p>
            <w:pPr>
              <w:spacing w:after="0"/>
              <w:rPr>
                <w:sz w:val="18"/>
                <w:szCs w:val="18"/>
                <w:color w:val="auto"/>
              </w:rPr>
            </w:pPr>
          </w:p>
        </w:tc>
        <w:tc>
          <w:tcPr>
            <w:tcW w:w="10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40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580" w:type="dxa"/>
            <w:vAlign w:val="bottom"/>
            <w:tcBorders>
              <w:bottom w:val="single" w:sz="8" w:color="007CBA"/>
            </w:tcBorders>
            <w:shd w:val="clear" w:color="auto" w:fill="007CBA"/>
          </w:tcPr>
          <w:p>
            <w:pPr>
              <w:spacing w:after="0"/>
              <w:rPr>
                <w:sz w:val="21"/>
                <w:szCs w:val="21"/>
                <w:color w:val="auto"/>
              </w:rPr>
            </w:pPr>
          </w:p>
        </w:tc>
        <w:tc>
          <w:tcPr>
            <w:tcW w:w="1060" w:type="dxa"/>
            <w:vAlign w:val="bottom"/>
            <w:tcBorders>
              <w:bottom w:val="single" w:sz="8" w:color="007CBA"/>
              <w:right w:val="single" w:sz="8" w:color="007CBA"/>
            </w:tcBorders>
            <w:shd w:val="clear" w:color="auto" w:fill="007CBA"/>
          </w:tcPr>
          <w:p>
            <w:pPr>
              <w:jc w:val="right"/>
              <w:ind w:right="510"/>
              <w:spacing w:after="0"/>
              <w:rPr>
                <w:sz w:val="20"/>
                <w:szCs w:val="20"/>
                <w:color w:val="auto"/>
              </w:rPr>
            </w:pPr>
            <w:r>
              <w:rPr>
                <w:rFonts w:ascii="Calibri" w:cs="Calibri" w:eastAsia="Calibri" w:hAnsi="Calibri"/>
                <w:sz w:val="18"/>
                <w:szCs w:val="18"/>
                <w:b w:val="1"/>
                <w:bCs w:val="1"/>
                <w:color w:val="FFFFFF"/>
              </w:rPr>
              <w:t>2023</w:t>
            </w:r>
          </w:p>
        </w:tc>
        <w:tc>
          <w:tcPr>
            <w:tcW w:w="46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right w:val="single" w:sz="8" w:color="007CBA"/>
            </w:tcBorders>
            <w:shd w:val="clear" w:color="auto" w:fill="007CBA"/>
          </w:tcPr>
          <w:p>
            <w:pPr>
              <w:jc w:val="right"/>
              <w:ind w:right="510"/>
              <w:spacing w:after="0"/>
              <w:rPr>
                <w:sz w:val="20"/>
                <w:szCs w:val="20"/>
                <w:color w:val="auto"/>
              </w:rPr>
            </w:pPr>
            <w:r>
              <w:rPr>
                <w:rFonts w:ascii="Calibri" w:cs="Calibri" w:eastAsia="Calibri" w:hAnsi="Calibri"/>
                <w:sz w:val="18"/>
                <w:szCs w:val="18"/>
                <w:color w:val="FFFFFF"/>
              </w:rPr>
              <w:t>2022</w:t>
            </w:r>
          </w:p>
        </w:tc>
        <w:tc>
          <w:tcPr>
            <w:tcW w:w="46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tcBorders>
            <w:shd w:val="clear" w:color="auto" w:fill="007CBA"/>
          </w:tcPr>
          <w:p>
            <w:pPr>
              <w:jc w:val="right"/>
              <w:ind w:right="490"/>
              <w:spacing w:after="0"/>
              <w:rPr>
                <w:sz w:val="20"/>
                <w:szCs w:val="20"/>
                <w:color w:val="auto"/>
              </w:rPr>
            </w:pPr>
            <w:r>
              <w:rPr>
                <w:rFonts w:ascii="Calibri" w:cs="Calibri" w:eastAsia="Calibri" w:hAnsi="Calibri"/>
                <w:sz w:val="18"/>
                <w:szCs w:val="18"/>
                <w:color w:val="FFFFFF"/>
              </w:rPr>
              <w:t>2021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Actuarial loss (gain)</w:t>
            </w:r>
          </w:p>
        </w:tc>
        <w:tc>
          <w:tcPr>
            <w:tcW w:w="5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w:t>
            </w:r>
          </w:p>
        </w:tc>
        <w:tc>
          <w:tcPr>
            <w:tcW w:w="10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20.9</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(114.5 )</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(67.5 )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40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Prior service cost</w:t>
            </w:r>
          </w:p>
        </w:tc>
        <w:tc>
          <w:tcPr>
            <w:tcW w:w="580" w:type="dxa"/>
            <w:vAlign w:val="bottom"/>
            <w:tcBorders>
              <w:bottom w:val="single" w:sz="8" w:color="E5F1F8"/>
            </w:tcBorders>
            <w:shd w:val="clear" w:color="auto" w:fill="E5F1F8"/>
          </w:tcPr>
          <w:p>
            <w:pPr>
              <w:spacing w:after="0"/>
              <w:rPr>
                <w:sz w:val="19"/>
                <w:szCs w:val="19"/>
                <w:color w:val="auto"/>
              </w:rPr>
            </w:pPr>
          </w:p>
        </w:tc>
        <w:tc>
          <w:tcPr>
            <w:tcW w:w="10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48.1</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Amortzaton of:</w:t>
            </w:r>
          </w:p>
        </w:tc>
        <w:tc>
          <w:tcPr>
            <w:tcW w:w="580" w:type="dxa"/>
            <w:vAlign w:val="bottom"/>
          </w:tcPr>
          <w:p>
            <w:pPr>
              <w:spacing w:after="0"/>
              <w:rPr>
                <w:sz w:val="18"/>
                <w:szCs w:val="18"/>
                <w:color w:val="auto"/>
              </w:rPr>
            </w:pPr>
          </w:p>
        </w:tc>
        <w:tc>
          <w:tcPr>
            <w:tcW w:w="10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40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40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Prior service cost</w:t>
            </w:r>
          </w:p>
        </w:tc>
        <w:tc>
          <w:tcPr>
            <w:tcW w:w="580" w:type="dxa"/>
            <w:vAlign w:val="bottom"/>
            <w:tcBorders>
              <w:bottom w:val="single" w:sz="8" w:color="E5F1F8"/>
            </w:tcBorders>
            <w:shd w:val="clear" w:color="auto" w:fill="E5F1F8"/>
          </w:tcPr>
          <w:p>
            <w:pPr>
              <w:spacing w:after="0"/>
              <w:rPr>
                <w:sz w:val="19"/>
                <w:szCs w:val="19"/>
                <w:color w:val="auto"/>
              </w:rPr>
            </w:pPr>
          </w:p>
        </w:tc>
        <w:tc>
          <w:tcPr>
            <w:tcW w:w="106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(5.9 )</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(4.9 )</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(0.8 )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0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Actuarial loss</w:t>
            </w:r>
          </w:p>
        </w:tc>
        <w:tc>
          <w:tcPr>
            <w:tcW w:w="580" w:type="dxa"/>
            <w:vAlign w:val="bottom"/>
          </w:tcPr>
          <w:p>
            <w:pPr>
              <w:spacing w:after="0"/>
              <w:rPr>
                <w:sz w:val="21"/>
                <w:szCs w:val="21"/>
                <w:color w:val="auto"/>
              </w:rPr>
            </w:pPr>
          </w:p>
        </w:tc>
        <w:tc>
          <w:tcPr>
            <w:tcW w:w="10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(0.6 )</w:t>
            </w:r>
          </w:p>
        </w:tc>
        <w:tc>
          <w:tcPr>
            <w:tcW w:w="460" w:type="dxa"/>
            <w:vAlign w:val="bottom"/>
          </w:tcPr>
          <w:p>
            <w:pPr>
              <w:spacing w:after="0"/>
              <w:rPr>
                <w:sz w:val="21"/>
                <w:szCs w:val="21"/>
                <w:color w:val="auto"/>
              </w:rPr>
            </w:pPr>
          </w:p>
        </w:tc>
        <w:tc>
          <w:tcPr>
            <w:tcW w:w="11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(3.9 )</w:t>
            </w:r>
          </w:p>
        </w:tc>
        <w:tc>
          <w:tcPr>
            <w:tcW w:w="460" w:type="dxa"/>
            <w:vAlign w:val="bottom"/>
          </w:tcPr>
          <w:p>
            <w:pPr>
              <w:spacing w:after="0"/>
              <w:rPr>
                <w:sz w:val="21"/>
                <w:szCs w:val="21"/>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(12.2 )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4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Setlement charge</w:t>
            </w:r>
          </w:p>
        </w:tc>
        <w:tc>
          <w:tcPr>
            <w:tcW w:w="580" w:type="dxa"/>
            <w:vAlign w:val="bottom"/>
            <w:tcBorders>
              <w:bottom w:val="single" w:sz="8" w:color="E5F1F8"/>
            </w:tcBorders>
            <w:shd w:val="clear" w:color="auto" w:fill="E5F1F8"/>
          </w:tcPr>
          <w:p>
            <w:pPr>
              <w:spacing w:after="0"/>
              <w:rPr>
                <w:sz w:val="21"/>
                <w:szCs w:val="21"/>
                <w:color w:val="auto"/>
              </w:rPr>
            </w:pPr>
          </w:p>
        </w:tc>
        <w:tc>
          <w:tcPr>
            <w:tcW w:w="10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(4.6 )</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4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580" w:type="dxa"/>
            <w:vAlign w:val="bottom"/>
            <w:tcBorders>
              <w:top w:val="single" w:sz="8" w:color="auto"/>
            </w:tcBorders>
          </w:tcPr>
          <w:p>
            <w:pPr>
              <w:jc w:val="right"/>
              <w:ind w:right="210"/>
              <w:spacing w:after="0" w:line="208" w:lineRule="exact"/>
              <w:rPr>
                <w:sz w:val="20"/>
                <w:szCs w:val="20"/>
                <w:color w:val="auto"/>
              </w:rPr>
            </w:pPr>
            <w:r>
              <w:rPr>
                <w:rFonts w:ascii="Calibri" w:cs="Calibri" w:eastAsia="Calibri" w:hAnsi="Calibri"/>
                <w:sz w:val="18"/>
                <w:szCs w:val="18"/>
                <w:b w:val="1"/>
                <w:bCs w:val="1"/>
                <w:color w:val="auto"/>
              </w:rPr>
              <w:t>$</w:t>
            </w:r>
          </w:p>
        </w:tc>
        <w:tc>
          <w:tcPr>
            <w:tcW w:w="10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14.4</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(79.8 )</w:t>
            </w:r>
          </w:p>
        </w:tc>
        <w:tc>
          <w:tcPr>
            <w:tcW w:w="46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(80.5 )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6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-354965</wp:posOffset>
            </wp:positionV>
            <wp:extent cx="33655" cy="3683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-354965</wp:posOffset>
            </wp:positionV>
            <wp:extent cx="33655" cy="3683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-354965</wp:posOffset>
            </wp:positionV>
            <wp:extent cx="34290" cy="3683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34290" cy="36830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color w:val="auto"/>
        </w:rPr>
        <w:t>Accumulated other comprehensive loss includes the following amounts that have not yet been recognized in net periodic beneft cost: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400" w:type="dxa"/>
            <w:vAlign w:val="bottom"/>
            <w:shd w:val="clear" w:color="auto" w:fill="007CBA"/>
          </w:tcPr>
          <w:p>
            <w:pPr>
              <w:spacing w:after="0"/>
              <w:rPr>
                <w:sz w:val="20"/>
                <w:szCs w:val="20"/>
                <w:color w:val="auto"/>
              </w:rPr>
            </w:pPr>
          </w:p>
        </w:tc>
        <w:tc>
          <w:tcPr>
            <w:tcW w:w="1520" w:type="dxa"/>
            <w:vAlign w:val="bottom"/>
            <w:tcBorders>
              <w:right w:val="single" w:sz="8" w:color="007CBA"/>
            </w:tcBorders>
            <w:gridSpan w:val="2"/>
            <w:shd w:val="clear" w:color="auto" w:fill="007CBA"/>
          </w:tcPr>
          <w:p>
            <w:pPr>
              <w:jc w:val="right"/>
              <w:ind w:right="190"/>
              <w:spacing w:after="0"/>
              <w:rPr>
                <w:sz w:val="20"/>
                <w:szCs w:val="20"/>
                <w:color w:val="auto"/>
              </w:rPr>
            </w:pPr>
            <w:r>
              <w:rPr>
                <w:rFonts w:ascii="Calibri" w:cs="Calibri" w:eastAsia="Calibri" w:hAnsi="Calibri"/>
                <w:sz w:val="18"/>
                <w:szCs w:val="18"/>
                <w:b w:val="1"/>
                <w:bCs w:val="1"/>
                <w:color w:val="FFFFFF"/>
              </w:rPr>
              <w:t>2023</w:t>
            </w:r>
          </w:p>
        </w:tc>
        <w:tc>
          <w:tcPr>
            <w:tcW w:w="400" w:type="dxa"/>
            <w:vAlign w:val="bottom"/>
            <w:shd w:val="clear" w:color="auto" w:fill="007CBA"/>
          </w:tcPr>
          <w:p>
            <w:pPr>
              <w:spacing w:after="0"/>
              <w:rPr>
                <w:sz w:val="20"/>
                <w:szCs w:val="20"/>
                <w:color w:val="auto"/>
              </w:rPr>
            </w:pPr>
          </w:p>
        </w:tc>
        <w:tc>
          <w:tcPr>
            <w:tcW w:w="560" w:type="dxa"/>
            <w:vAlign w:val="bottom"/>
            <w:tcBorders>
              <w:right w:val="single" w:sz="8" w:color="007CBA"/>
            </w:tcBorders>
            <w:shd w:val="clear" w:color="auto" w:fill="007CBA"/>
          </w:tcPr>
          <w:p>
            <w:pPr>
              <w:spacing w:after="0"/>
              <w:rPr>
                <w:sz w:val="20"/>
                <w:szCs w:val="20"/>
                <w:color w:val="auto"/>
              </w:rPr>
            </w:pPr>
          </w:p>
        </w:tc>
        <w:tc>
          <w:tcPr>
            <w:tcW w:w="920" w:type="dxa"/>
            <w:vAlign w:val="bottom"/>
            <w:tcBorders>
              <w:right w:val="single" w:sz="8" w:color="007CBA"/>
            </w:tcBorders>
            <w:shd w:val="clear" w:color="auto" w:fill="007CBA"/>
          </w:tcPr>
          <w:p>
            <w:pPr>
              <w:spacing w:after="0"/>
              <w:rPr>
                <w:sz w:val="20"/>
                <w:szCs w:val="20"/>
                <w:color w:val="auto"/>
              </w:rPr>
            </w:pPr>
          </w:p>
        </w:tc>
        <w:tc>
          <w:tcPr>
            <w:tcW w:w="20" w:type="dxa"/>
            <w:vAlign w:val="bottom"/>
            <w:shd w:val="clear" w:color="auto" w:fill="007CBA"/>
          </w:tcPr>
          <w:p>
            <w:pPr>
              <w:spacing w:after="0"/>
              <w:rPr>
                <w:sz w:val="20"/>
                <w:szCs w:val="20"/>
                <w:color w:val="auto"/>
              </w:rPr>
            </w:pPr>
          </w:p>
        </w:tc>
        <w:tc>
          <w:tcPr>
            <w:tcW w:w="740" w:type="dxa"/>
            <w:vAlign w:val="bottom"/>
            <w:gridSpan w:val="2"/>
            <w:shd w:val="clear" w:color="auto" w:fill="007CBA"/>
          </w:tcPr>
          <w:p>
            <w:pPr>
              <w:jc w:val="right"/>
              <w:spacing w:after="0"/>
              <w:rPr>
                <w:sz w:val="20"/>
                <w:szCs w:val="20"/>
                <w:color w:val="auto"/>
              </w:rPr>
            </w:pPr>
            <w:r>
              <w:rPr>
                <w:rFonts w:ascii="Calibri" w:cs="Calibri" w:eastAsia="Calibri" w:hAnsi="Calibri"/>
                <w:sz w:val="18"/>
                <w:szCs w:val="18"/>
                <w:color w:val="FFFFFF"/>
              </w:rPr>
              <w:t>2022</w:t>
            </w:r>
          </w:p>
        </w:tc>
        <w:tc>
          <w:tcPr>
            <w:tcW w:w="1100" w:type="dxa"/>
            <w:vAlign w:val="bottom"/>
            <w:shd w:val="clear" w:color="auto" w:fill="007CBA"/>
          </w:tcPr>
          <w:p>
            <w:pPr>
              <w:spacing w:after="0"/>
              <w:rPr>
                <w:sz w:val="20"/>
                <w:szCs w:val="20"/>
                <w:color w:val="auto"/>
              </w:rPr>
            </w:pPr>
          </w:p>
        </w:tc>
      </w:tr>
      <w:tr>
        <w:trPr>
          <w:trHeight w:val="245"/>
        </w:trPr>
        <w:tc>
          <w:tcPr>
            <w:tcW w:w="558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400" w:type="dxa"/>
            <w:vAlign w:val="bottom"/>
            <w:tcBorders>
              <w:bottom w:val="single" w:sz="8" w:color="007CBA"/>
            </w:tcBorders>
            <w:shd w:val="clear" w:color="auto" w:fill="007CBA"/>
          </w:tcPr>
          <w:p>
            <w:pPr>
              <w:spacing w:after="0"/>
              <w:rPr>
                <w:sz w:val="21"/>
                <w:szCs w:val="21"/>
                <w:color w:val="auto"/>
              </w:rPr>
            </w:pPr>
          </w:p>
        </w:tc>
        <w:tc>
          <w:tcPr>
            <w:tcW w:w="1060" w:type="dxa"/>
            <w:vAlign w:val="bottom"/>
            <w:tcBorders>
              <w:bottom w:val="single" w:sz="8" w:color="007CBA"/>
              <w:right w:val="single" w:sz="8" w:color="007CBA"/>
            </w:tcBorders>
            <w:shd w:val="clear" w:color="auto" w:fill="007CBA"/>
          </w:tcPr>
          <w:p>
            <w:pPr>
              <w:jc w:val="right"/>
              <w:ind w:right="410"/>
              <w:spacing w:after="0"/>
              <w:rPr>
                <w:sz w:val="20"/>
                <w:szCs w:val="20"/>
                <w:color w:val="auto"/>
              </w:rPr>
            </w:pPr>
            <w:r>
              <w:rPr>
                <w:rFonts w:ascii="Calibri" w:cs="Calibri" w:eastAsia="Calibri" w:hAnsi="Calibri"/>
                <w:sz w:val="18"/>
                <w:szCs w:val="18"/>
                <w:b w:val="1"/>
                <w:bCs w:val="1"/>
                <w:color w:val="FFFFFF"/>
              </w:rPr>
              <w:t>Gross</w:t>
            </w:r>
          </w:p>
        </w:tc>
        <w:tc>
          <w:tcPr>
            <w:tcW w:w="1420" w:type="dxa"/>
            <w:vAlign w:val="bottom"/>
            <w:tcBorders>
              <w:bottom w:val="single" w:sz="8" w:color="007CBA"/>
              <w:right w:val="single" w:sz="8" w:color="007CBA"/>
            </w:tcBorders>
            <w:gridSpan w:val="3"/>
            <w:shd w:val="clear" w:color="auto" w:fill="007CBA"/>
          </w:tcPr>
          <w:p>
            <w:pPr>
              <w:jc w:val="right"/>
              <w:ind w:right="230"/>
              <w:spacing w:after="0"/>
              <w:rPr>
                <w:sz w:val="20"/>
                <w:szCs w:val="20"/>
                <w:color w:val="auto"/>
              </w:rPr>
            </w:pPr>
            <w:r>
              <w:rPr>
                <w:rFonts w:ascii="Calibri" w:cs="Calibri" w:eastAsia="Calibri" w:hAnsi="Calibri"/>
                <w:sz w:val="18"/>
                <w:szCs w:val="18"/>
                <w:b w:val="1"/>
                <w:bCs w:val="1"/>
                <w:color w:val="FFFFFF"/>
              </w:rPr>
              <w:t>Net of tax</w:t>
            </w:r>
          </w:p>
        </w:tc>
        <w:tc>
          <w:tcPr>
            <w:tcW w:w="940" w:type="dxa"/>
            <w:vAlign w:val="bottom"/>
            <w:tcBorders>
              <w:bottom w:val="single" w:sz="8" w:color="007CBA"/>
            </w:tcBorders>
            <w:gridSpan w:val="2"/>
            <w:shd w:val="clear" w:color="auto" w:fill="007CBA"/>
          </w:tcPr>
          <w:p>
            <w:pPr>
              <w:ind w:left="520"/>
              <w:spacing w:after="0"/>
              <w:rPr>
                <w:sz w:val="20"/>
                <w:szCs w:val="20"/>
                <w:color w:val="auto"/>
              </w:rPr>
            </w:pPr>
            <w:r>
              <w:rPr>
                <w:rFonts w:ascii="Calibri" w:cs="Calibri" w:eastAsia="Calibri" w:hAnsi="Calibri"/>
                <w:sz w:val="18"/>
                <w:szCs w:val="18"/>
                <w:b w:val="1"/>
                <w:bCs w:val="1"/>
                <w:color w:val="FFFFFF"/>
                <w:w w:val="95"/>
              </w:rPr>
              <w:t>Gross</w:t>
            </w:r>
          </w:p>
        </w:tc>
        <w:tc>
          <w:tcPr>
            <w:tcW w:w="460" w:type="dxa"/>
            <w:vAlign w:val="bottom"/>
            <w:tcBorders>
              <w:bottom w:val="single" w:sz="8" w:color="007CBA"/>
              <w:right w:val="single" w:sz="8" w:color="007CBA"/>
            </w:tcBorders>
            <w:shd w:val="clear" w:color="auto" w:fill="007CBA"/>
          </w:tcPr>
          <w:p>
            <w:pPr>
              <w:spacing w:after="0"/>
              <w:rPr>
                <w:sz w:val="21"/>
                <w:szCs w:val="21"/>
                <w:color w:val="auto"/>
              </w:rPr>
            </w:pPr>
          </w:p>
        </w:tc>
        <w:tc>
          <w:tcPr>
            <w:tcW w:w="280" w:type="dxa"/>
            <w:vAlign w:val="bottom"/>
            <w:tcBorders>
              <w:bottom w:val="single" w:sz="8" w:color="007CBA"/>
            </w:tcBorders>
            <w:shd w:val="clear" w:color="auto" w:fill="007CBA"/>
          </w:tcPr>
          <w:p>
            <w:pPr>
              <w:spacing w:after="0"/>
              <w:rPr>
                <w:sz w:val="21"/>
                <w:szCs w:val="21"/>
                <w:color w:val="auto"/>
              </w:rPr>
            </w:pPr>
          </w:p>
        </w:tc>
        <w:tc>
          <w:tcPr>
            <w:tcW w:w="1100" w:type="dxa"/>
            <w:vAlign w:val="bottom"/>
            <w:tcBorders>
              <w:bottom w:val="single" w:sz="8" w:color="007CBA"/>
            </w:tcBorders>
            <w:shd w:val="clear" w:color="auto" w:fill="007CBA"/>
          </w:tcPr>
          <w:p>
            <w:pPr>
              <w:jc w:val="right"/>
              <w:ind w:right="230"/>
              <w:spacing w:after="0"/>
              <w:rPr>
                <w:sz w:val="20"/>
                <w:szCs w:val="20"/>
                <w:color w:val="auto"/>
              </w:rPr>
            </w:pPr>
            <w:r>
              <w:rPr>
                <w:rFonts w:ascii="Calibri" w:cs="Calibri" w:eastAsia="Calibri" w:hAnsi="Calibri"/>
                <w:sz w:val="18"/>
                <w:szCs w:val="18"/>
                <w:b w:val="1"/>
                <w:bCs w:val="1"/>
                <w:color w:val="FFFFFF"/>
              </w:rPr>
              <w:t>Net of tax</w:t>
            </w:r>
          </w:p>
        </w:tc>
      </w:tr>
      <w:tr>
        <w:trPr>
          <w:trHeight w:val="243"/>
        </w:trPr>
        <w:tc>
          <w:tcPr>
            <w:tcW w:w="55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Prior service cost</w:t>
            </w:r>
          </w:p>
        </w:tc>
        <w:tc>
          <w:tcPr>
            <w:tcW w:w="40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10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42.4</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400" w:type="dxa"/>
            <w:vAlign w:val="bottom"/>
          </w:tcPr>
          <w:p>
            <w:pPr>
              <w:spacing w:after="0"/>
              <w:rPr>
                <w:sz w:val="21"/>
                <w:szCs w:val="21"/>
                <w:color w:val="auto"/>
              </w:rPr>
            </w:pPr>
          </w:p>
        </w:tc>
        <w:tc>
          <w:tcPr>
            <w:tcW w:w="5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20.0</w:t>
            </w:r>
          </w:p>
        </w:tc>
        <w:tc>
          <w:tcPr>
            <w:tcW w:w="920" w:type="dxa"/>
            <w:vAlign w:val="bottom"/>
          </w:tcPr>
          <w:p>
            <w:pPr>
              <w:jc w:val="right"/>
              <w:ind w:right="570"/>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21"/>
                <w:szCs w:val="21"/>
                <w:color w:val="auto"/>
              </w:rPr>
            </w:pPr>
          </w:p>
        </w:tc>
        <w:tc>
          <w:tcPr>
            <w:tcW w:w="4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48.2</w:t>
            </w:r>
          </w:p>
        </w:tc>
        <w:tc>
          <w:tcPr>
            <w:tcW w:w="2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20.3</w:t>
            </w:r>
          </w:p>
        </w:tc>
      </w:tr>
      <w:tr>
        <w:trPr>
          <w:trHeight w:val="248"/>
        </w:trPr>
        <w:tc>
          <w:tcPr>
            <w:tcW w:w="55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Actuarial loss</w:t>
            </w:r>
          </w:p>
        </w:tc>
        <w:tc>
          <w:tcPr>
            <w:tcW w:w="400" w:type="dxa"/>
            <w:vAlign w:val="bottom"/>
            <w:tcBorders>
              <w:bottom w:val="single" w:sz="8" w:color="E5F1F8"/>
            </w:tcBorders>
            <w:shd w:val="clear" w:color="auto" w:fill="E5F1F8"/>
          </w:tcPr>
          <w:p>
            <w:pPr>
              <w:spacing w:after="0"/>
              <w:rPr>
                <w:sz w:val="21"/>
                <w:szCs w:val="21"/>
                <w:color w:val="auto"/>
              </w:rPr>
            </w:pPr>
          </w:p>
        </w:tc>
        <w:tc>
          <w:tcPr>
            <w:tcW w:w="10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63.4</w:t>
            </w:r>
          </w:p>
        </w:tc>
        <w:tc>
          <w:tcPr>
            <w:tcW w:w="460" w:type="dxa"/>
            <w:vAlign w:val="bottom"/>
            <w:tcBorders>
              <w:bottom w:val="single" w:sz="8" w:color="E5F1F8"/>
              <w:right w:val="single" w:sz="8" w:color="E5F1F8"/>
            </w:tcBorders>
            <w:shd w:val="clear" w:color="auto" w:fill="E5F1F8"/>
          </w:tcPr>
          <w:p>
            <w:pPr>
              <w:spacing w:after="0"/>
              <w:rPr>
                <w:sz w:val="21"/>
                <w:szCs w:val="21"/>
                <w:color w:val="auto"/>
              </w:rPr>
            </w:pPr>
          </w:p>
        </w:tc>
        <w:tc>
          <w:tcPr>
            <w:tcW w:w="400" w:type="dxa"/>
            <w:vAlign w:val="bottom"/>
            <w:tcBorders>
              <w:bottom w:val="single" w:sz="8" w:color="E5F1F8"/>
            </w:tcBorders>
            <w:shd w:val="clear" w:color="auto" w:fill="E5F1F8"/>
          </w:tcPr>
          <w:p>
            <w:pPr>
              <w:spacing w:after="0"/>
              <w:rPr>
                <w:sz w:val="21"/>
                <w:szCs w:val="21"/>
                <w:color w:val="auto"/>
              </w:rPr>
            </w:pPr>
          </w:p>
        </w:tc>
        <w:tc>
          <w:tcPr>
            <w:tcW w:w="5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29.9</w:t>
            </w:r>
          </w:p>
        </w:tc>
        <w:tc>
          <w:tcPr>
            <w:tcW w:w="920" w:type="dxa"/>
            <w:vAlign w:val="bottom"/>
            <w:tcBorders>
              <w:bottom w:val="single" w:sz="8" w:color="E5F1F8"/>
              <w:right w:val="single" w:sz="8" w:color="E5F1F8"/>
            </w:tcBorders>
            <w:shd w:val="clear" w:color="auto" w:fill="E5F1F8"/>
          </w:tcPr>
          <w:p>
            <w:pPr>
              <w:spacing w:after="0"/>
              <w:rPr>
                <w:sz w:val="21"/>
                <w:szCs w:val="21"/>
                <w:color w:val="auto"/>
              </w:rPr>
            </w:pPr>
          </w:p>
        </w:tc>
        <w:tc>
          <w:tcPr>
            <w:tcW w:w="20" w:type="dxa"/>
            <w:vAlign w:val="bottom"/>
            <w:tcBorders>
              <w:bottom w:val="single" w:sz="8" w:color="E5F1F8"/>
            </w:tcBorders>
            <w:shd w:val="clear" w:color="auto" w:fill="E5F1F8"/>
          </w:tcPr>
          <w:p>
            <w:pPr>
              <w:spacing w:after="0"/>
              <w:rPr>
                <w:sz w:val="21"/>
                <w:szCs w:val="21"/>
                <w:color w:val="auto"/>
              </w:rPr>
            </w:pPr>
          </w:p>
        </w:tc>
        <w:tc>
          <w:tcPr>
            <w:tcW w:w="4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43.2</w:t>
            </w:r>
          </w:p>
        </w:tc>
        <w:tc>
          <w:tcPr>
            <w:tcW w:w="280" w:type="dxa"/>
            <w:vAlign w:val="bottom"/>
            <w:tcBorders>
              <w:bottom w:val="single" w:sz="8" w:color="E5F1F8"/>
            </w:tcBorders>
            <w:shd w:val="clear" w:color="auto" w:fill="E5F1F8"/>
          </w:tcPr>
          <w:p>
            <w:pPr>
              <w:spacing w:after="0"/>
              <w:rPr>
                <w:sz w:val="21"/>
                <w:szCs w:val="21"/>
                <w:color w:val="auto"/>
              </w:rPr>
            </w:pPr>
          </w:p>
        </w:tc>
        <w:tc>
          <w:tcPr>
            <w:tcW w:w="11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18.2</w:t>
            </w:r>
          </w:p>
        </w:tc>
      </w:tr>
      <w:tr>
        <w:trPr>
          <w:trHeight w:val="208"/>
        </w:trPr>
        <w:tc>
          <w:tcPr>
            <w:tcW w:w="558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4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w:t>
            </w:r>
          </w:p>
        </w:tc>
        <w:tc>
          <w:tcPr>
            <w:tcW w:w="10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105.8</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4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49.9</w:t>
            </w:r>
          </w:p>
        </w:tc>
        <w:tc>
          <w:tcPr>
            <w:tcW w:w="920" w:type="dxa"/>
            <w:vAlign w:val="bottom"/>
            <w:tcBorders>
              <w:top w:val="single" w:sz="8" w:color="auto"/>
            </w:tcBorders>
          </w:tcPr>
          <w:p>
            <w:pPr>
              <w:jc w:val="right"/>
              <w:ind w:right="570"/>
              <w:spacing w:after="0" w:line="208" w:lineRule="exact"/>
              <w:rPr>
                <w:sz w:val="20"/>
                <w:szCs w:val="20"/>
                <w:color w:val="auto"/>
              </w:rPr>
            </w:pPr>
            <w:r>
              <w:rPr>
                <w:rFonts w:ascii="Calibri" w:cs="Calibri" w:eastAsia="Calibri" w:hAnsi="Calibri"/>
                <w:sz w:val="18"/>
                <w:szCs w:val="18"/>
                <w:color w:val="auto"/>
              </w:rPr>
              <w:t>$</w:t>
            </w: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91.4</w:t>
            </w:r>
          </w:p>
        </w:tc>
        <w:tc>
          <w:tcPr>
            <w:tcW w:w="2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11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38.5</w:t>
            </w:r>
          </w:p>
        </w:tc>
      </w:tr>
      <w:tr>
        <w:trPr>
          <w:trHeight w:val="28"/>
        </w:trPr>
        <w:tc>
          <w:tcPr>
            <w:tcW w:w="5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48"/>
        </w:trPr>
        <w:tc>
          <w:tcPr>
            <w:tcW w:w="5580" w:type="dxa"/>
            <w:vAlign w:val="bottom"/>
          </w:tcPr>
          <w:p>
            <w:pPr>
              <w:spacing w:after="0"/>
              <w:rPr>
                <w:sz w:val="20"/>
                <w:szCs w:val="20"/>
                <w:color w:val="auto"/>
              </w:rPr>
            </w:pPr>
            <w:r>
              <w:rPr>
                <w:rFonts w:ascii="Calibri" w:cs="Calibri" w:eastAsia="Calibri" w:hAnsi="Calibri"/>
                <w:sz w:val="18"/>
                <w:szCs w:val="18"/>
                <w:color w:val="auto"/>
              </w:rPr>
              <w:t>The defned beneft plans’ change in projected beneft obligaton is as follows:</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2"/>
        </w:trPr>
        <w:tc>
          <w:tcPr>
            <w:tcW w:w="5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15"/>
        </w:trPr>
        <w:tc>
          <w:tcPr>
            <w:tcW w:w="558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years ended December 31</w:t>
            </w:r>
          </w:p>
        </w:tc>
        <w:tc>
          <w:tcPr>
            <w:tcW w:w="400" w:type="dxa"/>
            <w:vAlign w:val="bottom"/>
            <w:shd w:val="clear" w:color="auto" w:fill="007CBA"/>
          </w:tcPr>
          <w:p>
            <w:pPr>
              <w:spacing w:after="0"/>
              <w:rPr>
                <w:sz w:val="18"/>
                <w:szCs w:val="18"/>
                <w:color w:val="auto"/>
              </w:rPr>
            </w:pPr>
          </w:p>
        </w:tc>
        <w:tc>
          <w:tcPr>
            <w:tcW w:w="1060" w:type="dxa"/>
            <w:vAlign w:val="bottom"/>
            <w:tcBorders>
              <w:right w:val="single" w:sz="8" w:color="007CBA"/>
            </w:tcBorders>
            <w:shd w:val="clear" w:color="auto" w:fill="007CBA"/>
          </w:tcPr>
          <w:p>
            <w:pPr>
              <w:spacing w:after="0"/>
              <w:rPr>
                <w:sz w:val="18"/>
                <w:szCs w:val="18"/>
                <w:color w:val="auto"/>
              </w:rPr>
            </w:pPr>
          </w:p>
        </w:tc>
        <w:tc>
          <w:tcPr>
            <w:tcW w:w="460" w:type="dxa"/>
            <w:vAlign w:val="bottom"/>
            <w:tcBorders>
              <w:right w:val="single" w:sz="8" w:color="007CBA"/>
            </w:tcBorders>
            <w:shd w:val="clear" w:color="auto" w:fill="007CBA"/>
          </w:tcPr>
          <w:p>
            <w:pPr>
              <w:spacing w:after="0"/>
              <w:rPr>
                <w:sz w:val="18"/>
                <w:szCs w:val="18"/>
                <w:color w:val="auto"/>
              </w:rPr>
            </w:pPr>
          </w:p>
        </w:tc>
        <w:tc>
          <w:tcPr>
            <w:tcW w:w="400" w:type="dxa"/>
            <w:vAlign w:val="bottom"/>
            <w:shd w:val="clear" w:color="auto" w:fill="007CBA"/>
          </w:tcPr>
          <w:p>
            <w:pPr>
              <w:spacing w:after="0"/>
              <w:rPr>
                <w:sz w:val="18"/>
                <w:szCs w:val="18"/>
                <w:color w:val="auto"/>
              </w:rPr>
            </w:pPr>
          </w:p>
        </w:tc>
        <w:tc>
          <w:tcPr>
            <w:tcW w:w="560" w:type="dxa"/>
            <w:vAlign w:val="bottom"/>
            <w:tcBorders>
              <w:right w:val="single" w:sz="8" w:color="007CBA"/>
            </w:tcBorders>
            <w:shd w:val="clear" w:color="auto" w:fill="007CBA"/>
          </w:tcPr>
          <w:p>
            <w:pPr>
              <w:spacing w:after="0"/>
              <w:rPr>
                <w:sz w:val="18"/>
                <w:szCs w:val="18"/>
                <w:color w:val="auto"/>
              </w:rPr>
            </w:pPr>
          </w:p>
        </w:tc>
        <w:tc>
          <w:tcPr>
            <w:tcW w:w="920" w:type="dxa"/>
            <w:vAlign w:val="bottom"/>
            <w:tcBorders>
              <w:right w:val="single" w:sz="8" w:color="007CBA"/>
            </w:tcBorders>
            <w:shd w:val="clear" w:color="auto" w:fill="007CBA"/>
          </w:tcPr>
          <w:p>
            <w:pPr>
              <w:spacing w:after="0"/>
              <w:rPr>
                <w:sz w:val="18"/>
                <w:szCs w:val="18"/>
                <w:color w:val="auto"/>
              </w:rPr>
            </w:pPr>
          </w:p>
        </w:tc>
        <w:tc>
          <w:tcPr>
            <w:tcW w:w="20" w:type="dxa"/>
            <w:vAlign w:val="bottom"/>
            <w:shd w:val="clear" w:color="auto" w:fill="007CBA"/>
          </w:tcPr>
          <w:p>
            <w:pPr>
              <w:spacing w:after="0"/>
              <w:rPr>
                <w:sz w:val="18"/>
                <w:szCs w:val="18"/>
                <w:color w:val="auto"/>
              </w:rPr>
            </w:pPr>
          </w:p>
        </w:tc>
        <w:tc>
          <w:tcPr>
            <w:tcW w:w="46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1100" w:type="dxa"/>
            <w:vAlign w:val="bottom"/>
            <w:shd w:val="clear" w:color="auto" w:fill="007CBA"/>
          </w:tcPr>
          <w:p>
            <w:pPr>
              <w:spacing w:after="0"/>
              <w:rPr>
                <w:sz w:val="18"/>
                <w:szCs w:val="18"/>
                <w:color w:val="auto"/>
              </w:rPr>
            </w:pPr>
          </w:p>
        </w:tc>
      </w:tr>
      <w:tr>
        <w:trPr>
          <w:trHeight w:val="251"/>
        </w:trPr>
        <w:tc>
          <w:tcPr>
            <w:tcW w:w="558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400" w:type="dxa"/>
            <w:vAlign w:val="bottom"/>
            <w:tcBorders>
              <w:bottom w:val="single" w:sz="8" w:color="007CBA"/>
            </w:tcBorders>
            <w:shd w:val="clear" w:color="auto" w:fill="007CBA"/>
          </w:tcPr>
          <w:p>
            <w:pPr>
              <w:spacing w:after="0"/>
              <w:rPr>
                <w:sz w:val="21"/>
                <w:szCs w:val="21"/>
                <w:color w:val="auto"/>
              </w:rPr>
            </w:pPr>
          </w:p>
        </w:tc>
        <w:tc>
          <w:tcPr>
            <w:tcW w:w="1060" w:type="dxa"/>
            <w:vAlign w:val="bottom"/>
            <w:tcBorders>
              <w:bottom w:val="single" w:sz="8" w:color="007CBA"/>
              <w:right w:val="single" w:sz="8" w:color="007CBA"/>
            </w:tcBorders>
            <w:shd w:val="clear" w:color="auto" w:fill="007CBA"/>
          </w:tcPr>
          <w:p>
            <w:pPr>
              <w:spacing w:after="0"/>
              <w:rPr>
                <w:sz w:val="21"/>
                <w:szCs w:val="21"/>
                <w:color w:val="auto"/>
              </w:rPr>
            </w:pPr>
          </w:p>
        </w:tc>
        <w:tc>
          <w:tcPr>
            <w:tcW w:w="460" w:type="dxa"/>
            <w:vAlign w:val="bottom"/>
            <w:tcBorders>
              <w:bottom w:val="single" w:sz="8" w:color="007CBA"/>
              <w:right w:val="single" w:sz="8" w:color="007CBA"/>
            </w:tcBorders>
            <w:shd w:val="clear" w:color="auto" w:fill="007CBA"/>
          </w:tcPr>
          <w:p>
            <w:pPr>
              <w:spacing w:after="0"/>
              <w:rPr>
                <w:sz w:val="21"/>
                <w:szCs w:val="21"/>
                <w:color w:val="auto"/>
              </w:rPr>
            </w:pPr>
          </w:p>
        </w:tc>
        <w:tc>
          <w:tcPr>
            <w:tcW w:w="400" w:type="dxa"/>
            <w:vAlign w:val="bottom"/>
            <w:tcBorders>
              <w:bottom w:val="single" w:sz="8" w:color="007CBA"/>
            </w:tcBorders>
            <w:shd w:val="clear" w:color="auto" w:fill="007CBA"/>
          </w:tcPr>
          <w:p>
            <w:pPr>
              <w:spacing w:after="0"/>
              <w:rPr>
                <w:sz w:val="21"/>
                <w:szCs w:val="21"/>
                <w:color w:val="auto"/>
              </w:rPr>
            </w:pPr>
          </w:p>
        </w:tc>
        <w:tc>
          <w:tcPr>
            <w:tcW w:w="1480" w:type="dxa"/>
            <w:vAlign w:val="bottom"/>
            <w:tcBorders>
              <w:bottom w:val="single" w:sz="8" w:color="007CBA"/>
              <w:right w:val="single" w:sz="8" w:color="007CBA"/>
            </w:tcBorders>
            <w:gridSpan w:val="2"/>
            <w:shd w:val="clear" w:color="auto" w:fill="007CBA"/>
          </w:tcPr>
          <w:p>
            <w:pPr>
              <w:jc w:val="right"/>
              <w:ind w:right="630"/>
              <w:spacing w:after="0"/>
              <w:rPr>
                <w:sz w:val="20"/>
                <w:szCs w:val="20"/>
                <w:color w:val="auto"/>
              </w:rPr>
            </w:pPr>
            <w:r>
              <w:rPr>
                <w:rFonts w:ascii="Calibri" w:cs="Calibri" w:eastAsia="Calibri" w:hAnsi="Calibri"/>
                <w:sz w:val="18"/>
                <w:szCs w:val="18"/>
                <w:b w:val="1"/>
                <w:bCs w:val="1"/>
                <w:color w:val="FFFFFF"/>
              </w:rPr>
              <w:t>2023</w:t>
            </w:r>
          </w:p>
        </w:tc>
        <w:tc>
          <w:tcPr>
            <w:tcW w:w="20" w:type="dxa"/>
            <w:vAlign w:val="bottom"/>
            <w:tcBorders>
              <w:bottom w:val="single" w:sz="8" w:color="007CBA"/>
            </w:tcBorders>
            <w:shd w:val="clear" w:color="auto" w:fill="007CBA"/>
          </w:tcPr>
          <w:p>
            <w:pPr>
              <w:spacing w:after="0"/>
              <w:rPr>
                <w:sz w:val="21"/>
                <w:szCs w:val="21"/>
                <w:color w:val="auto"/>
              </w:rPr>
            </w:pPr>
          </w:p>
        </w:tc>
        <w:tc>
          <w:tcPr>
            <w:tcW w:w="460" w:type="dxa"/>
            <w:vAlign w:val="bottom"/>
            <w:tcBorders>
              <w:bottom w:val="single" w:sz="8" w:color="007CBA"/>
              <w:right w:val="single" w:sz="8" w:color="007CBA"/>
            </w:tcBorders>
            <w:shd w:val="clear" w:color="auto" w:fill="007CBA"/>
          </w:tcPr>
          <w:p>
            <w:pPr>
              <w:spacing w:after="0"/>
              <w:rPr>
                <w:sz w:val="21"/>
                <w:szCs w:val="21"/>
                <w:color w:val="auto"/>
              </w:rPr>
            </w:pPr>
          </w:p>
        </w:tc>
        <w:tc>
          <w:tcPr>
            <w:tcW w:w="280" w:type="dxa"/>
            <w:vAlign w:val="bottom"/>
            <w:tcBorders>
              <w:bottom w:val="single" w:sz="8" w:color="007CBA"/>
            </w:tcBorders>
            <w:shd w:val="clear" w:color="auto" w:fill="007CBA"/>
          </w:tcPr>
          <w:p>
            <w:pPr>
              <w:spacing w:after="0"/>
              <w:rPr>
                <w:sz w:val="21"/>
                <w:szCs w:val="21"/>
                <w:color w:val="auto"/>
              </w:rPr>
            </w:pPr>
          </w:p>
        </w:tc>
        <w:tc>
          <w:tcPr>
            <w:tcW w:w="1100" w:type="dxa"/>
            <w:vAlign w:val="bottom"/>
            <w:tcBorders>
              <w:bottom w:val="single" w:sz="8" w:color="007CBA"/>
            </w:tcBorders>
            <w:shd w:val="clear" w:color="auto" w:fill="007CBA"/>
          </w:tcPr>
          <w:p>
            <w:pPr>
              <w:jc w:val="right"/>
              <w:ind w:right="630"/>
              <w:spacing w:after="0"/>
              <w:rPr>
                <w:sz w:val="20"/>
                <w:szCs w:val="20"/>
                <w:color w:val="auto"/>
              </w:rPr>
            </w:pPr>
            <w:r>
              <w:rPr>
                <w:rFonts w:ascii="Calibri" w:cs="Calibri" w:eastAsia="Calibri" w:hAnsi="Calibri"/>
                <w:sz w:val="18"/>
                <w:szCs w:val="18"/>
                <w:color w:val="FFFFFF"/>
                <w:w w:val="98"/>
              </w:rPr>
              <w:t>2022</w:t>
            </w:r>
          </w:p>
        </w:tc>
      </w:tr>
      <w:tr>
        <w:trPr>
          <w:trHeight w:val="215"/>
        </w:trPr>
        <w:tc>
          <w:tcPr>
            <w:tcW w:w="5580" w:type="dxa"/>
            <w:vAlign w:val="bottom"/>
          </w:tcPr>
          <w:p>
            <w:pPr>
              <w:ind w:left="120"/>
              <w:spacing w:after="0" w:line="215" w:lineRule="exact"/>
              <w:rPr>
                <w:sz w:val="20"/>
                <w:szCs w:val="20"/>
                <w:color w:val="auto"/>
              </w:rPr>
            </w:pPr>
            <w:r>
              <w:rPr>
                <w:rFonts w:ascii="Calibri" w:cs="Calibri" w:eastAsia="Calibri" w:hAnsi="Calibri"/>
                <w:sz w:val="18"/>
                <w:szCs w:val="18"/>
                <w:color w:val="auto"/>
              </w:rPr>
              <w:t>Net projected beneft obligaton at beginning of year</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Borders>
              <w:right w:val="single" w:sz="8" w:color="007CBA"/>
            </w:tcBorders>
          </w:tcPr>
          <w:p>
            <w:pPr>
              <w:spacing w:after="0"/>
              <w:rPr>
                <w:sz w:val="18"/>
                <w:szCs w:val="18"/>
                <w:color w:val="auto"/>
              </w:rPr>
            </w:pPr>
          </w:p>
        </w:tc>
        <w:tc>
          <w:tcPr>
            <w:tcW w:w="400" w:type="dxa"/>
            <w:vAlign w:val="bottom"/>
          </w:tcPr>
          <w:p>
            <w:pPr>
              <w:jc w:val="right"/>
              <w:ind w:right="10"/>
              <w:spacing w:after="0" w:line="215" w:lineRule="exact"/>
              <w:rPr>
                <w:sz w:val="20"/>
                <w:szCs w:val="20"/>
                <w:color w:val="auto"/>
              </w:rPr>
            </w:pPr>
            <w:r>
              <w:rPr>
                <w:rFonts w:ascii="Calibri" w:cs="Calibri" w:eastAsia="Calibri" w:hAnsi="Calibri"/>
                <w:sz w:val="18"/>
                <w:szCs w:val="18"/>
                <w:b w:val="1"/>
                <w:bCs w:val="1"/>
                <w:color w:val="auto"/>
              </w:rPr>
              <w:t>$</w:t>
            </w:r>
          </w:p>
        </w:tc>
        <w:tc>
          <w:tcPr>
            <w:tcW w:w="560" w:type="dxa"/>
            <w:vAlign w:val="bottom"/>
          </w:tcPr>
          <w:p>
            <w:pPr>
              <w:spacing w:after="0"/>
              <w:rPr>
                <w:sz w:val="18"/>
                <w:szCs w:val="18"/>
                <w:color w:val="auto"/>
              </w:rPr>
            </w:pPr>
          </w:p>
        </w:tc>
        <w:tc>
          <w:tcPr>
            <w:tcW w:w="9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857.6</w:t>
            </w:r>
          </w:p>
        </w:tc>
        <w:tc>
          <w:tcPr>
            <w:tcW w:w="20" w:type="dxa"/>
            <w:vAlign w:val="bottom"/>
          </w:tcPr>
          <w:p>
            <w:pPr>
              <w:spacing w:after="0"/>
              <w:rPr>
                <w:sz w:val="18"/>
                <w:szCs w:val="18"/>
                <w:color w:val="auto"/>
              </w:rPr>
            </w:pP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280" w:type="dxa"/>
            <w:vAlign w:val="bottom"/>
          </w:tcPr>
          <w:p>
            <w:pPr>
              <w:spacing w:after="0"/>
              <w:rPr>
                <w:sz w:val="18"/>
                <w:szCs w:val="18"/>
                <w:color w:val="auto"/>
              </w:rPr>
            </w:pPr>
          </w:p>
        </w:tc>
        <w:tc>
          <w:tcPr>
            <w:tcW w:w="11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1,135.5</w:t>
            </w:r>
          </w:p>
        </w:tc>
      </w:tr>
      <w:tr>
        <w:trPr>
          <w:trHeight w:val="28"/>
        </w:trPr>
        <w:tc>
          <w:tcPr>
            <w:tcW w:w="5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Borders>
              <w:right w:val="single" w:sz="8" w:color="007CBA"/>
            </w:tcBorders>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right w:val="single" w:sz="8" w:color="007CBA"/>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55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Service cost</w:t>
            </w:r>
          </w:p>
        </w:tc>
        <w:tc>
          <w:tcPr>
            <w:tcW w:w="400" w:type="dxa"/>
            <w:vAlign w:val="bottom"/>
            <w:tcBorders>
              <w:bottom w:val="single" w:sz="8" w:color="E5F1F8"/>
            </w:tcBorders>
            <w:shd w:val="clear" w:color="auto" w:fill="E5F1F8"/>
          </w:tcPr>
          <w:p>
            <w:pPr>
              <w:spacing w:after="0"/>
              <w:rPr>
                <w:sz w:val="19"/>
                <w:szCs w:val="19"/>
                <w:color w:val="auto"/>
              </w:rPr>
            </w:pPr>
          </w:p>
        </w:tc>
        <w:tc>
          <w:tcPr>
            <w:tcW w:w="1060" w:type="dxa"/>
            <w:vAlign w:val="bottom"/>
            <w:tcBorders>
              <w:bottom w:val="single" w:sz="8" w:color="E5F1F8"/>
              <w:right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007CBA"/>
            </w:tcBorders>
            <w:shd w:val="clear" w:color="auto" w:fill="E5F1F8"/>
          </w:tcPr>
          <w:p>
            <w:pPr>
              <w:spacing w:after="0"/>
              <w:rPr>
                <w:sz w:val="19"/>
                <w:szCs w:val="19"/>
                <w:color w:val="auto"/>
              </w:rPr>
            </w:pPr>
          </w:p>
        </w:tc>
        <w:tc>
          <w:tcPr>
            <w:tcW w:w="400" w:type="dxa"/>
            <w:vAlign w:val="bottom"/>
            <w:tcBorders>
              <w:bottom w:val="single" w:sz="8" w:color="E5F1F8"/>
            </w:tcBorders>
            <w:shd w:val="clear" w:color="auto" w:fill="E5F1F8"/>
          </w:tcPr>
          <w:p>
            <w:pPr>
              <w:spacing w:after="0"/>
              <w:rPr>
                <w:sz w:val="19"/>
                <w:szCs w:val="19"/>
                <w:color w:val="auto"/>
              </w:rPr>
            </w:pPr>
          </w:p>
        </w:tc>
        <w:tc>
          <w:tcPr>
            <w:tcW w:w="560" w:type="dxa"/>
            <w:vAlign w:val="bottom"/>
            <w:tcBorders>
              <w:bottom w:val="single" w:sz="8" w:color="E5F1F8"/>
              <w:right w:val="single" w:sz="8" w:color="E5F1F8"/>
            </w:tcBorders>
            <w:shd w:val="clear" w:color="auto" w:fill="E5F1F8"/>
          </w:tcPr>
          <w:p>
            <w:pPr>
              <w:spacing w:after="0"/>
              <w:rPr>
                <w:sz w:val="19"/>
                <w:szCs w:val="19"/>
                <w:color w:val="auto"/>
              </w:rPr>
            </w:pPr>
          </w:p>
        </w:tc>
        <w:tc>
          <w:tcPr>
            <w:tcW w:w="92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32.9</w:t>
            </w:r>
          </w:p>
        </w:tc>
        <w:tc>
          <w:tcPr>
            <w:tcW w:w="20" w:type="dxa"/>
            <w:vAlign w:val="bottom"/>
            <w:tcBorders>
              <w:bottom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E5F1F8"/>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spacing w:after="0"/>
              <w:rPr>
                <w:sz w:val="19"/>
                <w:szCs w:val="19"/>
                <w:color w:val="auto"/>
              </w:rPr>
            </w:pPr>
          </w:p>
        </w:tc>
        <w:tc>
          <w:tcPr>
            <w:tcW w:w="11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48.1</w:t>
            </w:r>
          </w:p>
        </w:tc>
      </w:tr>
      <w:tr>
        <w:trPr>
          <w:trHeight w:val="215"/>
        </w:trPr>
        <w:tc>
          <w:tcPr>
            <w:tcW w:w="5580" w:type="dxa"/>
            <w:vAlign w:val="bottom"/>
          </w:tcPr>
          <w:p>
            <w:pPr>
              <w:ind w:left="120"/>
              <w:spacing w:after="0" w:line="215" w:lineRule="exact"/>
              <w:rPr>
                <w:sz w:val="20"/>
                <w:szCs w:val="20"/>
                <w:color w:val="auto"/>
              </w:rPr>
            </w:pPr>
            <w:r>
              <w:rPr>
                <w:rFonts w:ascii="Calibri" w:cs="Calibri" w:eastAsia="Calibri" w:hAnsi="Calibri"/>
                <w:sz w:val="18"/>
                <w:szCs w:val="18"/>
                <w:color w:val="auto"/>
              </w:rPr>
              <w:t>Interest cost</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Borders>
              <w:right w:val="single" w:sz="8" w:color="007CBA"/>
            </w:tcBorders>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51.3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41.2</w:t>
            </w:r>
          </w:p>
        </w:tc>
      </w:tr>
      <w:tr>
        <w:trPr>
          <w:trHeight w:val="28"/>
        </w:trPr>
        <w:tc>
          <w:tcPr>
            <w:tcW w:w="5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Borders>
              <w:right w:val="single" w:sz="8" w:color="007CBA"/>
            </w:tcBorders>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Borders>
              <w:right w:val="single" w:sz="8" w:color="007CBA"/>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55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Actuarial loss (gain)</w:t>
            </w:r>
          </w:p>
        </w:tc>
        <w:tc>
          <w:tcPr>
            <w:tcW w:w="400" w:type="dxa"/>
            <w:vAlign w:val="bottom"/>
            <w:tcBorders>
              <w:bottom w:val="single" w:sz="8" w:color="E5F1F8"/>
            </w:tcBorders>
            <w:shd w:val="clear" w:color="auto" w:fill="E5F1F8"/>
          </w:tcPr>
          <w:p>
            <w:pPr>
              <w:spacing w:after="0"/>
              <w:rPr>
                <w:sz w:val="19"/>
                <w:szCs w:val="19"/>
                <w:color w:val="auto"/>
              </w:rPr>
            </w:pPr>
          </w:p>
        </w:tc>
        <w:tc>
          <w:tcPr>
            <w:tcW w:w="1060" w:type="dxa"/>
            <w:vAlign w:val="bottom"/>
            <w:tcBorders>
              <w:bottom w:val="single" w:sz="8" w:color="E5F1F8"/>
              <w:right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007CBA"/>
            </w:tcBorders>
            <w:shd w:val="clear" w:color="auto" w:fill="E5F1F8"/>
          </w:tcPr>
          <w:p>
            <w:pPr>
              <w:spacing w:after="0"/>
              <w:rPr>
                <w:sz w:val="19"/>
                <w:szCs w:val="19"/>
                <w:color w:val="auto"/>
              </w:rPr>
            </w:pPr>
          </w:p>
        </w:tc>
        <w:tc>
          <w:tcPr>
            <w:tcW w:w="400" w:type="dxa"/>
            <w:vAlign w:val="bottom"/>
            <w:tcBorders>
              <w:bottom w:val="single" w:sz="8" w:color="E5F1F8"/>
            </w:tcBorders>
            <w:shd w:val="clear" w:color="auto" w:fill="E5F1F8"/>
          </w:tcPr>
          <w:p>
            <w:pPr>
              <w:spacing w:after="0"/>
              <w:rPr>
                <w:sz w:val="19"/>
                <w:szCs w:val="19"/>
                <w:color w:val="auto"/>
              </w:rPr>
            </w:pPr>
          </w:p>
        </w:tc>
        <w:tc>
          <w:tcPr>
            <w:tcW w:w="560" w:type="dxa"/>
            <w:vAlign w:val="bottom"/>
            <w:tcBorders>
              <w:bottom w:val="single" w:sz="8" w:color="E5F1F8"/>
              <w:right w:val="single" w:sz="8" w:color="E5F1F8"/>
            </w:tcBorders>
            <w:shd w:val="clear" w:color="auto" w:fill="E5F1F8"/>
          </w:tcPr>
          <w:p>
            <w:pPr>
              <w:spacing w:after="0"/>
              <w:rPr>
                <w:sz w:val="19"/>
                <w:szCs w:val="19"/>
                <w:color w:val="auto"/>
              </w:rPr>
            </w:pPr>
          </w:p>
        </w:tc>
        <w:tc>
          <w:tcPr>
            <w:tcW w:w="92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72.6</w:t>
            </w:r>
          </w:p>
        </w:tc>
        <w:tc>
          <w:tcPr>
            <w:tcW w:w="20" w:type="dxa"/>
            <w:vAlign w:val="bottom"/>
            <w:tcBorders>
              <w:bottom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E5F1F8"/>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spacing w:after="0"/>
              <w:rPr>
                <w:sz w:val="19"/>
                <w:szCs w:val="19"/>
                <w:color w:val="auto"/>
              </w:rPr>
            </w:pPr>
          </w:p>
        </w:tc>
        <w:tc>
          <w:tcPr>
            <w:tcW w:w="11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(363.3 )</w:t>
            </w:r>
          </w:p>
        </w:tc>
      </w:tr>
      <w:tr>
        <w:trPr>
          <w:trHeight w:val="243"/>
        </w:trPr>
        <w:tc>
          <w:tcPr>
            <w:tcW w:w="5580" w:type="dxa"/>
            <w:vAlign w:val="bottom"/>
          </w:tcPr>
          <w:p>
            <w:pPr>
              <w:ind w:left="120"/>
              <w:spacing w:after="0" w:line="215" w:lineRule="exact"/>
              <w:rPr>
                <w:sz w:val="20"/>
                <w:szCs w:val="20"/>
                <w:color w:val="auto"/>
              </w:rPr>
            </w:pPr>
            <w:r>
              <w:rPr>
                <w:rFonts w:ascii="Calibri" w:cs="Calibri" w:eastAsia="Calibri" w:hAnsi="Calibri"/>
                <w:sz w:val="18"/>
                <w:szCs w:val="18"/>
                <w:color w:val="auto"/>
              </w:rPr>
              <w:t>Gross benefts paid</w:t>
            </w: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Borders>
              <w:right w:val="single" w:sz="8" w:color="007CBA"/>
            </w:tcBorders>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(45.2 )</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(52.0 )</w:t>
            </w:r>
          </w:p>
        </w:tc>
      </w:tr>
      <w:tr>
        <w:trPr>
          <w:trHeight w:val="248"/>
        </w:trPr>
        <w:tc>
          <w:tcPr>
            <w:tcW w:w="55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Plan amendments</w:t>
            </w:r>
          </w:p>
        </w:tc>
        <w:tc>
          <w:tcPr>
            <w:tcW w:w="400" w:type="dxa"/>
            <w:vAlign w:val="bottom"/>
            <w:tcBorders>
              <w:bottom w:val="single" w:sz="8" w:color="E5F1F8"/>
            </w:tcBorders>
            <w:shd w:val="clear" w:color="auto" w:fill="E5F1F8"/>
          </w:tcPr>
          <w:p>
            <w:pPr>
              <w:spacing w:after="0"/>
              <w:rPr>
                <w:sz w:val="21"/>
                <w:szCs w:val="21"/>
                <w:color w:val="auto"/>
              </w:rPr>
            </w:pPr>
          </w:p>
        </w:tc>
        <w:tc>
          <w:tcPr>
            <w:tcW w:w="1060" w:type="dxa"/>
            <w:vAlign w:val="bottom"/>
            <w:tcBorders>
              <w:bottom w:val="single" w:sz="8" w:color="E5F1F8"/>
              <w:right w:val="single" w:sz="8" w:color="E5F1F8"/>
            </w:tcBorders>
            <w:shd w:val="clear" w:color="auto" w:fill="E5F1F8"/>
          </w:tcPr>
          <w:p>
            <w:pPr>
              <w:spacing w:after="0"/>
              <w:rPr>
                <w:sz w:val="21"/>
                <w:szCs w:val="21"/>
                <w:color w:val="auto"/>
              </w:rPr>
            </w:pPr>
          </w:p>
        </w:tc>
        <w:tc>
          <w:tcPr>
            <w:tcW w:w="460" w:type="dxa"/>
            <w:vAlign w:val="bottom"/>
            <w:tcBorders>
              <w:bottom w:val="single" w:sz="8" w:color="E5F1F8"/>
              <w:right w:val="single" w:sz="8" w:color="E5F1F8"/>
            </w:tcBorders>
            <w:shd w:val="clear" w:color="auto" w:fill="E5F1F8"/>
          </w:tcPr>
          <w:p>
            <w:pPr>
              <w:spacing w:after="0"/>
              <w:rPr>
                <w:sz w:val="21"/>
                <w:szCs w:val="21"/>
                <w:color w:val="auto"/>
              </w:rPr>
            </w:pPr>
          </w:p>
        </w:tc>
        <w:tc>
          <w:tcPr>
            <w:tcW w:w="400" w:type="dxa"/>
            <w:vAlign w:val="bottom"/>
            <w:tcBorders>
              <w:bottom w:val="single" w:sz="8" w:color="E5F1F8"/>
            </w:tcBorders>
            <w:shd w:val="clear" w:color="auto" w:fill="E5F1F8"/>
          </w:tcPr>
          <w:p>
            <w:pPr>
              <w:spacing w:after="0"/>
              <w:rPr>
                <w:sz w:val="21"/>
                <w:szCs w:val="21"/>
                <w:color w:val="auto"/>
              </w:rPr>
            </w:pPr>
          </w:p>
        </w:tc>
        <w:tc>
          <w:tcPr>
            <w:tcW w:w="560" w:type="dxa"/>
            <w:vAlign w:val="bottom"/>
            <w:tcBorders>
              <w:bottom w:val="single" w:sz="8" w:color="E5F1F8"/>
              <w:right w:val="single" w:sz="8" w:color="E5F1F8"/>
            </w:tcBorders>
            <w:shd w:val="clear" w:color="auto" w:fill="E5F1F8"/>
          </w:tcPr>
          <w:p>
            <w:pPr>
              <w:spacing w:after="0"/>
              <w:rPr>
                <w:sz w:val="21"/>
                <w:szCs w:val="21"/>
                <w:color w:val="auto"/>
              </w:rPr>
            </w:pPr>
          </w:p>
        </w:tc>
        <w:tc>
          <w:tcPr>
            <w:tcW w:w="940" w:type="dxa"/>
            <w:vAlign w:val="bottom"/>
            <w:tcBorders>
              <w:bottom w:val="single" w:sz="8" w:color="E5F1F8"/>
            </w:tcBorders>
            <w:gridSpan w:val="2"/>
            <w:shd w:val="clear" w:color="auto" w:fill="E5F1F8"/>
          </w:tcPr>
          <w:p>
            <w:pPr>
              <w:jc w:val="right"/>
              <w:ind w:right="14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bottom w:val="single" w:sz="8" w:color="E5F1F8"/>
              <w:right w:val="single" w:sz="8" w:color="E5F1F8"/>
            </w:tcBorders>
            <w:shd w:val="clear" w:color="auto" w:fill="E5F1F8"/>
          </w:tcPr>
          <w:p>
            <w:pPr>
              <w:spacing w:after="0"/>
              <w:rPr>
                <w:sz w:val="21"/>
                <w:szCs w:val="21"/>
                <w:color w:val="auto"/>
              </w:rPr>
            </w:pPr>
          </w:p>
        </w:tc>
        <w:tc>
          <w:tcPr>
            <w:tcW w:w="280" w:type="dxa"/>
            <w:vAlign w:val="bottom"/>
            <w:tcBorders>
              <w:bottom w:val="single" w:sz="8" w:color="E5F1F8"/>
            </w:tcBorders>
            <w:shd w:val="clear" w:color="auto" w:fill="E5F1F8"/>
          </w:tcPr>
          <w:p>
            <w:pPr>
              <w:spacing w:after="0"/>
              <w:rPr>
                <w:sz w:val="21"/>
                <w:szCs w:val="21"/>
                <w:color w:val="auto"/>
              </w:rPr>
            </w:pPr>
          </w:p>
        </w:tc>
        <w:tc>
          <w:tcPr>
            <w:tcW w:w="11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48.1</w:t>
            </w:r>
          </w:p>
        </w:tc>
      </w:tr>
      <w:tr>
        <w:trPr>
          <w:trHeight w:val="208"/>
        </w:trPr>
        <w:tc>
          <w:tcPr>
            <w:tcW w:w="558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Net projected beneft obligaton at end of year</w:t>
            </w: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ind w:right="10"/>
              <w:spacing w:after="0" w:line="208" w:lineRule="exact"/>
              <w:rPr>
                <w:sz w:val="20"/>
                <w:szCs w:val="20"/>
                <w:color w:val="auto"/>
              </w:rPr>
            </w:pPr>
            <w:r>
              <w:rPr>
                <w:rFonts w:ascii="Calibri" w:cs="Calibri" w:eastAsia="Calibri" w:hAnsi="Calibri"/>
                <w:sz w:val="18"/>
                <w:szCs w:val="18"/>
                <w:b w:val="1"/>
                <w:bCs w:val="1"/>
                <w:color w:val="auto"/>
              </w:rPr>
              <w:t>$</w:t>
            </w:r>
          </w:p>
        </w:tc>
        <w:tc>
          <w:tcPr>
            <w:tcW w:w="5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969.2</w:t>
            </w:r>
          </w:p>
        </w:tc>
        <w:tc>
          <w:tcPr>
            <w:tcW w:w="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857.6</w:t>
            </w:r>
          </w:p>
        </w:tc>
      </w:tr>
      <w:tr>
        <w:trPr>
          <w:trHeight w:val="28"/>
        </w:trPr>
        <w:tc>
          <w:tcPr>
            <w:tcW w:w="5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-2399665</wp:posOffset>
            </wp:positionV>
            <wp:extent cx="34886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-2094865</wp:posOffset>
            </wp:positionV>
            <wp:extent cx="33655" cy="3683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-2094865</wp:posOffset>
            </wp:positionV>
            <wp:extent cx="34290" cy="3683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5349875</wp:posOffset>
            </wp:positionH>
            <wp:positionV relativeFrom="paragraph">
              <wp:posOffset>-2094865</wp:posOffset>
            </wp:positionV>
            <wp:extent cx="33655" cy="3683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6233160</wp:posOffset>
            </wp:positionH>
            <wp:positionV relativeFrom="paragraph">
              <wp:posOffset>-2094865</wp:posOffset>
            </wp:positionV>
            <wp:extent cx="33655" cy="3683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-354965</wp:posOffset>
            </wp:positionV>
            <wp:extent cx="33655" cy="3683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-354965</wp:posOffset>
            </wp:positionV>
            <wp:extent cx="33655" cy="3683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largest component of the actuarial loss in 2023 was the lower discount rate compared with 2022. The actuarial gain in 2022 was primarily atributable to a higher discount rate compared with 2021.</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change in plan assets, funded status and amounts recognized on the Company’s consolidated balance sheets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00" w:type="dxa"/>
            <w:vAlign w:val="bottom"/>
            <w:tcBorders>
              <w:right w:val="single" w:sz="8" w:color="007CBA"/>
            </w:tcBorders>
            <w:gridSpan w:val="2"/>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540" w:type="dxa"/>
            <w:vAlign w:val="bottom"/>
            <w:shd w:val="clear" w:color="auto" w:fill="007CBA"/>
          </w:tcPr>
          <w:p>
            <w:pPr>
              <w:spacing w:after="0"/>
              <w:rPr>
                <w:sz w:val="20"/>
                <w:szCs w:val="20"/>
                <w:color w:val="auto"/>
              </w:rPr>
            </w:pPr>
          </w:p>
        </w:tc>
        <w:tc>
          <w:tcPr>
            <w:tcW w:w="1340" w:type="dxa"/>
            <w:vAlign w:val="bottom"/>
            <w:tcBorders>
              <w:right w:val="single" w:sz="8" w:color="007CBA"/>
            </w:tcBorders>
            <w:shd w:val="clear" w:color="auto" w:fill="007CBA"/>
          </w:tcPr>
          <w:p>
            <w:pPr>
              <w:spacing w:after="0"/>
              <w:rPr>
                <w:sz w:val="20"/>
                <w:szCs w:val="20"/>
                <w:color w:val="auto"/>
              </w:rPr>
            </w:pPr>
          </w:p>
        </w:tc>
        <w:tc>
          <w:tcPr>
            <w:tcW w:w="540" w:type="dxa"/>
            <w:vAlign w:val="bottom"/>
            <w:shd w:val="clear" w:color="auto" w:fill="007CBA"/>
          </w:tcPr>
          <w:p>
            <w:pPr>
              <w:spacing w:after="0"/>
              <w:rPr>
                <w:sz w:val="20"/>
                <w:szCs w:val="20"/>
                <w:color w:val="auto"/>
              </w:rPr>
            </w:pPr>
          </w:p>
        </w:tc>
        <w:tc>
          <w:tcPr>
            <w:tcW w:w="1320" w:type="dxa"/>
            <w:vAlign w:val="bottom"/>
            <w:shd w:val="clear" w:color="auto" w:fill="007CBA"/>
          </w:tcPr>
          <w:p>
            <w:pPr>
              <w:spacing w:after="0"/>
              <w:rPr>
                <w:sz w:val="20"/>
                <w:szCs w:val="20"/>
                <w:color w:val="auto"/>
              </w:rPr>
            </w:pPr>
          </w:p>
        </w:tc>
      </w:tr>
      <w:tr>
        <w:trPr>
          <w:trHeight w:val="231"/>
        </w:trPr>
        <w:tc>
          <w:tcPr>
            <w:tcW w:w="7500" w:type="dxa"/>
            <w:vAlign w:val="bottom"/>
            <w:tcBorders>
              <w:bottom w:val="single" w:sz="8" w:color="007CBA"/>
              <w:right w:val="single" w:sz="8" w:color="007CBA"/>
            </w:tcBorders>
            <w:gridSpan w:val="2"/>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40" w:type="dxa"/>
            <w:vAlign w:val="bottom"/>
            <w:tcBorders>
              <w:bottom w:val="single" w:sz="8" w:color="007CBA"/>
            </w:tcBorders>
            <w:shd w:val="clear" w:color="auto" w:fill="007CBA"/>
          </w:tcPr>
          <w:p>
            <w:pPr>
              <w:spacing w:after="0"/>
              <w:rPr>
                <w:sz w:val="20"/>
                <w:szCs w:val="20"/>
                <w:color w:val="auto"/>
              </w:rPr>
            </w:pPr>
          </w:p>
        </w:tc>
        <w:tc>
          <w:tcPr>
            <w:tcW w:w="1340" w:type="dxa"/>
            <w:vAlign w:val="bottom"/>
            <w:tcBorders>
              <w:bottom w:val="single" w:sz="8" w:color="007CBA"/>
              <w:right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b w:val="1"/>
                <w:bCs w:val="1"/>
                <w:color w:val="FFFFFF"/>
              </w:rPr>
              <w:t>2023</w:t>
            </w:r>
          </w:p>
        </w:tc>
        <w:tc>
          <w:tcPr>
            <w:tcW w:w="540" w:type="dxa"/>
            <w:vAlign w:val="bottom"/>
            <w:tcBorders>
              <w:bottom w:val="single" w:sz="8" w:color="007CBA"/>
            </w:tcBorders>
            <w:shd w:val="clear" w:color="auto" w:fill="007CBA"/>
          </w:tcPr>
          <w:p>
            <w:pPr>
              <w:spacing w:after="0"/>
              <w:rPr>
                <w:sz w:val="20"/>
                <w:szCs w:val="20"/>
                <w:color w:val="auto"/>
              </w:rPr>
            </w:pPr>
          </w:p>
        </w:tc>
        <w:tc>
          <w:tcPr>
            <w:tcW w:w="1320" w:type="dxa"/>
            <w:vAlign w:val="bottom"/>
            <w:tcBorders>
              <w:bottom w:val="single" w:sz="8" w:color="007CBA"/>
            </w:tcBorders>
            <w:shd w:val="clear" w:color="auto" w:fill="007CBA"/>
          </w:tcPr>
          <w:p>
            <w:pPr>
              <w:jc w:val="right"/>
              <w:ind w:right="630"/>
              <w:spacing w:after="0" w:line="215" w:lineRule="exact"/>
              <w:rPr>
                <w:sz w:val="20"/>
                <w:szCs w:val="20"/>
                <w:color w:val="auto"/>
              </w:rPr>
            </w:pPr>
            <w:r>
              <w:rPr>
                <w:rFonts w:ascii="Calibri" w:cs="Calibri" w:eastAsia="Calibri" w:hAnsi="Calibri"/>
                <w:sz w:val="18"/>
                <w:szCs w:val="18"/>
                <w:color w:val="FFFFFF"/>
              </w:rPr>
              <w:t>2022</w:t>
            </w:r>
          </w:p>
        </w:tc>
      </w:tr>
      <w:tr>
        <w:trPr>
          <w:trHeight w:val="215"/>
        </w:trPr>
        <w:tc>
          <w:tcPr>
            <w:tcW w:w="7500" w:type="dxa"/>
            <w:vAlign w:val="bottom"/>
            <w:tcBorders>
              <w:right w:val="single" w:sz="8" w:color="007CBA"/>
            </w:tcBorders>
            <w:gridSpan w:val="2"/>
          </w:tcPr>
          <w:p>
            <w:pPr>
              <w:ind w:left="120"/>
              <w:spacing w:after="0" w:line="215" w:lineRule="exact"/>
              <w:rPr>
                <w:sz w:val="20"/>
                <w:szCs w:val="20"/>
                <w:color w:val="auto"/>
              </w:rPr>
            </w:pPr>
            <w:r>
              <w:rPr>
                <w:rFonts w:ascii="Calibri" w:cs="Calibri" w:eastAsia="Calibri" w:hAnsi="Calibri"/>
                <w:sz w:val="18"/>
                <w:szCs w:val="18"/>
                <w:color w:val="auto"/>
              </w:rPr>
              <w:t>Fair value of plan assets at beginning of year</w:t>
            </w:r>
          </w:p>
        </w:tc>
        <w:tc>
          <w:tcPr>
            <w:tcW w:w="540" w:type="dxa"/>
            <w:vAlign w:val="bottom"/>
          </w:tcPr>
          <w:p>
            <w:pPr>
              <w:jc w:val="right"/>
              <w:ind w:right="15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1,067.1</w:t>
            </w:r>
          </w:p>
        </w:tc>
        <w:tc>
          <w:tcPr>
            <w:tcW w:w="5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1,200.3</w:t>
            </w:r>
          </w:p>
        </w:tc>
      </w:tr>
      <w:tr>
        <w:trPr>
          <w:trHeight w:val="28"/>
        </w:trPr>
        <w:tc>
          <w:tcPr>
            <w:tcW w:w="7460" w:type="dxa"/>
            <w:vAlign w:val="bottom"/>
          </w:tcPr>
          <w:p>
            <w:pPr>
              <w:spacing w:after="0"/>
              <w:rPr>
                <w:sz w:val="2"/>
                <w:szCs w:val="2"/>
                <w:color w:val="auto"/>
              </w:rPr>
            </w:pPr>
          </w:p>
        </w:tc>
        <w:tc>
          <w:tcPr>
            <w:tcW w:w="40" w:type="dxa"/>
            <w:vAlign w:val="bottom"/>
            <w:tcBorders>
              <w:right w:val="single" w:sz="8" w:color="007CBA"/>
            </w:tcBorders>
          </w:tcPr>
          <w:p>
            <w:pPr>
              <w:spacing w:after="0"/>
              <w:rPr>
                <w:sz w:val="2"/>
                <w:szCs w:val="2"/>
                <w:color w:val="auto"/>
              </w:rPr>
            </w:pPr>
          </w:p>
        </w:tc>
        <w:tc>
          <w:tcPr>
            <w:tcW w:w="54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7500" w:type="dxa"/>
            <w:vAlign w:val="bottom"/>
            <w:tcBorders>
              <w:bottom w:val="single" w:sz="8" w:color="E5F1F8"/>
              <w:right w:val="single" w:sz="8" w:color="007CBA"/>
            </w:tcBorders>
            <w:gridSpan w:val="2"/>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Actual return on plan assets, net</w:t>
            </w:r>
          </w:p>
        </w:tc>
        <w:tc>
          <w:tcPr>
            <w:tcW w:w="54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123.1</w:t>
            </w:r>
          </w:p>
        </w:tc>
        <w:tc>
          <w:tcPr>
            <w:tcW w:w="540" w:type="dxa"/>
            <w:vAlign w:val="bottom"/>
            <w:tcBorders>
              <w:bottom w:val="single" w:sz="8" w:color="E5F1F8"/>
            </w:tcBorders>
            <w:shd w:val="clear" w:color="auto" w:fill="E5F1F8"/>
          </w:tcPr>
          <w:p>
            <w:pPr>
              <w:spacing w:after="0"/>
              <w:rPr>
                <w:sz w:val="19"/>
                <w:szCs w:val="19"/>
                <w:color w:val="auto"/>
              </w:rPr>
            </w:pPr>
          </w:p>
        </w:tc>
        <w:tc>
          <w:tcPr>
            <w:tcW w:w="1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(171.4 )</w:t>
            </w:r>
          </w:p>
        </w:tc>
      </w:tr>
      <w:tr>
        <w:trPr>
          <w:trHeight w:val="243"/>
        </w:trPr>
        <w:tc>
          <w:tcPr>
            <w:tcW w:w="7500" w:type="dxa"/>
            <w:vAlign w:val="bottom"/>
            <w:tcBorders>
              <w:right w:val="single" w:sz="8" w:color="007CBA"/>
            </w:tcBorders>
            <w:gridSpan w:val="2"/>
          </w:tcPr>
          <w:p>
            <w:pPr>
              <w:ind w:left="120"/>
              <w:spacing w:after="0" w:line="215" w:lineRule="exact"/>
              <w:rPr>
                <w:sz w:val="20"/>
                <w:szCs w:val="20"/>
                <w:color w:val="auto"/>
              </w:rPr>
            </w:pPr>
            <w:r>
              <w:rPr>
                <w:rFonts w:ascii="Calibri" w:cs="Calibri" w:eastAsia="Calibri" w:hAnsi="Calibri"/>
                <w:sz w:val="18"/>
                <w:szCs w:val="18"/>
                <w:color w:val="auto"/>
              </w:rPr>
              <w:t>Employer contributons</w:t>
            </w:r>
          </w:p>
        </w:tc>
        <w:tc>
          <w:tcPr>
            <w:tcW w:w="540" w:type="dxa"/>
            <w:vAlign w:val="bottom"/>
          </w:tcPr>
          <w:p>
            <w:pPr>
              <w:spacing w:after="0"/>
              <w:rPr>
                <w:sz w:val="21"/>
                <w:szCs w:val="21"/>
                <w:color w:val="auto"/>
              </w:rPr>
            </w:pPr>
          </w:p>
        </w:tc>
        <w:tc>
          <w:tcPr>
            <w:tcW w:w="13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31.8</w:t>
            </w:r>
          </w:p>
        </w:tc>
        <w:tc>
          <w:tcPr>
            <w:tcW w:w="540" w:type="dxa"/>
            <w:vAlign w:val="bottom"/>
          </w:tcPr>
          <w:p>
            <w:pPr>
              <w:spacing w:after="0"/>
              <w:rPr>
                <w:sz w:val="21"/>
                <w:szCs w:val="21"/>
                <w:color w:val="auto"/>
              </w:rPr>
            </w:pP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90.2</w:t>
            </w:r>
          </w:p>
        </w:tc>
      </w:tr>
      <w:tr>
        <w:trPr>
          <w:trHeight w:val="248"/>
        </w:trPr>
        <w:tc>
          <w:tcPr>
            <w:tcW w:w="7500" w:type="dxa"/>
            <w:vAlign w:val="bottom"/>
            <w:tcBorders>
              <w:bottom w:val="single" w:sz="8" w:color="E5F1F8"/>
              <w:right w:val="single" w:sz="8" w:color="E5F1F8"/>
            </w:tcBorders>
            <w:gridSpan w:val="2"/>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Gross benefts paid</w:t>
            </w:r>
          </w:p>
        </w:tc>
        <w:tc>
          <w:tcPr>
            <w:tcW w:w="540" w:type="dxa"/>
            <w:vAlign w:val="bottom"/>
            <w:tcBorders>
              <w:bottom w:val="single" w:sz="8" w:color="E5F1F8"/>
            </w:tcBorders>
            <w:shd w:val="clear" w:color="auto" w:fill="E5F1F8"/>
          </w:tcPr>
          <w:p>
            <w:pPr>
              <w:spacing w:after="0"/>
              <w:rPr>
                <w:sz w:val="21"/>
                <w:szCs w:val="21"/>
                <w:color w:val="auto"/>
              </w:rPr>
            </w:pPr>
          </w:p>
        </w:tc>
        <w:tc>
          <w:tcPr>
            <w:tcW w:w="13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(45.2 )</w:t>
            </w:r>
          </w:p>
        </w:tc>
        <w:tc>
          <w:tcPr>
            <w:tcW w:w="540" w:type="dxa"/>
            <w:vAlign w:val="bottom"/>
            <w:tcBorders>
              <w:bottom w:val="single" w:sz="8" w:color="E5F1F8"/>
            </w:tcBorders>
            <w:shd w:val="clear" w:color="auto" w:fill="E5F1F8"/>
          </w:tcPr>
          <w:p>
            <w:pPr>
              <w:spacing w:after="0"/>
              <w:rPr>
                <w:sz w:val="21"/>
                <w:szCs w:val="21"/>
                <w:color w:val="auto"/>
              </w:rPr>
            </w:pPr>
          </w:p>
        </w:tc>
        <w:tc>
          <w:tcPr>
            <w:tcW w:w="1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(52.0 )</w:t>
            </w:r>
          </w:p>
        </w:tc>
      </w:tr>
      <w:tr>
        <w:trPr>
          <w:trHeight w:val="208"/>
        </w:trPr>
        <w:tc>
          <w:tcPr>
            <w:tcW w:w="7500" w:type="dxa"/>
            <w:vAlign w:val="bottom"/>
            <w:tcBorders>
              <w:top w:val="single" w:sz="8" w:color="auto"/>
            </w:tcBorders>
            <w:gridSpan w:val="2"/>
          </w:tcPr>
          <w:p>
            <w:pPr>
              <w:ind w:left="120"/>
              <w:spacing w:after="0" w:line="208" w:lineRule="exact"/>
              <w:rPr>
                <w:sz w:val="20"/>
                <w:szCs w:val="20"/>
                <w:color w:val="auto"/>
              </w:rPr>
            </w:pPr>
            <w:r>
              <w:rPr>
                <w:rFonts w:ascii="Calibri" w:cs="Calibri" w:eastAsia="Calibri" w:hAnsi="Calibri"/>
                <w:sz w:val="18"/>
                <w:szCs w:val="18"/>
                <w:color w:val="auto"/>
              </w:rPr>
              <w:t>Fair value of plan assets at end of year</w:t>
            </w:r>
          </w:p>
        </w:tc>
        <w:tc>
          <w:tcPr>
            <w:tcW w:w="540" w:type="dxa"/>
            <w:vAlign w:val="bottom"/>
            <w:tcBorders>
              <w:top w:val="single" w:sz="8" w:color="auto"/>
            </w:tcBorders>
          </w:tcPr>
          <w:p>
            <w:pPr>
              <w:jc w:val="right"/>
              <w:ind w:right="150"/>
              <w:spacing w:after="0" w:line="208"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1,176.8</w:t>
            </w:r>
          </w:p>
        </w:tc>
        <w:tc>
          <w:tcPr>
            <w:tcW w:w="540" w:type="dxa"/>
            <w:vAlign w:val="bottom"/>
            <w:tcBorders>
              <w:top w:val="single" w:sz="8" w:color="auto"/>
            </w:tcBorders>
          </w:tcPr>
          <w:p>
            <w:pPr>
              <w:jc w:val="right"/>
              <w:ind w:right="150"/>
              <w:spacing w:after="0" w:line="208" w:lineRule="exact"/>
              <w:rPr>
                <w:sz w:val="20"/>
                <w:szCs w:val="20"/>
                <w:color w:val="auto"/>
              </w:rPr>
            </w:pPr>
            <w:r>
              <w:rPr>
                <w:rFonts w:ascii="Calibri" w:cs="Calibri" w:eastAsia="Calibri" w:hAnsi="Calibri"/>
                <w:sz w:val="18"/>
                <w:szCs w:val="18"/>
                <w:color w:val="auto"/>
              </w:rPr>
              <w:t>$</w:t>
            </w:r>
          </w:p>
        </w:tc>
        <w:tc>
          <w:tcPr>
            <w:tcW w:w="13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1,067.1</w:t>
            </w:r>
          </w:p>
        </w:tc>
      </w:tr>
      <w:tr>
        <w:trPr>
          <w:trHeight w:val="28"/>
        </w:trPr>
        <w:tc>
          <w:tcPr>
            <w:tcW w:w="7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7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5"/>
        </w:trPr>
        <w:tc>
          <w:tcPr>
            <w:tcW w:w="746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December 31</w:t>
            </w:r>
          </w:p>
        </w:tc>
        <w:tc>
          <w:tcPr>
            <w:tcW w:w="40" w:type="dxa"/>
            <w:vAlign w:val="bottom"/>
            <w:tcBorders>
              <w:right w:val="single" w:sz="8" w:color="007CBA"/>
            </w:tcBorders>
            <w:shd w:val="clear" w:color="auto" w:fill="007CBA"/>
          </w:tcPr>
          <w:p>
            <w:pPr>
              <w:spacing w:after="0"/>
              <w:rPr>
                <w:sz w:val="18"/>
                <w:szCs w:val="18"/>
                <w:color w:val="auto"/>
              </w:rPr>
            </w:pPr>
          </w:p>
        </w:tc>
        <w:tc>
          <w:tcPr>
            <w:tcW w:w="540" w:type="dxa"/>
            <w:vAlign w:val="bottom"/>
            <w:shd w:val="clear" w:color="auto" w:fill="007CBA"/>
          </w:tcPr>
          <w:p>
            <w:pPr>
              <w:spacing w:after="0"/>
              <w:rPr>
                <w:sz w:val="18"/>
                <w:szCs w:val="18"/>
                <w:color w:val="auto"/>
              </w:rPr>
            </w:pPr>
          </w:p>
        </w:tc>
        <w:tc>
          <w:tcPr>
            <w:tcW w:w="1340" w:type="dxa"/>
            <w:vAlign w:val="bottom"/>
            <w:tcBorders>
              <w:right w:val="single" w:sz="8" w:color="007CBA"/>
            </w:tcBorders>
            <w:shd w:val="clear" w:color="auto" w:fill="007CBA"/>
          </w:tcPr>
          <w:p>
            <w:pPr>
              <w:spacing w:after="0"/>
              <w:rPr>
                <w:sz w:val="18"/>
                <w:szCs w:val="18"/>
                <w:color w:val="auto"/>
              </w:rPr>
            </w:pPr>
          </w:p>
        </w:tc>
        <w:tc>
          <w:tcPr>
            <w:tcW w:w="540" w:type="dxa"/>
            <w:vAlign w:val="bottom"/>
            <w:shd w:val="clear" w:color="auto" w:fill="007CBA"/>
          </w:tcPr>
          <w:p>
            <w:pPr>
              <w:spacing w:after="0"/>
              <w:rPr>
                <w:sz w:val="18"/>
                <w:szCs w:val="18"/>
                <w:color w:val="auto"/>
              </w:rPr>
            </w:pPr>
          </w:p>
        </w:tc>
        <w:tc>
          <w:tcPr>
            <w:tcW w:w="1320" w:type="dxa"/>
            <w:vAlign w:val="bottom"/>
            <w:shd w:val="clear" w:color="auto" w:fill="007CBA"/>
          </w:tcPr>
          <w:p>
            <w:pPr>
              <w:spacing w:after="0"/>
              <w:rPr>
                <w:sz w:val="18"/>
                <w:szCs w:val="18"/>
                <w:color w:val="auto"/>
              </w:rPr>
            </w:pPr>
          </w:p>
        </w:tc>
      </w:tr>
      <w:tr>
        <w:trPr>
          <w:trHeight w:val="251"/>
        </w:trPr>
        <w:tc>
          <w:tcPr>
            <w:tcW w:w="746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40" w:type="dxa"/>
            <w:vAlign w:val="bottom"/>
            <w:tcBorders>
              <w:bottom w:val="single" w:sz="8" w:color="007CBA"/>
              <w:right w:val="single" w:sz="8" w:color="007CBA"/>
            </w:tcBorders>
            <w:shd w:val="clear" w:color="auto" w:fill="007CBA"/>
          </w:tcPr>
          <w:p>
            <w:pPr>
              <w:spacing w:after="0"/>
              <w:rPr>
                <w:sz w:val="21"/>
                <w:szCs w:val="21"/>
                <w:color w:val="auto"/>
              </w:rPr>
            </w:pPr>
          </w:p>
        </w:tc>
        <w:tc>
          <w:tcPr>
            <w:tcW w:w="540" w:type="dxa"/>
            <w:vAlign w:val="bottom"/>
            <w:tcBorders>
              <w:bottom w:val="single" w:sz="8" w:color="007CBA"/>
            </w:tcBorders>
            <w:shd w:val="clear" w:color="auto" w:fill="007CBA"/>
          </w:tcPr>
          <w:p>
            <w:pPr>
              <w:spacing w:after="0"/>
              <w:rPr>
                <w:sz w:val="21"/>
                <w:szCs w:val="21"/>
                <w:color w:val="auto"/>
              </w:rPr>
            </w:pPr>
          </w:p>
        </w:tc>
        <w:tc>
          <w:tcPr>
            <w:tcW w:w="1340" w:type="dxa"/>
            <w:vAlign w:val="bottom"/>
            <w:tcBorders>
              <w:bottom w:val="single" w:sz="8" w:color="007CBA"/>
              <w:right w:val="single" w:sz="8" w:color="007CBA"/>
            </w:tcBorders>
            <w:shd w:val="clear" w:color="auto" w:fill="007CBA"/>
          </w:tcPr>
          <w:p>
            <w:pPr>
              <w:jc w:val="right"/>
              <w:ind w:right="650"/>
              <w:spacing w:after="0"/>
              <w:rPr>
                <w:sz w:val="20"/>
                <w:szCs w:val="20"/>
                <w:color w:val="auto"/>
              </w:rPr>
            </w:pPr>
            <w:r>
              <w:rPr>
                <w:rFonts w:ascii="Calibri" w:cs="Calibri" w:eastAsia="Calibri" w:hAnsi="Calibri"/>
                <w:sz w:val="18"/>
                <w:szCs w:val="18"/>
                <w:b w:val="1"/>
                <w:bCs w:val="1"/>
                <w:color w:val="FFFFFF"/>
              </w:rPr>
              <w:t>2023</w:t>
            </w:r>
          </w:p>
        </w:tc>
        <w:tc>
          <w:tcPr>
            <w:tcW w:w="540" w:type="dxa"/>
            <w:vAlign w:val="bottom"/>
            <w:tcBorders>
              <w:bottom w:val="single" w:sz="8" w:color="007CBA"/>
            </w:tcBorders>
            <w:shd w:val="clear" w:color="auto" w:fill="007CBA"/>
          </w:tcPr>
          <w:p>
            <w:pPr>
              <w:spacing w:after="0"/>
              <w:rPr>
                <w:sz w:val="21"/>
                <w:szCs w:val="21"/>
                <w:color w:val="auto"/>
              </w:rPr>
            </w:pPr>
          </w:p>
        </w:tc>
        <w:tc>
          <w:tcPr>
            <w:tcW w:w="1320" w:type="dxa"/>
            <w:vAlign w:val="bottom"/>
            <w:tcBorders>
              <w:bottom w:val="single" w:sz="8" w:color="007CBA"/>
            </w:tcBorders>
            <w:shd w:val="clear" w:color="auto" w:fill="007CBA"/>
          </w:tcPr>
          <w:p>
            <w:pPr>
              <w:jc w:val="right"/>
              <w:ind w:right="610"/>
              <w:spacing w:after="0"/>
              <w:rPr>
                <w:sz w:val="20"/>
                <w:szCs w:val="20"/>
                <w:color w:val="auto"/>
              </w:rPr>
            </w:pPr>
            <w:r>
              <w:rPr>
                <w:rFonts w:ascii="Calibri" w:cs="Calibri" w:eastAsia="Calibri" w:hAnsi="Calibri"/>
                <w:sz w:val="18"/>
                <w:szCs w:val="18"/>
                <w:color w:val="FFFFFF"/>
              </w:rPr>
              <w:t>2022</w:t>
            </w:r>
          </w:p>
        </w:tc>
      </w:tr>
      <w:tr>
        <w:trPr>
          <w:trHeight w:val="243"/>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Funded status of the plan at end of year</w:t>
            </w:r>
          </w:p>
        </w:tc>
        <w:tc>
          <w:tcPr>
            <w:tcW w:w="40" w:type="dxa"/>
            <w:vAlign w:val="bottom"/>
          </w:tcPr>
          <w:p>
            <w:pPr>
              <w:spacing w:after="0"/>
              <w:rPr>
                <w:sz w:val="21"/>
                <w:szCs w:val="21"/>
                <w:color w:val="auto"/>
              </w:rPr>
            </w:pPr>
          </w:p>
        </w:tc>
        <w:tc>
          <w:tcPr>
            <w:tcW w:w="54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207.6</w:t>
            </w:r>
          </w:p>
        </w:tc>
        <w:tc>
          <w:tcPr>
            <w:tcW w:w="5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209.5</w:t>
            </w:r>
          </w:p>
        </w:tc>
      </w:tr>
      <w:tr>
        <w:trPr>
          <w:trHeight w:val="223"/>
        </w:trPr>
        <w:tc>
          <w:tcPr>
            <w:tcW w:w="7500" w:type="dxa"/>
            <w:vAlign w:val="bottom"/>
            <w:tcBorders>
              <w:bottom w:val="single" w:sz="8" w:color="E5F1F8"/>
              <w:right w:val="single" w:sz="8" w:color="E5F1F8"/>
            </w:tcBorders>
            <w:gridSpan w:val="2"/>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Accrued beneft credit</w:t>
            </w:r>
          </w:p>
        </w:tc>
        <w:tc>
          <w:tcPr>
            <w:tcW w:w="54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207.6</w:t>
            </w:r>
          </w:p>
        </w:tc>
        <w:tc>
          <w:tcPr>
            <w:tcW w:w="54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w:t>
            </w:r>
          </w:p>
        </w:tc>
        <w:tc>
          <w:tcPr>
            <w:tcW w:w="13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209.5</w:t>
            </w:r>
          </w:p>
        </w:tc>
      </w:tr>
      <w:tr>
        <w:trPr>
          <w:trHeight w:val="20"/>
        </w:trPr>
        <w:tc>
          <w:tcPr>
            <w:tcW w:w="7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4732655</wp:posOffset>
            </wp:positionH>
            <wp:positionV relativeFrom="paragraph">
              <wp:posOffset>-1117600</wp:posOffset>
            </wp:positionV>
            <wp:extent cx="33655" cy="3683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-1117600</wp:posOffset>
            </wp:positionV>
            <wp:extent cx="33655" cy="3683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-174625</wp:posOffset>
            </wp:positionV>
            <wp:extent cx="34290" cy="18796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-174625</wp:posOffset>
            </wp:positionV>
            <wp:extent cx="33655" cy="1879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213995</wp:posOffset>
            </wp:positionV>
            <wp:extent cx="325755" cy="1968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7" w:name="page98"/>
    <w:bookmarkEnd w:id="97"/>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580" w:type="dxa"/>
            <w:vAlign w:val="bottom"/>
            <w:shd w:val="clear" w:color="auto" w:fill="007CBA"/>
          </w:tcPr>
          <w:p>
            <w:pPr>
              <w:spacing w:after="0"/>
              <w:rPr>
                <w:sz w:val="20"/>
                <w:szCs w:val="20"/>
                <w:color w:val="auto"/>
              </w:rPr>
            </w:pPr>
          </w:p>
        </w:tc>
        <w:tc>
          <w:tcPr>
            <w:tcW w:w="1340" w:type="dxa"/>
            <w:vAlign w:val="bottom"/>
            <w:tcBorders>
              <w:right w:val="single" w:sz="8" w:color="007CBA"/>
            </w:tcBorders>
            <w:shd w:val="clear" w:color="auto" w:fill="007CBA"/>
          </w:tcPr>
          <w:p>
            <w:pPr>
              <w:spacing w:after="0"/>
              <w:rPr>
                <w:sz w:val="20"/>
                <w:szCs w:val="20"/>
                <w:color w:val="auto"/>
              </w:rPr>
            </w:pPr>
          </w:p>
        </w:tc>
        <w:tc>
          <w:tcPr>
            <w:tcW w:w="560" w:type="dxa"/>
            <w:vAlign w:val="bottom"/>
            <w:shd w:val="clear" w:color="auto" w:fill="007CBA"/>
          </w:tcPr>
          <w:p>
            <w:pPr>
              <w:spacing w:after="0"/>
              <w:rPr>
                <w:sz w:val="20"/>
                <w:szCs w:val="20"/>
                <w:color w:val="auto"/>
              </w:rPr>
            </w:pPr>
          </w:p>
        </w:tc>
        <w:tc>
          <w:tcPr>
            <w:tcW w:w="1300" w:type="dxa"/>
            <w:vAlign w:val="bottom"/>
            <w:shd w:val="clear" w:color="auto" w:fill="007CBA"/>
          </w:tcPr>
          <w:p>
            <w:pPr>
              <w:spacing w:after="0"/>
              <w:rPr>
                <w:sz w:val="20"/>
                <w:szCs w:val="20"/>
                <w:color w:val="auto"/>
              </w:rPr>
            </w:pPr>
          </w:p>
        </w:tc>
      </w:tr>
      <w:tr>
        <w:trPr>
          <w:trHeight w:val="231"/>
        </w:trPr>
        <w:tc>
          <w:tcPr>
            <w:tcW w:w="74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80" w:type="dxa"/>
            <w:vAlign w:val="bottom"/>
            <w:tcBorders>
              <w:bottom w:val="single" w:sz="8" w:color="007CBA"/>
            </w:tcBorders>
            <w:shd w:val="clear" w:color="auto" w:fill="007CBA"/>
          </w:tcPr>
          <w:p>
            <w:pPr>
              <w:spacing w:after="0"/>
              <w:rPr>
                <w:sz w:val="20"/>
                <w:szCs w:val="20"/>
                <w:color w:val="auto"/>
              </w:rPr>
            </w:pPr>
          </w:p>
        </w:tc>
        <w:tc>
          <w:tcPr>
            <w:tcW w:w="1340" w:type="dxa"/>
            <w:vAlign w:val="bottom"/>
            <w:tcBorders>
              <w:bottom w:val="single" w:sz="8" w:color="007CBA"/>
              <w:right w:val="single" w:sz="8" w:color="007CBA"/>
            </w:tcBorders>
            <w:shd w:val="clear" w:color="auto" w:fill="007CBA"/>
          </w:tcPr>
          <w:p>
            <w:pPr>
              <w:jc w:val="right"/>
              <w:ind w:right="650"/>
              <w:spacing w:after="0" w:line="215" w:lineRule="exact"/>
              <w:rPr>
                <w:sz w:val="20"/>
                <w:szCs w:val="20"/>
                <w:color w:val="auto"/>
              </w:rPr>
            </w:pPr>
            <w:r>
              <w:rPr>
                <w:rFonts w:ascii="Calibri" w:cs="Calibri" w:eastAsia="Calibri" w:hAnsi="Calibri"/>
                <w:sz w:val="18"/>
                <w:szCs w:val="18"/>
                <w:b w:val="1"/>
                <w:bCs w:val="1"/>
                <w:color w:val="FFFFFF"/>
              </w:rPr>
              <w:t>2023</w:t>
            </w:r>
          </w:p>
        </w:tc>
        <w:tc>
          <w:tcPr>
            <w:tcW w:w="560" w:type="dxa"/>
            <w:vAlign w:val="bottom"/>
            <w:tcBorders>
              <w:bottom w:val="single" w:sz="8" w:color="007CBA"/>
            </w:tcBorders>
            <w:shd w:val="clear" w:color="auto" w:fill="007CBA"/>
          </w:tcPr>
          <w:p>
            <w:pPr>
              <w:spacing w:after="0"/>
              <w:rPr>
                <w:sz w:val="20"/>
                <w:szCs w:val="20"/>
                <w:color w:val="auto"/>
              </w:rPr>
            </w:pPr>
          </w:p>
        </w:tc>
        <w:tc>
          <w:tcPr>
            <w:tcW w:w="1300" w:type="dxa"/>
            <w:vAlign w:val="bottom"/>
            <w:tcBorders>
              <w:bottom w:val="single" w:sz="8" w:color="007CBA"/>
            </w:tcBorders>
            <w:shd w:val="clear" w:color="auto" w:fill="007CBA"/>
          </w:tcPr>
          <w:p>
            <w:pPr>
              <w:jc w:val="right"/>
              <w:ind w:right="610"/>
              <w:spacing w:after="0" w:line="215" w:lineRule="exact"/>
              <w:rPr>
                <w:sz w:val="20"/>
                <w:szCs w:val="20"/>
                <w:color w:val="auto"/>
              </w:rPr>
            </w:pPr>
            <w:r>
              <w:rPr>
                <w:rFonts w:ascii="Calibri" w:cs="Calibri" w:eastAsia="Calibri" w:hAnsi="Calibri"/>
                <w:sz w:val="18"/>
                <w:szCs w:val="18"/>
                <w:color w:val="FFFFFF"/>
              </w:rPr>
              <w:t>2022</w:t>
            </w:r>
          </w:p>
        </w:tc>
      </w:tr>
      <w:tr>
        <w:trPr>
          <w:trHeight w:val="223"/>
        </w:trPr>
        <w:tc>
          <w:tcPr>
            <w:tcW w:w="74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Amounts recognized on consolidated balance sheets consist of:</w:t>
            </w:r>
          </w:p>
        </w:tc>
        <w:tc>
          <w:tcPr>
            <w:tcW w:w="58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spacing w:after="0"/>
              <w:rPr>
                <w:sz w:val="19"/>
                <w:szCs w:val="19"/>
                <w:color w:val="auto"/>
              </w:rPr>
            </w:pPr>
          </w:p>
        </w:tc>
        <w:tc>
          <w:tcPr>
            <w:tcW w:w="560" w:type="dxa"/>
            <w:vAlign w:val="bottom"/>
            <w:tcBorders>
              <w:bottom w:val="single" w:sz="8" w:color="E5F1F8"/>
            </w:tcBorders>
            <w:shd w:val="clear" w:color="auto" w:fill="E5F1F8"/>
          </w:tcPr>
          <w:p>
            <w:pPr>
              <w:spacing w:after="0"/>
              <w:rPr>
                <w:sz w:val="19"/>
                <w:szCs w:val="19"/>
                <w:color w:val="auto"/>
              </w:rPr>
            </w:pPr>
          </w:p>
        </w:tc>
        <w:tc>
          <w:tcPr>
            <w:tcW w:w="1300" w:type="dxa"/>
            <w:vAlign w:val="bottom"/>
            <w:tcBorders>
              <w:bottom w:val="single" w:sz="8" w:color="E5F1F8"/>
            </w:tcBorders>
            <w:shd w:val="clear" w:color="auto" w:fill="E5F1F8"/>
          </w:tcPr>
          <w:p>
            <w:pPr>
              <w:spacing w:after="0"/>
              <w:rPr>
                <w:sz w:val="19"/>
                <w:szCs w:val="19"/>
                <w:color w:val="auto"/>
              </w:rPr>
            </w:pP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Noncurrent asset</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307.8</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295.3</w:t>
            </w:r>
          </w:p>
        </w:tc>
      </w:tr>
      <w:tr>
        <w:trPr>
          <w:trHeight w:val="28"/>
        </w:trPr>
        <w:tc>
          <w:tcPr>
            <w:tcW w:w="746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74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Current liability</w:t>
            </w:r>
          </w:p>
        </w:tc>
        <w:tc>
          <w:tcPr>
            <w:tcW w:w="58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(7.5 )</w:t>
            </w:r>
          </w:p>
        </w:tc>
        <w:tc>
          <w:tcPr>
            <w:tcW w:w="560" w:type="dxa"/>
            <w:vAlign w:val="bottom"/>
            <w:tcBorders>
              <w:bottom w:val="single" w:sz="8" w:color="E5F1F8"/>
            </w:tcBorders>
            <w:shd w:val="clear" w:color="auto" w:fill="E5F1F8"/>
          </w:tcPr>
          <w:p>
            <w:pPr>
              <w:spacing w:after="0"/>
              <w:rPr>
                <w:sz w:val="19"/>
                <w:szCs w:val="19"/>
                <w:color w:val="auto"/>
              </w:rPr>
            </w:pPr>
          </w:p>
        </w:tc>
        <w:tc>
          <w:tcPr>
            <w:tcW w:w="13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(6.8 )</w:t>
            </w:r>
          </w:p>
        </w:tc>
      </w:tr>
      <w:tr>
        <w:trPr>
          <w:trHeight w:val="215"/>
        </w:trPr>
        <w:tc>
          <w:tcPr>
            <w:tcW w:w="7460" w:type="dxa"/>
            <w:vAlign w:val="bottom"/>
          </w:tcPr>
          <w:p>
            <w:pPr>
              <w:ind w:left="120"/>
              <w:spacing w:after="0" w:line="215" w:lineRule="exact"/>
              <w:rPr>
                <w:sz w:val="20"/>
                <w:szCs w:val="20"/>
                <w:color w:val="auto"/>
              </w:rPr>
            </w:pPr>
            <w:r>
              <w:rPr>
                <w:rFonts w:ascii="Calibri" w:cs="Calibri" w:eastAsia="Calibri" w:hAnsi="Calibri"/>
                <w:sz w:val="18"/>
                <w:szCs w:val="18"/>
                <w:color w:val="auto"/>
              </w:rPr>
              <w:t>Noncurrent liability</w:t>
            </w:r>
          </w:p>
        </w:tc>
        <w:tc>
          <w:tcPr>
            <w:tcW w:w="58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(92.7 )</w:t>
            </w:r>
          </w:p>
        </w:tc>
        <w:tc>
          <w:tcPr>
            <w:tcW w:w="5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(79.0 )</w:t>
            </w:r>
          </w:p>
        </w:tc>
      </w:tr>
      <w:tr>
        <w:trPr>
          <w:trHeight w:val="28"/>
        </w:trPr>
        <w:tc>
          <w:tcPr>
            <w:tcW w:w="7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1"/>
        </w:trPr>
        <w:tc>
          <w:tcPr>
            <w:tcW w:w="746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Net amount recognized at end of year</w:t>
            </w:r>
          </w:p>
        </w:tc>
        <w:tc>
          <w:tcPr>
            <w:tcW w:w="58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207.6</w:t>
            </w:r>
          </w:p>
        </w:tc>
        <w:tc>
          <w:tcPr>
            <w:tcW w:w="56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30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209.5</w:t>
            </w:r>
          </w:p>
        </w:tc>
      </w:tr>
      <w:tr>
        <w:trPr>
          <w:trHeight w:val="20"/>
        </w:trPr>
        <w:tc>
          <w:tcPr>
            <w:tcW w:w="7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-354965</wp:posOffset>
            </wp:positionV>
            <wp:extent cx="34290" cy="3683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-354965</wp:posOffset>
            </wp:positionV>
            <wp:extent cx="33655" cy="3683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Calibri" w:cs="Calibri" w:eastAsia="Calibri" w:hAnsi="Calibri"/>
          <w:sz w:val="17"/>
          <w:szCs w:val="17"/>
          <w:color w:val="auto"/>
        </w:rPr>
        <w:t>The accumulated beneft obligaton for all defned beneft pension plans was $881.9 million and $789.6 million at December 31, 2023 and 2022, respectvely.</w:t>
      </w:r>
    </w:p>
    <w:p>
      <w:pPr>
        <w:spacing w:after="0" w:line="112" w:lineRule="exact"/>
        <w:rPr>
          <w:sz w:val="20"/>
          <w:szCs w:val="20"/>
          <w:color w:val="auto"/>
        </w:rPr>
      </w:pPr>
    </w:p>
    <w:p>
      <w:pPr>
        <w:spacing w:after="0"/>
        <w:rPr>
          <w:sz w:val="20"/>
          <w:szCs w:val="20"/>
          <w:color w:val="auto"/>
        </w:rPr>
      </w:pPr>
      <w:r>
        <w:rPr>
          <w:rFonts w:ascii="Calibri" w:cs="Calibri" w:eastAsia="Calibri" w:hAnsi="Calibri"/>
          <w:sz w:val="18"/>
          <w:szCs w:val="18"/>
          <w:color w:val="auto"/>
        </w:rPr>
        <w:t>Beneft obligatons and fair value of plan assets for pension plans with accumulated beneft obligatons in excess of plan assets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4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580" w:type="dxa"/>
            <w:vAlign w:val="bottom"/>
            <w:shd w:val="clear" w:color="auto" w:fill="007CBA"/>
          </w:tcPr>
          <w:p>
            <w:pPr>
              <w:spacing w:after="0"/>
              <w:rPr>
                <w:sz w:val="20"/>
                <w:szCs w:val="20"/>
                <w:color w:val="auto"/>
              </w:rPr>
            </w:pPr>
          </w:p>
        </w:tc>
        <w:tc>
          <w:tcPr>
            <w:tcW w:w="1340" w:type="dxa"/>
            <w:vAlign w:val="bottom"/>
            <w:tcBorders>
              <w:right w:val="single" w:sz="8" w:color="007CBA"/>
            </w:tcBorders>
            <w:shd w:val="clear" w:color="auto" w:fill="007CBA"/>
          </w:tcPr>
          <w:p>
            <w:pPr>
              <w:spacing w:after="0"/>
              <w:rPr>
                <w:sz w:val="20"/>
                <w:szCs w:val="20"/>
                <w:color w:val="auto"/>
              </w:rPr>
            </w:pPr>
          </w:p>
        </w:tc>
        <w:tc>
          <w:tcPr>
            <w:tcW w:w="560" w:type="dxa"/>
            <w:vAlign w:val="bottom"/>
            <w:shd w:val="clear" w:color="auto" w:fill="007CBA"/>
          </w:tcPr>
          <w:p>
            <w:pPr>
              <w:spacing w:after="0"/>
              <w:rPr>
                <w:sz w:val="20"/>
                <w:szCs w:val="20"/>
                <w:color w:val="auto"/>
              </w:rPr>
            </w:pPr>
          </w:p>
        </w:tc>
        <w:tc>
          <w:tcPr>
            <w:tcW w:w="1300" w:type="dxa"/>
            <w:vAlign w:val="bottom"/>
            <w:shd w:val="clear" w:color="auto" w:fill="007CBA"/>
          </w:tcPr>
          <w:p>
            <w:pPr>
              <w:spacing w:after="0"/>
              <w:rPr>
                <w:sz w:val="20"/>
                <w:szCs w:val="20"/>
                <w:color w:val="auto"/>
              </w:rPr>
            </w:pPr>
          </w:p>
        </w:tc>
      </w:tr>
      <w:tr>
        <w:trPr>
          <w:trHeight w:val="231"/>
        </w:trPr>
        <w:tc>
          <w:tcPr>
            <w:tcW w:w="746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80" w:type="dxa"/>
            <w:vAlign w:val="bottom"/>
            <w:tcBorders>
              <w:bottom w:val="single" w:sz="8" w:color="007CBA"/>
            </w:tcBorders>
            <w:shd w:val="clear" w:color="auto" w:fill="007CBA"/>
          </w:tcPr>
          <w:p>
            <w:pPr>
              <w:spacing w:after="0"/>
              <w:rPr>
                <w:sz w:val="20"/>
                <w:szCs w:val="20"/>
                <w:color w:val="auto"/>
              </w:rPr>
            </w:pPr>
          </w:p>
        </w:tc>
        <w:tc>
          <w:tcPr>
            <w:tcW w:w="1340" w:type="dxa"/>
            <w:vAlign w:val="bottom"/>
            <w:tcBorders>
              <w:bottom w:val="single" w:sz="8" w:color="007CBA"/>
              <w:right w:val="single" w:sz="8" w:color="007CBA"/>
            </w:tcBorders>
            <w:shd w:val="clear" w:color="auto" w:fill="007CBA"/>
          </w:tcPr>
          <w:p>
            <w:pPr>
              <w:ind w:left="240"/>
              <w:spacing w:after="0" w:line="215" w:lineRule="exact"/>
              <w:rPr>
                <w:sz w:val="20"/>
                <w:szCs w:val="20"/>
                <w:color w:val="auto"/>
              </w:rPr>
            </w:pPr>
            <w:r>
              <w:rPr>
                <w:rFonts w:ascii="Calibri" w:cs="Calibri" w:eastAsia="Calibri" w:hAnsi="Calibri"/>
                <w:sz w:val="18"/>
                <w:szCs w:val="18"/>
                <w:b w:val="1"/>
                <w:bCs w:val="1"/>
                <w:color w:val="FFFFFF"/>
              </w:rPr>
              <w:t>2023</w:t>
            </w:r>
          </w:p>
        </w:tc>
        <w:tc>
          <w:tcPr>
            <w:tcW w:w="560" w:type="dxa"/>
            <w:vAlign w:val="bottom"/>
            <w:tcBorders>
              <w:bottom w:val="single" w:sz="8" w:color="007CBA"/>
            </w:tcBorders>
            <w:shd w:val="clear" w:color="auto" w:fill="007CBA"/>
          </w:tcPr>
          <w:p>
            <w:pPr>
              <w:spacing w:after="0"/>
              <w:rPr>
                <w:sz w:val="20"/>
                <w:szCs w:val="20"/>
                <w:color w:val="auto"/>
              </w:rPr>
            </w:pPr>
          </w:p>
        </w:tc>
        <w:tc>
          <w:tcPr>
            <w:tcW w:w="1300" w:type="dxa"/>
            <w:vAlign w:val="bottom"/>
            <w:tcBorders>
              <w:bottom w:val="single" w:sz="8" w:color="007CBA"/>
            </w:tcBorders>
            <w:shd w:val="clear" w:color="auto" w:fill="007CBA"/>
          </w:tcPr>
          <w:p>
            <w:pPr>
              <w:ind w:left="240"/>
              <w:spacing w:after="0" w:line="215" w:lineRule="exact"/>
              <w:rPr>
                <w:sz w:val="20"/>
                <w:szCs w:val="20"/>
                <w:color w:val="auto"/>
              </w:rPr>
            </w:pPr>
            <w:r>
              <w:rPr>
                <w:rFonts w:ascii="Calibri" w:cs="Calibri" w:eastAsia="Calibri" w:hAnsi="Calibri"/>
                <w:sz w:val="18"/>
                <w:szCs w:val="18"/>
                <w:color w:val="FFFFFF"/>
              </w:rPr>
              <w:t>2022</w:t>
            </w: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Projected beneft obligaton</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100.7</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86.3</w:t>
            </w:r>
          </w:p>
        </w:tc>
      </w:tr>
      <w:tr>
        <w:trPr>
          <w:trHeight w:val="28"/>
        </w:trPr>
        <w:tc>
          <w:tcPr>
            <w:tcW w:w="7460" w:type="dxa"/>
            <w:vAlign w:val="bottom"/>
            <w:tcBorders>
              <w:right w:val="single" w:sz="8" w:color="007CBA"/>
            </w:tcBorders>
          </w:tcPr>
          <w:p>
            <w:pPr>
              <w:spacing w:after="0"/>
              <w:rPr>
                <w:sz w:val="2"/>
                <w:szCs w:val="2"/>
                <w:color w:val="auto"/>
              </w:rPr>
            </w:pPr>
          </w:p>
        </w:tc>
        <w:tc>
          <w:tcPr>
            <w:tcW w:w="580" w:type="dxa"/>
            <w:vAlign w:val="bottom"/>
          </w:tcPr>
          <w:p>
            <w:pPr>
              <w:spacing w:after="0"/>
              <w:rPr>
                <w:sz w:val="2"/>
                <w:szCs w:val="2"/>
                <w:color w:val="auto"/>
              </w:rPr>
            </w:pPr>
          </w:p>
        </w:tc>
        <w:tc>
          <w:tcPr>
            <w:tcW w:w="13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74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Accumulated beneft obligaton</w:t>
            </w: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90.9</w:t>
            </w:r>
          </w:p>
        </w:tc>
        <w:tc>
          <w:tcPr>
            <w:tcW w:w="56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79.5</w:t>
            </w:r>
          </w:p>
        </w:tc>
      </w:tr>
      <w:tr>
        <w:trPr>
          <w:trHeight w:val="215"/>
        </w:trPr>
        <w:tc>
          <w:tcPr>
            <w:tcW w:w="7460" w:type="dxa"/>
            <w:vAlign w:val="bottom"/>
          </w:tcPr>
          <w:p>
            <w:pPr>
              <w:ind w:left="120"/>
              <w:spacing w:after="0" w:line="215" w:lineRule="exact"/>
              <w:rPr>
                <w:sz w:val="20"/>
                <w:szCs w:val="20"/>
                <w:color w:val="auto"/>
              </w:rPr>
            </w:pPr>
            <w:r>
              <w:rPr>
                <w:rFonts w:ascii="Calibri" w:cs="Calibri" w:eastAsia="Calibri" w:hAnsi="Calibri"/>
                <w:sz w:val="18"/>
                <w:szCs w:val="18"/>
                <w:color w:val="auto"/>
              </w:rPr>
              <w:t>Fair value of plan assets</w:t>
            </w: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0.5</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0.5</w:t>
            </w:r>
          </w:p>
        </w:tc>
      </w:tr>
      <w:tr>
        <w:trPr>
          <w:trHeight w:val="28"/>
        </w:trPr>
        <w:tc>
          <w:tcPr>
            <w:tcW w:w="7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62"/>
        </w:trPr>
        <w:tc>
          <w:tcPr>
            <w:tcW w:w="7460" w:type="dxa"/>
            <w:vAlign w:val="bottom"/>
          </w:tcPr>
          <w:p>
            <w:pPr>
              <w:spacing w:after="0"/>
              <w:rPr>
                <w:sz w:val="20"/>
                <w:szCs w:val="20"/>
                <w:color w:val="auto"/>
              </w:rPr>
            </w:pPr>
            <w:r>
              <w:rPr>
                <w:rFonts w:ascii="Calibri" w:cs="Calibri" w:eastAsia="Calibri" w:hAnsi="Calibri"/>
                <w:sz w:val="18"/>
                <w:szCs w:val="18"/>
                <w:color w:val="auto"/>
              </w:rPr>
              <w:t>Weighted-average assumptons used to determine beneft obligatons as of December 31 are:</w:t>
            </w: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1"/>
        </w:trPr>
        <w:tc>
          <w:tcPr>
            <w:tcW w:w="7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23"/>
        </w:trPr>
        <w:tc>
          <w:tcPr>
            <w:tcW w:w="7460" w:type="dxa"/>
            <w:vAlign w:val="bottom"/>
            <w:tcBorders>
              <w:bottom w:val="single" w:sz="8" w:color="007CBA"/>
              <w:right w:val="single" w:sz="8" w:color="007CBA"/>
            </w:tcBorders>
            <w:shd w:val="clear" w:color="auto" w:fill="007CBA"/>
          </w:tcPr>
          <w:p>
            <w:pPr>
              <w:spacing w:after="0"/>
              <w:rPr>
                <w:sz w:val="19"/>
                <w:szCs w:val="19"/>
                <w:color w:val="auto"/>
              </w:rPr>
            </w:pPr>
          </w:p>
        </w:tc>
        <w:tc>
          <w:tcPr>
            <w:tcW w:w="580" w:type="dxa"/>
            <w:vAlign w:val="bottom"/>
            <w:tcBorders>
              <w:bottom w:val="single" w:sz="8" w:color="007CBA"/>
            </w:tcBorders>
            <w:shd w:val="clear" w:color="auto" w:fill="007CBA"/>
          </w:tcPr>
          <w:p>
            <w:pPr>
              <w:spacing w:after="0"/>
              <w:rPr>
                <w:sz w:val="19"/>
                <w:szCs w:val="19"/>
                <w:color w:val="auto"/>
              </w:rPr>
            </w:pPr>
          </w:p>
        </w:tc>
        <w:tc>
          <w:tcPr>
            <w:tcW w:w="1340" w:type="dxa"/>
            <w:vAlign w:val="bottom"/>
            <w:tcBorders>
              <w:bottom w:val="single" w:sz="8" w:color="007CBA"/>
              <w:right w:val="single" w:sz="8" w:color="007CBA"/>
            </w:tcBorders>
            <w:shd w:val="clear" w:color="auto" w:fill="007CBA"/>
          </w:tcPr>
          <w:p>
            <w:pPr>
              <w:jc w:val="right"/>
              <w:ind w:right="590"/>
              <w:spacing w:after="0" w:line="215" w:lineRule="exact"/>
              <w:rPr>
                <w:sz w:val="20"/>
                <w:szCs w:val="20"/>
                <w:color w:val="auto"/>
              </w:rPr>
            </w:pPr>
            <w:r>
              <w:rPr>
                <w:rFonts w:ascii="Calibri" w:cs="Calibri" w:eastAsia="Calibri" w:hAnsi="Calibri"/>
                <w:sz w:val="18"/>
                <w:szCs w:val="18"/>
                <w:b w:val="1"/>
                <w:bCs w:val="1"/>
                <w:color w:val="FFFFFF"/>
              </w:rPr>
              <w:t>2023</w:t>
            </w:r>
          </w:p>
        </w:tc>
        <w:tc>
          <w:tcPr>
            <w:tcW w:w="560" w:type="dxa"/>
            <w:vAlign w:val="bottom"/>
            <w:tcBorders>
              <w:bottom w:val="single" w:sz="8" w:color="007CBA"/>
            </w:tcBorders>
            <w:shd w:val="clear" w:color="auto" w:fill="007CBA"/>
          </w:tcPr>
          <w:p>
            <w:pPr>
              <w:spacing w:after="0"/>
              <w:rPr>
                <w:sz w:val="19"/>
                <w:szCs w:val="19"/>
                <w:color w:val="auto"/>
              </w:rPr>
            </w:pPr>
          </w:p>
        </w:tc>
        <w:tc>
          <w:tcPr>
            <w:tcW w:w="1300" w:type="dxa"/>
            <w:vAlign w:val="bottom"/>
            <w:tcBorders>
              <w:bottom w:val="single" w:sz="8" w:color="007CBA"/>
            </w:tcBorders>
            <w:shd w:val="clear" w:color="auto" w:fill="007CBA"/>
          </w:tcPr>
          <w:p>
            <w:pPr>
              <w:jc w:val="right"/>
              <w:ind w:right="570"/>
              <w:spacing w:after="0" w:line="215" w:lineRule="exact"/>
              <w:rPr>
                <w:sz w:val="20"/>
                <w:szCs w:val="20"/>
                <w:color w:val="auto"/>
              </w:rPr>
            </w:pPr>
            <w:r>
              <w:rPr>
                <w:rFonts w:ascii="Calibri" w:cs="Calibri" w:eastAsia="Calibri" w:hAnsi="Calibri"/>
                <w:sz w:val="18"/>
                <w:szCs w:val="18"/>
                <w:color w:val="FFFFFF"/>
              </w:rPr>
              <w:t>2022</w:t>
            </w:r>
          </w:p>
        </w:tc>
      </w:tr>
      <w:tr>
        <w:trPr>
          <w:trHeight w:val="243"/>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Discount rate</w:t>
            </w:r>
          </w:p>
        </w:tc>
        <w:tc>
          <w:tcPr>
            <w:tcW w:w="580" w:type="dxa"/>
            <w:vAlign w:val="bottom"/>
          </w:tcPr>
          <w:p>
            <w:pPr>
              <w:spacing w:after="0"/>
              <w:rPr>
                <w:sz w:val="21"/>
                <w:szCs w:val="21"/>
                <w:color w:val="auto"/>
              </w:rPr>
            </w:pPr>
          </w:p>
        </w:tc>
        <w:tc>
          <w:tcPr>
            <w:tcW w:w="1340" w:type="dxa"/>
            <w:vAlign w:val="bottom"/>
            <w:tcBorders>
              <w:right w:val="single" w:sz="8" w:color="007CBA"/>
            </w:tcBorders>
          </w:tcPr>
          <w:p>
            <w:pPr>
              <w:ind w:left="260"/>
              <w:spacing w:after="0" w:line="215" w:lineRule="exact"/>
              <w:rPr>
                <w:sz w:val="20"/>
                <w:szCs w:val="20"/>
                <w:color w:val="auto"/>
              </w:rPr>
            </w:pPr>
            <w:r>
              <w:rPr>
                <w:rFonts w:ascii="Calibri" w:cs="Calibri" w:eastAsia="Calibri" w:hAnsi="Calibri"/>
                <w:sz w:val="18"/>
                <w:szCs w:val="18"/>
                <w:b w:val="1"/>
                <w:bCs w:val="1"/>
                <w:color w:val="auto"/>
              </w:rPr>
              <w:t>5.58%</w:t>
            </w:r>
          </w:p>
        </w:tc>
        <w:tc>
          <w:tcPr>
            <w:tcW w:w="560" w:type="dxa"/>
            <w:vAlign w:val="bottom"/>
          </w:tcPr>
          <w:p>
            <w:pPr>
              <w:spacing w:after="0"/>
              <w:rPr>
                <w:sz w:val="21"/>
                <w:szCs w:val="21"/>
                <w:color w:val="auto"/>
              </w:rPr>
            </w:pPr>
          </w:p>
        </w:tc>
        <w:tc>
          <w:tcPr>
            <w:tcW w:w="1300" w:type="dxa"/>
            <w:vAlign w:val="bottom"/>
          </w:tcPr>
          <w:p>
            <w:pPr>
              <w:ind w:left="240"/>
              <w:spacing w:after="0" w:line="215" w:lineRule="exact"/>
              <w:rPr>
                <w:sz w:val="20"/>
                <w:szCs w:val="20"/>
                <w:color w:val="auto"/>
              </w:rPr>
            </w:pPr>
            <w:r>
              <w:rPr>
                <w:rFonts w:ascii="Calibri" w:cs="Calibri" w:eastAsia="Calibri" w:hAnsi="Calibri"/>
                <w:sz w:val="18"/>
                <w:szCs w:val="18"/>
                <w:color w:val="auto"/>
              </w:rPr>
              <w:t>5.88%</w:t>
            </w:r>
          </w:p>
        </w:tc>
      </w:tr>
      <w:tr>
        <w:trPr>
          <w:trHeight w:val="223"/>
        </w:trPr>
        <w:tc>
          <w:tcPr>
            <w:tcW w:w="74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Rate of increase in future compensaton levels</w:t>
            </w:r>
          </w:p>
        </w:tc>
        <w:tc>
          <w:tcPr>
            <w:tcW w:w="58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E5F1F8"/>
            </w:tcBorders>
            <w:shd w:val="clear" w:color="auto" w:fill="E5F1F8"/>
          </w:tcPr>
          <w:p>
            <w:pPr>
              <w:ind w:left="260"/>
              <w:spacing w:after="0" w:line="215" w:lineRule="exact"/>
              <w:rPr>
                <w:sz w:val="20"/>
                <w:szCs w:val="20"/>
                <w:color w:val="auto"/>
              </w:rPr>
            </w:pPr>
            <w:r>
              <w:rPr>
                <w:rFonts w:ascii="Calibri" w:cs="Calibri" w:eastAsia="Calibri" w:hAnsi="Calibri"/>
                <w:sz w:val="18"/>
                <w:szCs w:val="18"/>
                <w:b w:val="1"/>
                <w:bCs w:val="1"/>
                <w:color w:val="auto"/>
              </w:rPr>
              <w:t>4.50%</w:t>
            </w:r>
          </w:p>
        </w:tc>
        <w:tc>
          <w:tcPr>
            <w:tcW w:w="560" w:type="dxa"/>
            <w:vAlign w:val="bottom"/>
            <w:tcBorders>
              <w:bottom w:val="single" w:sz="8" w:color="E5F1F8"/>
            </w:tcBorders>
            <w:shd w:val="clear" w:color="auto" w:fill="E5F1F8"/>
          </w:tcPr>
          <w:p>
            <w:pPr>
              <w:spacing w:after="0"/>
              <w:rPr>
                <w:sz w:val="19"/>
                <w:szCs w:val="19"/>
                <w:color w:val="auto"/>
              </w:rPr>
            </w:pPr>
          </w:p>
        </w:tc>
        <w:tc>
          <w:tcPr>
            <w:tcW w:w="1300" w:type="dxa"/>
            <w:vAlign w:val="bottom"/>
            <w:tcBorders>
              <w:bottom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4.50%</w:t>
            </w:r>
          </w:p>
        </w:tc>
      </w:tr>
      <w:tr>
        <w:trPr>
          <w:trHeight w:val="20"/>
        </w:trPr>
        <w:tc>
          <w:tcPr>
            <w:tcW w:w="746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-963295</wp:posOffset>
            </wp:positionV>
            <wp:extent cx="34290" cy="18859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-963295</wp:posOffset>
            </wp:positionV>
            <wp:extent cx="33655" cy="18859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-175260</wp:posOffset>
            </wp:positionV>
            <wp:extent cx="34290" cy="18859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-175260</wp:posOffset>
            </wp:positionV>
            <wp:extent cx="34290" cy="18859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Calibri" w:cs="Calibri" w:eastAsia="Calibri" w:hAnsi="Calibri"/>
          <w:sz w:val="18"/>
          <w:szCs w:val="18"/>
          <w:color w:val="auto"/>
        </w:rPr>
        <w:t>Weighted-average assumptons used to determine net periodic beneft cost for the years ended December 31 are: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00" w:type="dxa"/>
            <w:vAlign w:val="bottom"/>
            <w:tcBorders>
              <w:right w:val="single" w:sz="8" w:color="007CBA"/>
            </w:tcBorders>
            <w:shd w:val="clear" w:color="auto" w:fill="007CBA"/>
          </w:tcPr>
          <w:p>
            <w:pPr>
              <w:spacing w:after="0"/>
              <w:rPr>
                <w:sz w:val="21"/>
                <w:szCs w:val="21"/>
                <w:color w:val="auto"/>
              </w:rPr>
            </w:pPr>
          </w:p>
        </w:tc>
        <w:tc>
          <w:tcPr>
            <w:tcW w:w="1640" w:type="dxa"/>
            <w:vAlign w:val="bottom"/>
            <w:tcBorders>
              <w:right w:val="single" w:sz="8" w:color="007CBA"/>
            </w:tcBorders>
            <w:shd w:val="clear" w:color="auto" w:fill="007CBA"/>
          </w:tcPr>
          <w:p>
            <w:pPr>
              <w:jc w:val="center"/>
              <w:ind w:left="70"/>
              <w:spacing w:after="0"/>
              <w:rPr>
                <w:sz w:val="20"/>
                <w:szCs w:val="20"/>
                <w:color w:val="auto"/>
              </w:rPr>
            </w:pPr>
            <w:r>
              <w:rPr>
                <w:rFonts w:ascii="Calibri" w:cs="Calibri" w:eastAsia="Calibri" w:hAnsi="Calibri"/>
                <w:sz w:val="18"/>
                <w:szCs w:val="18"/>
                <w:b w:val="1"/>
                <w:bCs w:val="1"/>
                <w:color w:val="FFFFFF"/>
                <w:w w:val="98"/>
              </w:rPr>
              <w:t>2023</w:t>
            </w:r>
          </w:p>
        </w:tc>
        <w:tc>
          <w:tcPr>
            <w:tcW w:w="1600" w:type="dxa"/>
            <w:vAlign w:val="bottom"/>
            <w:tcBorders>
              <w:right w:val="single" w:sz="8" w:color="007CBA"/>
            </w:tcBorders>
            <w:shd w:val="clear" w:color="auto" w:fill="007CBA"/>
          </w:tcPr>
          <w:p>
            <w:pPr>
              <w:jc w:val="center"/>
              <w:ind w:left="70"/>
              <w:spacing w:after="0"/>
              <w:rPr>
                <w:sz w:val="20"/>
                <w:szCs w:val="20"/>
                <w:color w:val="auto"/>
              </w:rPr>
            </w:pPr>
            <w:r>
              <w:rPr>
                <w:rFonts w:ascii="Calibri" w:cs="Calibri" w:eastAsia="Calibri" w:hAnsi="Calibri"/>
                <w:sz w:val="18"/>
                <w:szCs w:val="18"/>
                <w:color w:val="FFFFFF"/>
                <w:w w:val="98"/>
              </w:rPr>
              <w:t>2022</w:t>
            </w:r>
          </w:p>
        </w:tc>
        <w:tc>
          <w:tcPr>
            <w:tcW w:w="1600" w:type="dxa"/>
            <w:vAlign w:val="bottom"/>
            <w:shd w:val="clear" w:color="auto" w:fill="007CBA"/>
          </w:tcPr>
          <w:p>
            <w:pPr>
              <w:jc w:val="center"/>
              <w:ind w:left="70"/>
              <w:spacing w:after="0"/>
              <w:rPr>
                <w:sz w:val="20"/>
                <w:szCs w:val="20"/>
                <w:color w:val="auto"/>
              </w:rPr>
            </w:pPr>
            <w:r>
              <w:rPr>
                <w:rFonts w:ascii="Calibri" w:cs="Calibri" w:eastAsia="Calibri" w:hAnsi="Calibri"/>
                <w:sz w:val="18"/>
                <w:szCs w:val="18"/>
                <w:color w:val="FFFFFF"/>
                <w:w w:val="98"/>
              </w:rPr>
              <w:t>2021</w:t>
            </w:r>
          </w:p>
        </w:tc>
      </w:tr>
      <w:tr>
        <w:trPr>
          <w:trHeight w:val="215"/>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Discount rate</w:t>
            </w:r>
          </w:p>
        </w:tc>
        <w:tc>
          <w:tcPr>
            <w:tcW w:w="1640" w:type="dxa"/>
            <w:vAlign w:val="bottom"/>
            <w:tcBorders>
              <w:right w:val="single" w:sz="8" w:color="007CBA"/>
            </w:tcBorders>
          </w:tcPr>
          <w:p>
            <w:pPr>
              <w:jc w:val="center"/>
              <w:ind w:left="70"/>
              <w:spacing w:after="0" w:line="215" w:lineRule="exact"/>
              <w:rPr>
                <w:sz w:val="20"/>
                <w:szCs w:val="20"/>
                <w:color w:val="auto"/>
              </w:rPr>
            </w:pPr>
            <w:r>
              <w:rPr>
                <w:rFonts w:ascii="Calibri" w:cs="Calibri" w:eastAsia="Calibri" w:hAnsi="Calibri"/>
                <w:sz w:val="18"/>
                <w:szCs w:val="18"/>
                <w:b w:val="1"/>
                <w:bCs w:val="1"/>
                <w:color w:val="auto"/>
                <w:w w:val="97"/>
              </w:rPr>
              <w:t>5.88%</w:t>
            </w:r>
          </w:p>
        </w:tc>
        <w:tc>
          <w:tcPr>
            <w:tcW w:w="1600" w:type="dxa"/>
            <w:vAlign w:val="bottom"/>
            <w:tcBorders>
              <w:right w:val="single" w:sz="8" w:color="007CBA"/>
            </w:tcBorders>
          </w:tcPr>
          <w:p>
            <w:pPr>
              <w:jc w:val="center"/>
              <w:ind w:left="70"/>
              <w:spacing w:after="0" w:line="215" w:lineRule="exact"/>
              <w:rPr>
                <w:sz w:val="20"/>
                <w:szCs w:val="20"/>
                <w:color w:val="auto"/>
              </w:rPr>
            </w:pPr>
            <w:r>
              <w:rPr>
                <w:rFonts w:ascii="Calibri" w:cs="Calibri" w:eastAsia="Calibri" w:hAnsi="Calibri"/>
                <w:sz w:val="18"/>
                <w:szCs w:val="18"/>
                <w:color w:val="auto"/>
                <w:w w:val="98"/>
              </w:rPr>
              <w:t>3.44%</w:t>
            </w:r>
          </w:p>
        </w:tc>
        <w:tc>
          <w:tcPr>
            <w:tcW w:w="160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8"/>
              </w:rPr>
              <w:t>3.16%</w:t>
            </w:r>
          </w:p>
        </w:tc>
      </w:tr>
      <w:tr>
        <w:trPr>
          <w:trHeight w:val="28"/>
        </w:trPr>
        <w:tc>
          <w:tcPr>
            <w:tcW w:w="6400" w:type="dxa"/>
            <w:vAlign w:val="bottom"/>
            <w:tcBorders>
              <w:right w:val="single" w:sz="8" w:color="007CBA"/>
            </w:tcBorders>
          </w:tcPr>
          <w:p>
            <w:pPr>
              <w:spacing w:after="0"/>
              <w:rPr>
                <w:sz w:val="2"/>
                <w:szCs w:val="2"/>
                <w:color w:val="auto"/>
              </w:rPr>
            </w:pPr>
          </w:p>
        </w:tc>
        <w:tc>
          <w:tcPr>
            <w:tcW w:w="1640" w:type="dxa"/>
            <w:vAlign w:val="bottom"/>
            <w:tcBorders>
              <w:right w:val="single" w:sz="8" w:color="007CBA"/>
            </w:tcBorders>
          </w:tcPr>
          <w:p>
            <w:pPr>
              <w:spacing w:after="0"/>
              <w:rPr>
                <w:sz w:val="2"/>
                <w:szCs w:val="2"/>
                <w:color w:val="auto"/>
              </w:rPr>
            </w:pPr>
          </w:p>
        </w:tc>
        <w:tc>
          <w:tcPr>
            <w:tcW w:w="1600" w:type="dxa"/>
            <w:vAlign w:val="bottom"/>
            <w:tcBorders>
              <w:right w:val="single" w:sz="8" w:color="007CBA"/>
            </w:tcBorders>
          </w:tcPr>
          <w:p>
            <w:pPr>
              <w:spacing w:after="0"/>
              <w:rPr>
                <w:sz w:val="2"/>
                <w:szCs w:val="2"/>
                <w:color w:val="auto"/>
              </w:rPr>
            </w:pPr>
          </w:p>
        </w:tc>
        <w:tc>
          <w:tcPr>
            <w:tcW w:w="160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Rate of increase in future compensaton levels</w:t>
            </w:r>
          </w:p>
        </w:tc>
        <w:tc>
          <w:tcPr>
            <w:tcW w:w="1640" w:type="dxa"/>
            <w:vAlign w:val="bottom"/>
            <w:tcBorders>
              <w:bottom w:val="single" w:sz="8" w:color="E5F1F8"/>
              <w:right w:val="single" w:sz="8" w:color="007CBA"/>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b w:val="1"/>
                <w:bCs w:val="1"/>
                <w:color w:val="auto"/>
                <w:w w:val="97"/>
              </w:rPr>
              <w:t>4.50%</w:t>
            </w:r>
          </w:p>
        </w:tc>
        <w:tc>
          <w:tcPr>
            <w:tcW w:w="1600" w:type="dxa"/>
            <w:vAlign w:val="bottom"/>
            <w:tcBorders>
              <w:bottom w:val="single" w:sz="8" w:color="E5F1F8"/>
              <w:right w:val="single" w:sz="8" w:color="007CBA"/>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w w:val="98"/>
              </w:rPr>
              <w:t>4.50%</w:t>
            </w:r>
          </w:p>
        </w:tc>
        <w:tc>
          <w:tcPr>
            <w:tcW w:w="1600" w:type="dxa"/>
            <w:vAlign w:val="bottom"/>
            <w:tcBorders>
              <w:bottom w:val="single" w:sz="8" w:color="E5F1F8"/>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w w:val="98"/>
              </w:rPr>
              <w:t>4.50%</w:t>
            </w:r>
          </w:p>
        </w:tc>
      </w:tr>
      <w:tr>
        <w:trPr>
          <w:trHeight w:val="215"/>
        </w:trPr>
        <w:tc>
          <w:tcPr>
            <w:tcW w:w="6400" w:type="dxa"/>
            <w:vAlign w:val="bottom"/>
          </w:tcPr>
          <w:p>
            <w:pPr>
              <w:ind w:left="120"/>
              <w:spacing w:after="0" w:line="215" w:lineRule="exact"/>
              <w:rPr>
                <w:sz w:val="20"/>
                <w:szCs w:val="20"/>
                <w:color w:val="auto"/>
              </w:rPr>
            </w:pPr>
            <w:r>
              <w:rPr>
                <w:rFonts w:ascii="Calibri" w:cs="Calibri" w:eastAsia="Calibri" w:hAnsi="Calibri"/>
                <w:sz w:val="18"/>
                <w:szCs w:val="18"/>
                <w:color w:val="auto"/>
              </w:rPr>
              <w:t>Expected long-term rate of return on assets</w:t>
            </w:r>
          </w:p>
        </w:tc>
        <w:tc>
          <w:tcPr>
            <w:tcW w:w="1640" w:type="dxa"/>
            <w:vAlign w:val="bottom"/>
          </w:tcPr>
          <w:p>
            <w:pPr>
              <w:jc w:val="center"/>
              <w:ind w:left="70"/>
              <w:spacing w:after="0" w:line="215" w:lineRule="exact"/>
              <w:rPr>
                <w:sz w:val="20"/>
                <w:szCs w:val="20"/>
                <w:color w:val="auto"/>
              </w:rPr>
            </w:pPr>
            <w:r>
              <w:rPr>
                <w:rFonts w:ascii="Calibri" w:cs="Calibri" w:eastAsia="Calibri" w:hAnsi="Calibri"/>
                <w:sz w:val="18"/>
                <w:szCs w:val="18"/>
                <w:b w:val="1"/>
                <w:bCs w:val="1"/>
                <w:color w:val="auto"/>
                <w:w w:val="97"/>
              </w:rPr>
              <w:t>6.75%</w:t>
            </w:r>
          </w:p>
        </w:tc>
        <w:tc>
          <w:tcPr>
            <w:tcW w:w="160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8"/>
              </w:rPr>
              <w:t>6.75%</w:t>
            </w:r>
          </w:p>
        </w:tc>
        <w:tc>
          <w:tcPr>
            <w:tcW w:w="160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8"/>
              </w:rPr>
              <w:t>6.75%</w:t>
            </w:r>
          </w:p>
        </w:tc>
      </w:tr>
      <w:tr>
        <w:trPr>
          <w:trHeight w:val="28"/>
        </w:trPr>
        <w:tc>
          <w:tcPr>
            <w:tcW w:w="6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-175260</wp:posOffset>
            </wp:positionV>
            <wp:extent cx="33655" cy="18859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-175260</wp:posOffset>
            </wp:positionV>
            <wp:extent cx="33655" cy="18859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-175260</wp:posOffset>
            </wp:positionV>
            <wp:extent cx="34290" cy="18859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expected long-term rate of return on pension fund assets is based on the current asset class mix of the Company's pension plan assets, current capital market conditons and a stochastc forecast of future conditons.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2023 and 2022, the Company estmated the remaining lives of partcipants in the pension plans using the Pri-2012 Base tables. The no-collar table was used for salaried partcipants and the blue-collar table was used for hourly partcipants; the tables were adjusted to refect both the mortality experience of the Company’s partcipants and a geospatal mortality analysis. These adjustments were updated from December 31, 2022, where the Pri-2012 tables were only adjusted based on the experience of the Company's partcipants. The Company used the MP-2020 mortality improvement scale for 2023 and 2022.</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Retrement plan assets are invested in listed stocks, bonds, real estate, private infrastructure and cash equivalents. The target allocaton for 2023 and the actual pension plan asset allocaton by asset class are as follows:</w:t>
      </w:r>
    </w:p>
    <w:p>
      <w:pPr>
        <w:spacing w:after="0" w:line="118" w:lineRule="exact"/>
        <w:rPr>
          <w:sz w:val="20"/>
          <w:szCs w:val="20"/>
          <w:color w:val="auto"/>
        </w:rPr>
      </w:pPr>
    </w:p>
    <w:p>
      <w:pPr>
        <w:ind w:left="7900"/>
        <w:spacing w:after="0"/>
        <w:rPr>
          <w:sz w:val="20"/>
          <w:szCs w:val="20"/>
          <w:color w:val="auto"/>
        </w:rPr>
      </w:pPr>
      <w:r>
        <w:rPr>
          <w:rFonts w:ascii="Calibri" w:cs="Calibri" w:eastAsia="Calibri" w:hAnsi="Calibri"/>
          <w:sz w:val="18"/>
          <w:szCs w:val="18"/>
          <w:b w:val="1"/>
          <w:bCs w:val="1"/>
          <w:color w:val="FFFFFF"/>
        </w:rPr>
        <w:t>Percentage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6254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7132320" cy="62547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20" w:type="dxa"/>
            <w:vAlign w:val="bottom"/>
          </w:tcPr>
          <w:p>
            <w:pPr>
              <w:spacing w:after="0"/>
              <w:rPr>
                <w:sz w:val="20"/>
                <w:szCs w:val="20"/>
                <w:color w:val="auto"/>
              </w:rPr>
            </w:pPr>
          </w:p>
        </w:tc>
        <w:tc>
          <w:tcPr>
            <w:tcW w:w="1620" w:type="dxa"/>
            <w:vAlign w:val="bottom"/>
            <w:tcBorders>
              <w:right w:val="single" w:sz="8" w:color="007CBA"/>
            </w:tcBorders>
            <w:shd w:val="clear" w:color="auto" w:fill="007CBA"/>
          </w:tcPr>
          <w:p>
            <w:pPr>
              <w:jc w:val="center"/>
              <w:ind w:left="90"/>
              <w:spacing w:after="0"/>
              <w:rPr>
                <w:sz w:val="20"/>
                <w:szCs w:val="20"/>
                <w:color w:val="auto"/>
              </w:rPr>
            </w:pPr>
            <w:r>
              <w:rPr>
                <w:rFonts w:ascii="Calibri" w:cs="Calibri" w:eastAsia="Calibri" w:hAnsi="Calibri"/>
                <w:sz w:val="18"/>
                <w:szCs w:val="18"/>
                <w:b w:val="1"/>
                <w:bCs w:val="1"/>
                <w:color w:val="FFFFFF"/>
                <w:w w:val="98"/>
              </w:rPr>
              <w:t>2023</w:t>
            </w:r>
          </w:p>
        </w:tc>
        <w:tc>
          <w:tcPr>
            <w:tcW w:w="1160" w:type="dxa"/>
            <w:vAlign w:val="bottom"/>
            <w:shd w:val="clear" w:color="auto" w:fill="007CBA"/>
          </w:tcPr>
          <w:p>
            <w:pPr>
              <w:spacing w:after="0"/>
              <w:rPr>
                <w:sz w:val="20"/>
                <w:szCs w:val="20"/>
                <w:color w:val="auto"/>
              </w:rPr>
            </w:pPr>
          </w:p>
        </w:tc>
        <w:tc>
          <w:tcPr>
            <w:tcW w:w="460" w:type="dxa"/>
            <w:vAlign w:val="bottom"/>
            <w:tcBorders>
              <w:right w:val="single" w:sz="8" w:color="007CBA"/>
            </w:tcBorders>
            <w:shd w:val="clear" w:color="auto" w:fill="007CBA"/>
          </w:tcPr>
          <w:p>
            <w:pPr>
              <w:spacing w:after="0"/>
              <w:rPr>
                <w:sz w:val="20"/>
                <w:szCs w:val="20"/>
                <w:color w:val="auto"/>
              </w:rPr>
            </w:pPr>
          </w:p>
        </w:tc>
        <w:tc>
          <w:tcPr>
            <w:tcW w:w="1580" w:type="dxa"/>
            <w:vAlign w:val="bottom"/>
            <w:shd w:val="clear" w:color="auto" w:fill="007CBA"/>
          </w:tcPr>
          <w:p>
            <w:pPr>
              <w:spacing w:after="0"/>
              <w:rPr>
                <w:sz w:val="20"/>
                <w:szCs w:val="20"/>
                <w:color w:val="auto"/>
              </w:rPr>
            </w:pPr>
          </w:p>
        </w:tc>
      </w:tr>
      <w:tr>
        <w:trPr>
          <w:trHeight w:val="215"/>
        </w:trPr>
        <w:tc>
          <w:tcPr>
            <w:tcW w:w="6420" w:type="dxa"/>
            <w:vAlign w:val="bottom"/>
          </w:tcPr>
          <w:p>
            <w:pPr>
              <w:spacing w:after="0"/>
              <w:rPr>
                <w:sz w:val="18"/>
                <w:szCs w:val="18"/>
                <w:color w:val="auto"/>
              </w:rPr>
            </w:pPr>
          </w:p>
        </w:tc>
        <w:tc>
          <w:tcPr>
            <w:tcW w:w="1620" w:type="dxa"/>
            <w:vAlign w:val="bottom"/>
            <w:tcBorders>
              <w:right w:val="single" w:sz="8" w:color="007CBA"/>
            </w:tcBorders>
            <w:shd w:val="clear" w:color="auto" w:fill="007CBA"/>
          </w:tcPr>
          <w:p>
            <w:pPr>
              <w:jc w:val="center"/>
              <w:ind w:left="90"/>
              <w:spacing w:after="0" w:line="215" w:lineRule="exact"/>
              <w:rPr>
                <w:sz w:val="20"/>
                <w:szCs w:val="20"/>
                <w:color w:val="auto"/>
              </w:rPr>
            </w:pPr>
            <w:r>
              <w:rPr>
                <w:rFonts w:ascii="Calibri" w:cs="Calibri" w:eastAsia="Calibri" w:hAnsi="Calibri"/>
                <w:sz w:val="18"/>
                <w:szCs w:val="18"/>
                <w:b w:val="1"/>
                <w:bCs w:val="1"/>
                <w:color w:val="FFFFFF"/>
                <w:w w:val="91"/>
              </w:rPr>
              <w:t>Target</w:t>
            </w:r>
          </w:p>
        </w:tc>
        <w:tc>
          <w:tcPr>
            <w:tcW w:w="1160" w:type="dxa"/>
            <w:vAlign w:val="bottom"/>
            <w:shd w:val="clear" w:color="auto" w:fill="007CBA"/>
          </w:tcPr>
          <w:p>
            <w:pPr>
              <w:spacing w:after="0"/>
              <w:rPr>
                <w:sz w:val="18"/>
                <w:szCs w:val="18"/>
                <w:color w:val="auto"/>
              </w:rPr>
            </w:pPr>
          </w:p>
        </w:tc>
        <w:tc>
          <w:tcPr>
            <w:tcW w:w="2040" w:type="dxa"/>
            <w:vAlign w:val="bottom"/>
            <w:gridSpan w:val="2"/>
            <w:shd w:val="clear" w:color="auto" w:fill="007CBA"/>
          </w:tcPr>
          <w:p>
            <w:pPr>
              <w:ind w:left="60"/>
              <w:spacing w:after="0" w:line="215" w:lineRule="exact"/>
              <w:rPr>
                <w:sz w:val="20"/>
                <w:szCs w:val="20"/>
                <w:color w:val="auto"/>
              </w:rPr>
            </w:pPr>
            <w:r>
              <w:rPr>
                <w:rFonts w:ascii="Calibri" w:cs="Calibri" w:eastAsia="Calibri" w:hAnsi="Calibri"/>
                <w:sz w:val="18"/>
                <w:szCs w:val="18"/>
                <w:i w:val="1"/>
                <w:iCs w:val="1"/>
                <w:color w:val="FFFFFF"/>
              </w:rPr>
              <w:t>December 31</w:t>
            </w:r>
          </w:p>
        </w:tc>
      </w:tr>
      <w:tr>
        <w:trPr>
          <w:trHeight w:val="259"/>
        </w:trPr>
        <w:tc>
          <w:tcPr>
            <w:tcW w:w="6420" w:type="dxa"/>
            <w:vAlign w:val="bottom"/>
          </w:tcPr>
          <w:p>
            <w:pPr>
              <w:ind w:left="120"/>
              <w:spacing w:after="0"/>
              <w:rPr>
                <w:sz w:val="20"/>
                <w:szCs w:val="20"/>
                <w:color w:val="auto"/>
              </w:rPr>
            </w:pPr>
            <w:r>
              <w:rPr>
                <w:rFonts w:ascii="Calibri" w:cs="Calibri" w:eastAsia="Calibri" w:hAnsi="Calibri"/>
                <w:sz w:val="18"/>
                <w:szCs w:val="18"/>
                <w:b w:val="1"/>
                <w:bCs w:val="1"/>
                <w:color w:val="FFFFFF"/>
              </w:rPr>
              <w:t>Asset Class</w:t>
            </w:r>
          </w:p>
        </w:tc>
        <w:tc>
          <w:tcPr>
            <w:tcW w:w="1620" w:type="dxa"/>
            <w:vAlign w:val="bottom"/>
            <w:tcBorders>
              <w:bottom w:val="single" w:sz="8" w:color="007CBA"/>
              <w:right w:val="single" w:sz="8" w:color="007CBA"/>
            </w:tcBorders>
            <w:shd w:val="clear" w:color="auto" w:fill="007CBA"/>
          </w:tcPr>
          <w:p>
            <w:pPr>
              <w:jc w:val="center"/>
              <w:ind w:left="90"/>
              <w:spacing w:after="0"/>
              <w:rPr>
                <w:sz w:val="20"/>
                <w:szCs w:val="20"/>
                <w:color w:val="auto"/>
              </w:rPr>
            </w:pPr>
            <w:r>
              <w:rPr>
                <w:rFonts w:ascii="Calibri" w:cs="Calibri" w:eastAsia="Calibri" w:hAnsi="Calibri"/>
                <w:sz w:val="18"/>
                <w:szCs w:val="18"/>
                <w:b w:val="1"/>
                <w:bCs w:val="1"/>
                <w:color w:val="FFFFFF"/>
              </w:rPr>
              <w:t>Allocaton</w:t>
            </w:r>
          </w:p>
        </w:tc>
        <w:tc>
          <w:tcPr>
            <w:tcW w:w="1160" w:type="dxa"/>
            <w:vAlign w:val="bottom"/>
            <w:tcBorders>
              <w:bottom w:val="single" w:sz="8" w:color="007CBA"/>
            </w:tcBorders>
            <w:shd w:val="clear" w:color="auto" w:fill="007CBA"/>
          </w:tcPr>
          <w:p>
            <w:pPr>
              <w:jc w:val="center"/>
              <w:ind w:left="550"/>
              <w:spacing w:after="0"/>
              <w:rPr>
                <w:sz w:val="20"/>
                <w:szCs w:val="20"/>
                <w:color w:val="auto"/>
              </w:rPr>
            </w:pPr>
            <w:r>
              <w:rPr>
                <w:rFonts w:ascii="Calibri" w:cs="Calibri" w:eastAsia="Calibri" w:hAnsi="Calibri"/>
                <w:sz w:val="18"/>
                <w:szCs w:val="18"/>
                <w:b w:val="1"/>
                <w:bCs w:val="1"/>
                <w:color w:val="FFFFFF"/>
                <w:w w:val="98"/>
              </w:rPr>
              <w:t>2023</w:t>
            </w:r>
          </w:p>
        </w:tc>
        <w:tc>
          <w:tcPr>
            <w:tcW w:w="2040" w:type="dxa"/>
            <w:vAlign w:val="bottom"/>
            <w:tcBorders>
              <w:bottom w:val="single" w:sz="8" w:color="007CBA"/>
            </w:tcBorders>
            <w:gridSpan w:val="2"/>
            <w:shd w:val="clear" w:color="auto" w:fill="007CBA"/>
          </w:tcPr>
          <w:p>
            <w:pPr>
              <w:jc w:val="center"/>
              <w:ind w:left="510"/>
              <w:spacing w:after="0"/>
              <w:rPr>
                <w:sz w:val="20"/>
                <w:szCs w:val="20"/>
                <w:color w:val="auto"/>
              </w:rPr>
            </w:pPr>
            <w:r>
              <w:rPr>
                <w:rFonts w:ascii="Calibri" w:cs="Calibri" w:eastAsia="Calibri" w:hAnsi="Calibri"/>
                <w:sz w:val="18"/>
                <w:szCs w:val="18"/>
                <w:color w:val="FFFFFF"/>
                <w:w w:val="98"/>
              </w:rPr>
              <w:t>2022</w:t>
            </w:r>
          </w:p>
        </w:tc>
      </w:tr>
      <w:tr>
        <w:trPr>
          <w:trHeight w:val="215"/>
        </w:trPr>
        <w:tc>
          <w:tcPr>
            <w:tcW w:w="6420" w:type="dxa"/>
            <w:vAlign w:val="bottom"/>
            <w:tcBorders>
              <w:right w:val="single" w:sz="8" w:color="007CBA"/>
            </w:tcBorders>
          </w:tcPr>
          <w:p>
            <w:pPr>
              <w:ind w:left="120"/>
              <w:spacing w:after="0" w:line="206" w:lineRule="exact"/>
              <w:rPr>
                <w:sz w:val="20"/>
                <w:szCs w:val="20"/>
                <w:color w:val="auto"/>
              </w:rPr>
            </w:pPr>
            <w:r>
              <w:rPr>
                <w:rFonts w:ascii="Calibri" w:cs="Calibri" w:eastAsia="Calibri" w:hAnsi="Calibri"/>
                <w:sz w:val="18"/>
                <w:szCs w:val="18"/>
                <w:color w:val="auto"/>
              </w:rPr>
              <w:t>Equity securites</w:t>
            </w:r>
          </w:p>
        </w:tc>
        <w:tc>
          <w:tcPr>
            <w:tcW w:w="1620" w:type="dxa"/>
            <w:vAlign w:val="bottom"/>
            <w:tcBorders>
              <w:right w:val="single" w:sz="8" w:color="007CBA"/>
            </w:tcBorders>
          </w:tcPr>
          <w:p>
            <w:pPr>
              <w:jc w:val="center"/>
              <w:ind w:left="70"/>
              <w:spacing w:after="0" w:line="215" w:lineRule="exact"/>
              <w:rPr>
                <w:sz w:val="20"/>
                <w:szCs w:val="20"/>
                <w:color w:val="auto"/>
              </w:rPr>
            </w:pPr>
            <w:r>
              <w:rPr>
                <w:rFonts w:ascii="Calibri" w:cs="Calibri" w:eastAsia="Calibri" w:hAnsi="Calibri"/>
                <w:sz w:val="18"/>
                <w:szCs w:val="18"/>
                <w:color w:val="auto"/>
                <w:w w:val="96"/>
              </w:rPr>
              <w:t>56%</w:t>
            </w:r>
          </w:p>
        </w:tc>
        <w:tc>
          <w:tcPr>
            <w:tcW w:w="1160" w:type="dxa"/>
            <w:vAlign w:val="bottom"/>
          </w:tcPr>
          <w:p>
            <w:pPr>
              <w:jc w:val="center"/>
              <w:ind w:left="530"/>
              <w:spacing w:after="0" w:line="215" w:lineRule="exact"/>
              <w:rPr>
                <w:sz w:val="20"/>
                <w:szCs w:val="20"/>
                <w:color w:val="auto"/>
              </w:rPr>
            </w:pPr>
            <w:r>
              <w:rPr>
                <w:rFonts w:ascii="Calibri" w:cs="Calibri" w:eastAsia="Calibri" w:hAnsi="Calibri"/>
                <w:sz w:val="18"/>
                <w:szCs w:val="18"/>
                <w:b w:val="1"/>
                <w:bCs w:val="1"/>
                <w:color w:val="auto"/>
                <w:w w:val="95"/>
              </w:rPr>
              <w:t>53%</w:t>
            </w:r>
          </w:p>
        </w:tc>
        <w:tc>
          <w:tcPr>
            <w:tcW w:w="460" w:type="dxa"/>
            <w:vAlign w:val="bottom"/>
            <w:tcBorders>
              <w:right w:val="single" w:sz="8" w:color="007CBA"/>
            </w:tcBorders>
          </w:tcPr>
          <w:p>
            <w:pPr>
              <w:spacing w:after="0"/>
              <w:rPr>
                <w:sz w:val="18"/>
                <w:szCs w:val="18"/>
                <w:color w:val="auto"/>
              </w:rPr>
            </w:pPr>
          </w:p>
        </w:tc>
        <w:tc>
          <w:tcPr>
            <w:tcW w:w="158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6"/>
              </w:rPr>
              <w:t>54%</w:t>
            </w:r>
          </w:p>
        </w:tc>
      </w:tr>
      <w:tr>
        <w:trPr>
          <w:trHeight w:val="28"/>
        </w:trPr>
        <w:tc>
          <w:tcPr>
            <w:tcW w:w="6420" w:type="dxa"/>
            <w:vAlign w:val="bottom"/>
            <w:tcBorders>
              <w:right w:val="single" w:sz="8" w:color="007CBA"/>
            </w:tcBorders>
          </w:tcPr>
          <w:p>
            <w:pPr>
              <w:spacing w:after="0"/>
              <w:rPr>
                <w:sz w:val="2"/>
                <w:szCs w:val="2"/>
                <w:color w:val="auto"/>
              </w:rPr>
            </w:pPr>
          </w:p>
        </w:tc>
        <w:tc>
          <w:tcPr>
            <w:tcW w:w="1620" w:type="dxa"/>
            <w:vAlign w:val="bottom"/>
            <w:tcBorders>
              <w:right w:val="single" w:sz="8" w:color="007CBA"/>
            </w:tcBorders>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Borders>
              <w:right w:val="single" w:sz="8" w:color="007CBA"/>
            </w:tcBorders>
          </w:tcPr>
          <w:p>
            <w:pPr>
              <w:spacing w:after="0"/>
              <w:rPr>
                <w:sz w:val="2"/>
                <w:szCs w:val="2"/>
                <w:color w:val="auto"/>
              </w:rPr>
            </w:pPr>
          </w:p>
        </w:tc>
        <w:tc>
          <w:tcPr>
            <w:tcW w:w="1580" w:type="dxa"/>
            <w:vAlign w:val="bottom"/>
          </w:tcPr>
          <w:p>
            <w:pPr>
              <w:spacing w:after="0"/>
              <w:rPr>
                <w:sz w:val="2"/>
                <w:szCs w:val="2"/>
                <w:color w:val="auto"/>
              </w:rPr>
            </w:pPr>
          </w:p>
        </w:tc>
      </w:tr>
      <w:tr>
        <w:trPr>
          <w:trHeight w:val="223"/>
        </w:trPr>
        <w:tc>
          <w:tcPr>
            <w:tcW w:w="642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Debt securites</w:t>
            </w:r>
          </w:p>
        </w:tc>
        <w:tc>
          <w:tcPr>
            <w:tcW w:w="1620" w:type="dxa"/>
            <w:vAlign w:val="bottom"/>
            <w:tcBorders>
              <w:bottom w:val="single" w:sz="8" w:color="E5F1F8"/>
              <w:right w:val="single" w:sz="8" w:color="007CBA"/>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w w:val="96"/>
              </w:rPr>
              <w:t>28%</w:t>
            </w:r>
          </w:p>
        </w:tc>
        <w:tc>
          <w:tcPr>
            <w:tcW w:w="1160" w:type="dxa"/>
            <w:vAlign w:val="bottom"/>
            <w:tcBorders>
              <w:bottom w:val="single" w:sz="8" w:color="E5F1F8"/>
            </w:tcBorders>
            <w:shd w:val="clear" w:color="auto" w:fill="E5F1F8"/>
          </w:tcPr>
          <w:p>
            <w:pPr>
              <w:jc w:val="center"/>
              <w:ind w:left="530"/>
              <w:spacing w:after="0" w:line="215" w:lineRule="exact"/>
              <w:rPr>
                <w:sz w:val="20"/>
                <w:szCs w:val="20"/>
                <w:color w:val="auto"/>
              </w:rPr>
            </w:pPr>
            <w:r>
              <w:rPr>
                <w:rFonts w:ascii="Calibri" w:cs="Calibri" w:eastAsia="Calibri" w:hAnsi="Calibri"/>
                <w:sz w:val="18"/>
                <w:szCs w:val="18"/>
                <w:b w:val="1"/>
                <w:bCs w:val="1"/>
                <w:color w:val="auto"/>
                <w:w w:val="95"/>
              </w:rPr>
              <w:t>27%</w:t>
            </w:r>
          </w:p>
        </w:tc>
        <w:tc>
          <w:tcPr>
            <w:tcW w:w="460" w:type="dxa"/>
            <w:vAlign w:val="bottom"/>
            <w:tcBorders>
              <w:bottom w:val="single" w:sz="8" w:color="E5F1F8"/>
              <w:right w:val="single" w:sz="8" w:color="007CBA"/>
            </w:tcBorders>
            <w:shd w:val="clear" w:color="auto" w:fill="E5F1F8"/>
          </w:tcPr>
          <w:p>
            <w:pPr>
              <w:spacing w:after="0"/>
              <w:rPr>
                <w:sz w:val="19"/>
                <w:szCs w:val="19"/>
                <w:color w:val="auto"/>
              </w:rPr>
            </w:pPr>
          </w:p>
        </w:tc>
        <w:tc>
          <w:tcPr>
            <w:tcW w:w="1580" w:type="dxa"/>
            <w:vAlign w:val="bottom"/>
            <w:tcBorders>
              <w:bottom w:val="single" w:sz="8" w:color="E5F1F8"/>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w w:val="96"/>
              </w:rPr>
              <w:t>24%</w:t>
            </w:r>
          </w:p>
        </w:tc>
      </w:tr>
      <w:tr>
        <w:trPr>
          <w:trHeight w:val="243"/>
        </w:trPr>
        <w:tc>
          <w:tcPr>
            <w:tcW w:w="64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Real estate</w:t>
            </w:r>
          </w:p>
        </w:tc>
        <w:tc>
          <w:tcPr>
            <w:tcW w:w="1620" w:type="dxa"/>
            <w:vAlign w:val="bottom"/>
            <w:tcBorders>
              <w:right w:val="single" w:sz="8" w:color="007CBA"/>
            </w:tcBorders>
          </w:tcPr>
          <w:p>
            <w:pPr>
              <w:jc w:val="center"/>
              <w:ind w:left="70"/>
              <w:spacing w:after="0" w:line="215" w:lineRule="exact"/>
              <w:rPr>
                <w:sz w:val="20"/>
                <w:szCs w:val="20"/>
                <w:color w:val="auto"/>
              </w:rPr>
            </w:pPr>
            <w:r>
              <w:rPr>
                <w:rFonts w:ascii="Calibri" w:cs="Calibri" w:eastAsia="Calibri" w:hAnsi="Calibri"/>
                <w:sz w:val="18"/>
                <w:szCs w:val="18"/>
                <w:color w:val="auto"/>
                <w:w w:val="96"/>
              </w:rPr>
              <w:t>10%</w:t>
            </w:r>
          </w:p>
        </w:tc>
        <w:tc>
          <w:tcPr>
            <w:tcW w:w="1160" w:type="dxa"/>
            <w:vAlign w:val="bottom"/>
          </w:tcPr>
          <w:p>
            <w:pPr>
              <w:jc w:val="center"/>
              <w:ind w:left="530"/>
              <w:spacing w:after="0" w:line="215" w:lineRule="exact"/>
              <w:rPr>
                <w:sz w:val="20"/>
                <w:szCs w:val="20"/>
                <w:color w:val="auto"/>
              </w:rPr>
            </w:pPr>
            <w:r>
              <w:rPr>
                <w:rFonts w:ascii="Calibri" w:cs="Calibri" w:eastAsia="Calibri" w:hAnsi="Calibri"/>
                <w:sz w:val="18"/>
                <w:szCs w:val="18"/>
                <w:b w:val="1"/>
                <w:bCs w:val="1"/>
                <w:color w:val="auto"/>
                <w:w w:val="95"/>
              </w:rPr>
              <w:t>12%</w:t>
            </w:r>
          </w:p>
        </w:tc>
        <w:tc>
          <w:tcPr>
            <w:tcW w:w="460" w:type="dxa"/>
            <w:vAlign w:val="bottom"/>
            <w:tcBorders>
              <w:right w:val="single" w:sz="8" w:color="007CBA"/>
            </w:tcBorders>
          </w:tcPr>
          <w:p>
            <w:pPr>
              <w:spacing w:after="0"/>
              <w:rPr>
                <w:sz w:val="21"/>
                <w:szCs w:val="21"/>
                <w:color w:val="auto"/>
              </w:rPr>
            </w:pPr>
          </w:p>
        </w:tc>
        <w:tc>
          <w:tcPr>
            <w:tcW w:w="1580" w:type="dxa"/>
            <w:vAlign w:val="bottom"/>
          </w:tcPr>
          <w:p>
            <w:pPr>
              <w:jc w:val="center"/>
              <w:ind w:left="70"/>
              <w:spacing w:after="0" w:line="215" w:lineRule="exact"/>
              <w:rPr>
                <w:sz w:val="20"/>
                <w:szCs w:val="20"/>
                <w:color w:val="auto"/>
              </w:rPr>
            </w:pPr>
            <w:r>
              <w:rPr>
                <w:rFonts w:ascii="Calibri" w:cs="Calibri" w:eastAsia="Calibri" w:hAnsi="Calibri"/>
                <w:sz w:val="18"/>
                <w:szCs w:val="18"/>
                <w:color w:val="auto"/>
                <w:w w:val="96"/>
              </w:rPr>
              <w:t>14%</w:t>
            </w:r>
          </w:p>
        </w:tc>
      </w:tr>
      <w:tr>
        <w:trPr>
          <w:trHeight w:val="248"/>
        </w:trPr>
        <w:tc>
          <w:tcPr>
            <w:tcW w:w="642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Private infrastructure</w:t>
            </w:r>
          </w:p>
        </w:tc>
        <w:tc>
          <w:tcPr>
            <w:tcW w:w="1620" w:type="dxa"/>
            <w:vAlign w:val="bottom"/>
            <w:tcBorders>
              <w:bottom w:val="single" w:sz="8" w:color="E5F1F8"/>
              <w:right w:val="single" w:sz="8" w:color="E5F1F8"/>
            </w:tcBorders>
            <w:shd w:val="clear" w:color="auto" w:fill="E5F1F8"/>
          </w:tcPr>
          <w:p>
            <w:pPr>
              <w:jc w:val="center"/>
              <w:ind w:left="70"/>
              <w:spacing w:after="0" w:line="215" w:lineRule="exact"/>
              <w:rPr>
                <w:sz w:val="20"/>
                <w:szCs w:val="20"/>
                <w:color w:val="auto"/>
              </w:rPr>
            </w:pPr>
            <w:r>
              <w:rPr>
                <w:rFonts w:ascii="Calibri" w:cs="Calibri" w:eastAsia="Calibri" w:hAnsi="Calibri"/>
                <w:sz w:val="18"/>
                <w:szCs w:val="18"/>
                <w:color w:val="auto"/>
                <w:w w:val="99"/>
              </w:rPr>
              <w:t>6%</w:t>
            </w:r>
          </w:p>
        </w:tc>
        <w:tc>
          <w:tcPr>
            <w:tcW w:w="1160" w:type="dxa"/>
            <w:vAlign w:val="bottom"/>
            <w:tcBorders>
              <w:bottom w:val="single" w:sz="8" w:color="E5F1F8"/>
            </w:tcBorders>
            <w:shd w:val="clear" w:color="auto" w:fill="E5F1F8"/>
          </w:tcPr>
          <w:p>
            <w:pPr>
              <w:jc w:val="center"/>
              <w:ind w:left="530"/>
              <w:spacing w:after="0" w:line="215" w:lineRule="exact"/>
              <w:rPr>
                <w:sz w:val="20"/>
                <w:szCs w:val="20"/>
                <w:color w:val="auto"/>
              </w:rPr>
            </w:pPr>
            <w:r>
              <w:rPr>
                <w:rFonts w:ascii="Calibri" w:cs="Calibri" w:eastAsia="Calibri" w:hAnsi="Calibri"/>
                <w:sz w:val="18"/>
                <w:szCs w:val="18"/>
                <w:b w:val="1"/>
                <w:bCs w:val="1"/>
                <w:color w:val="auto"/>
                <w:w w:val="98"/>
              </w:rPr>
              <w:t>8%</w:t>
            </w:r>
          </w:p>
        </w:tc>
        <w:tc>
          <w:tcPr>
            <w:tcW w:w="2040" w:type="dxa"/>
            <w:vAlign w:val="bottom"/>
            <w:tcBorders>
              <w:bottom w:val="single" w:sz="8" w:color="E5F1F8"/>
            </w:tcBorders>
            <w:gridSpan w:val="2"/>
            <w:shd w:val="clear" w:color="auto" w:fill="E5F1F8"/>
          </w:tcPr>
          <w:p>
            <w:pPr>
              <w:jc w:val="center"/>
              <w:ind w:left="530"/>
              <w:spacing w:after="0" w:line="215" w:lineRule="exact"/>
              <w:rPr>
                <w:sz w:val="20"/>
                <w:szCs w:val="20"/>
                <w:color w:val="auto"/>
              </w:rPr>
            </w:pPr>
            <w:r>
              <w:rPr>
                <w:rFonts w:ascii="Calibri" w:cs="Calibri" w:eastAsia="Calibri" w:hAnsi="Calibri"/>
                <w:sz w:val="18"/>
                <w:szCs w:val="18"/>
                <w:color w:val="auto"/>
                <w:w w:val="99"/>
              </w:rPr>
              <w:t>8%</w:t>
            </w:r>
          </w:p>
        </w:tc>
      </w:tr>
      <w:tr>
        <w:trPr>
          <w:trHeight w:val="208"/>
        </w:trPr>
        <w:tc>
          <w:tcPr>
            <w:tcW w:w="642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620" w:type="dxa"/>
            <w:vAlign w:val="bottom"/>
            <w:tcBorders>
              <w:top w:val="single" w:sz="8" w:color="auto"/>
            </w:tcBorders>
          </w:tcPr>
          <w:p>
            <w:pPr>
              <w:jc w:val="center"/>
              <w:ind w:left="90"/>
              <w:spacing w:after="0" w:line="208" w:lineRule="exact"/>
              <w:rPr>
                <w:sz w:val="20"/>
                <w:szCs w:val="20"/>
                <w:color w:val="auto"/>
              </w:rPr>
            </w:pPr>
            <w:r>
              <w:rPr>
                <w:rFonts w:ascii="Calibri" w:cs="Calibri" w:eastAsia="Calibri" w:hAnsi="Calibri"/>
                <w:sz w:val="18"/>
                <w:szCs w:val="18"/>
                <w:color w:val="auto"/>
                <w:w w:val="99"/>
              </w:rPr>
              <w:t>100%</w:t>
            </w:r>
          </w:p>
        </w:tc>
        <w:tc>
          <w:tcPr>
            <w:tcW w:w="1160" w:type="dxa"/>
            <w:vAlign w:val="bottom"/>
            <w:tcBorders>
              <w:top w:val="single" w:sz="8" w:color="auto"/>
            </w:tcBorders>
          </w:tcPr>
          <w:p>
            <w:pPr>
              <w:jc w:val="center"/>
              <w:ind w:left="510"/>
              <w:spacing w:after="0" w:line="208" w:lineRule="exact"/>
              <w:rPr>
                <w:sz w:val="20"/>
                <w:szCs w:val="20"/>
                <w:color w:val="auto"/>
              </w:rPr>
            </w:pPr>
            <w:r>
              <w:rPr>
                <w:rFonts w:ascii="Calibri" w:cs="Calibri" w:eastAsia="Calibri" w:hAnsi="Calibri"/>
                <w:sz w:val="18"/>
                <w:szCs w:val="18"/>
                <w:b w:val="1"/>
                <w:bCs w:val="1"/>
                <w:color w:val="auto"/>
                <w:w w:val="98"/>
              </w:rPr>
              <w:t>100%</w:t>
            </w:r>
          </w:p>
        </w:tc>
        <w:tc>
          <w:tcPr>
            <w:tcW w:w="2040" w:type="dxa"/>
            <w:vAlign w:val="bottom"/>
            <w:tcBorders>
              <w:top w:val="single" w:sz="8" w:color="auto"/>
            </w:tcBorders>
            <w:gridSpan w:val="2"/>
          </w:tcPr>
          <w:p>
            <w:pPr>
              <w:jc w:val="center"/>
              <w:ind w:left="510"/>
              <w:spacing w:after="0" w:line="208" w:lineRule="exact"/>
              <w:rPr>
                <w:sz w:val="20"/>
                <w:szCs w:val="20"/>
                <w:color w:val="auto"/>
              </w:rPr>
            </w:pPr>
            <w:r>
              <w:rPr>
                <w:rFonts w:ascii="Calibri" w:cs="Calibri" w:eastAsia="Calibri" w:hAnsi="Calibri"/>
                <w:sz w:val="18"/>
                <w:szCs w:val="18"/>
                <w:color w:val="auto"/>
                <w:w w:val="99"/>
              </w:rPr>
              <w:t>100%</w:t>
            </w:r>
          </w:p>
        </w:tc>
      </w:tr>
      <w:tr>
        <w:trPr>
          <w:trHeight w:val="28"/>
        </w:trPr>
        <w:tc>
          <w:tcPr>
            <w:tcW w:w="6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-354965</wp:posOffset>
            </wp:positionV>
            <wp:extent cx="33655" cy="3683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-354965</wp:posOffset>
            </wp:positionV>
            <wp:extent cx="34290" cy="3683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-354965</wp:posOffset>
            </wp:positionV>
            <wp:extent cx="33655" cy="3683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213995</wp:posOffset>
            </wp:positionV>
            <wp:extent cx="325755" cy="1968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8" w:name="page99"/>
    <w:bookmarkEnd w:id="98"/>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The Company’s investment strategy is for equity securites to be invested in mid-sized to large capitalizaton U.S. funds, and small capitalizaton, internatonal and emerging growth funds. Debt securites, or fxed income investments, are invested in funds benchmarked to the Barclays U.S. Aggregate Bond Index.</w:t>
      </w:r>
    </w:p>
    <w:p>
      <w:pPr>
        <w:spacing w:after="0" w:line="89" w:lineRule="exact"/>
        <w:rPr>
          <w:sz w:val="20"/>
          <w:szCs w:val="20"/>
          <w:color w:val="auto"/>
        </w:rPr>
      </w:pPr>
    </w:p>
    <w:p>
      <w:pPr>
        <w:spacing w:after="0"/>
        <w:rPr>
          <w:sz w:val="20"/>
          <w:szCs w:val="20"/>
          <w:color w:val="auto"/>
        </w:rPr>
      </w:pPr>
      <w:r>
        <w:rPr>
          <w:rFonts w:ascii="Calibri" w:cs="Calibri" w:eastAsia="Calibri" w:hAnsi="Calibri"/>
          <w:sz w:val="18"/>
          <w:szCs w:val="18"/>
          <w:color w:val="auto"/>
        </w:rPr>
        <w:t>The fair values of pension plan assets by asset class and fair value hierarchy level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2640" w:type="dxa"/>
            <w:vAlign w:val="bottom"/>
            <w:gridSpan w:val="4"/>
            <w:shd w:val="clear" w:color="auto" w:fill="007CBA"/>
          </w:tcPr>
          <w:p>
            <w:pPr>
              <w:ind w:left="920"/>
              <w:spacing w:after="0"/>
              <w:rPr>
                <w:sz w:val="20"/>
                <w:szCs w:val="20"/>
                <w:color w:val="auto"/>
              </w:rPr>
            </w:pPr>
            <w:r>
              <w:rPr>
                <w:rFonts w:ascii="Calibri" w:cs="Calibri" w:eastAsia="Calibri" w:hAnsi="Calibri"/>
                <w:sz w:val="16"/>
                <w:szCs w:val="16"/>
                <w:b w:val="1"/>
                <w:bCs w:val="1"/>
                <w:color w:val="FFFFFF"/>
                <w:w w:val="99"/>
              </w:rPr>
              <w:t>Fair Value Measurements</w:t>
            </w:r>
          </w:p>
        </w:tc>
        <w:tc>
          <w:tcPr>
            <w:tcW w:w="16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94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940" w:type="dxa"/>
            <w:vAlign w:val="bottom"/>
            <w:shd w:val="clear" w:color="auto" w:fill="007CBA"/>
          </w:tcPr>
          <w:p>
            <w:pPr>
              <w:spacing w:after="0"/>
              <w:rPr>
                <w:sz w:val="18"/>
                <w:szCs w:val="18"/>
                <w:color w:val="auto"/>
              </w:rPr>
            </w:pPr>
          </w:p>
        </w:tc>
      </w:tr>
      <w:tr>
        <w:trPr>
          <w:trHeight w:val="218"/>
        </w:trPr>
        <w:tc>
          <w:tcPr>
            <w:tcW w:w="4760" w:type="dxa"/>
            <w:vAlign w:val="bottom"/>
            <w:tcBorders>
              <w:right w:val="single" w:sz="8" w:color="007CBA"/>
            </w:tcBorders>
            <w:shd w:val="clear" w:color="auto" w:fill="007CBA"/>
          </w:tcPr>
          <w:p>
            <w:pPr>
              <w:spacing w:after="0"/>
              <w:rPr>
                <w:sz w:val="18"/>
                <w:szCs w:val="18"/>
                <w:color w:val="auto"/>
              </w:rPr>
            </w:pPr>
          </w:p>
        </w:tc>
        <w:tc>
          <w:tcPr>
            <w:tcW w:w="1380" w:type="dxa"/>
            <w:vAlign w:val="bottom"/>
            <w:tcBorders>
              <w:right w:val="single" w:sz="8" w:color="007CBA"/>
            </w:tcBorders>
            <w:gridSpan w:val="2"/>
            <w:shd w:val="clear" w:color="auto" w:fill="007CBA"/>
          </w:tcPr>
          <w:p>
            <w:pPr>
              <w:jc w:val="center"/>
              <w:spacing w:after="0"/>
              <w:rPr>
                <w:sz w:val="20"/>
                <w:szCs w:val="20"/>
                <w:color w:val="auto"/>
              </w:rPr>
            </w:pPr>
            <w:r>
              <w:rPr>
                <w:rFonts w:ascii="Calibri" w:cs="Calibri" w:eastAsia="Calibri" w:hAnsi="Calibri"/>
                <w:sz w:val="16"/>
                <w:szCs w:val="16"/>
                <w:b w:val="1"/>
                <w:bCs w:val="1"/>
                <w:color w:val="FFFFFF"/>
              </w:rPr>
              <w:t>Quoted Prices</w:t>
            </w:r>
          </w:p>
        </w:tc>
        <w:tc>
          <w:tcPr>
            <w:tcW w:w="26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100" w:type="dxa"/>
            <w:vAlign w:val="bottom"/>
            <w:shd w:val="clear" w:color="auto" w:fill="007CBA"/>
          </w:tcPr>
          <w:p>
            <w:pPr>
              <w:spacing w:after="0"/>
              <w:rPr>
                <w:sz w:val="18"/>
                <w:szCs w:val="18"/>
                <w:color w:val="auto"/>
              </w:rPr>
            </w:pPr>
          </w:p>
        </w:tc>
        <w:tc>
          <w:tcPr>
            <w:tcW w:w="16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spacing w:after="0"/>
              <w:rPr>
                <w:sz w:val="18"/>
                <w:szCs w:val="18"/>
                <w:color w:val="auto"/>
              </w:rPr>
            </w:pPr>
          </w:p>
        </w:tc>
        <w:tc>
          <w:tcPr>
            <w:tcW w:w="240" w:type="dxa"/>
            <w:vAlign w:val="bottom"/>
            <w:shd w:val="clear" w:color="auto" w:fill="007CBA"/>
          </w:tcPr>
          <w:p>
            <w:pPr>
              <w:spacing w:after="0"/>
              <w:rPr>
                <w:sz w:val="18"/>
                <w:szCs w:val="18"/>
                <w:color w:val="auto"/>
              </w:rPr>
            </w:pPr>
          </w:p>
        </w:tc>
        <w:tc>
          <w:tcPr>
            <w:tcW w:w="940" w:type="dxa"/>
            <w:vAlign w:val="bottom"/>
            <w:tcBorders>
              <w:right w:val="single" w:sz="8" w:color="007CBA"/>
            </w:tcBorders>
            <w:shd w:val="clear" w:color="auto" w:fill="007CBA"/>
          </w:tcPr>
          <w:p>
            <w:pPr>
              <w:spacing w:after="0"/>
              <w:rPr>
                <w:sz w:val="18"/>
                <w:szCs w:val="18"/>
                <w:color w:val="auto"/>
              </w:rPr>
            </w:pPr>
          </w:p>
        </w:tc>
        <w:tc>
          <w:tcPr>
            <w:tcW w:w="220" w:type="dxa"/>
            <w:vAlign w:val="bottom"/>
            <w:shd w:val="clear" w:color="auto" w:fill="007CBA"/>
          </w:tcPr>
          <w:p>
            <w:pPr>
              <w:spacing w:after="0"/>
              <w:rPr>
                <w:sz w:val="18"/>
                <w:szCs w:val="18"/>
                <w:color w:val="auto"/>
              </w:rPr>
            </w:pPr>
          </w:p>
        </w:tc>
        <w:tc>
          <w:tcPr>
            <w:tcW w:w="940" w:type="dxa"/>
            <w:vAlign w:val="bottom"/>
            <w:shd w:val="clear" w:color="auto" w:fill="007CBA"/>
          </w:tcPr>
          <w:p>
            <w:pPr>
              <w:spacing w:after="0"/>
              <w:rPr>
                <w:sz w:val="18"/>
                <w:szCs w:val="18"/>
                <w:color w:val="auto"/>
              </w:rPr>
            </w:pPr>
          </w:p>
        </w:tc>
      </w:tr>
      <w:tr>
        <w:trPr>
          <w:trHeight w:val="203"/>
        </w:trPr>
        <w:tc>
          <w:tcPr>
            <w:tcW w:w="476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199"/>
              <w:spacing w:after="0"/>
              <w:rPr>
                <w:sz w:val="20"/>
                <w:szCs w:val="20"/>
                <w:color w:val="auto"/>
              </w:rPr>
            </w:pPr>
            <w:r>
              <w:rPr>
                <w:rFonts w:ascii="Calibri" w:cs="Calibri" w:eastAsia="Calibri" w:hAnsi="Calibri"/>
                <w:sz w:val="16"/>
                <w:szCs w:val="16"/>
                <w:b w:val="1"/>
                <w:bCs w:val="1"/>
                <w:color w:val="FFFFFF"/>
              </w:rPr>
              <w:t>in Actve</w:t>
            </w:r>
          </w:p>
        </w:tc>
        <w:tc>
          <w:tcPr>
            <w:tcW w:w="26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spacing w:after="0"/>
              <w:rPr>
                <w:sz w:val="17"/>
                <w:szCs w:val="17"/>
                <w:color w:val="auto"/>
              </w:rPr>
            </w:pPr>
          </w:p>
        </w:tc>
        <w:tc>
          <w:tcPr>
            <w:tcW w:w="100" w:type="dxa"/>
            <w:vAlign w:val="bottom"/>
            <w:shd w:val="clear" w:color="auto" w:fill="007CBA"/>
          </w:tcPr>
          <w:p>
            <w:pPr>
              <w:spacing w:after="0"/>
              <w:rPr>
                <w:sz w:val="17"/>
                <w:szCs w:val="17"/>
                <w:color w:val="auto"/>
              </w:rPr>
            </w:pPr>
          </w:p>
        </w:tc>
        <w:tc>
          <w:tcPr>
            <w:tcW w:w="160" w:type="dxa"/>
            <w:vAlign w:val="bottom"/>
            <w:shd w:val="clear" w:color="auto" w:fill="007CBA"/>
          </w:tcPr>
          <w:p>
            <w:pPr>
              <w:spacing w:after="0"/>
              <w:rPr>
                <w:sz w:val="17"/>
                <w:szCs w:val="17"/>
                <w:color w:val="auto"/>
              </w:rPr>
            </w:pPr>
          </w:p>
        </w:tc>
        <w:tc>
          <w:tcPr>
            <w:tcW w:w="110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94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940" w:type="dxa"/>
            <w:vAlign w:val="bottom"/>
            <w:shd w:val="clear" w:color="auto" w:fill="007CBA"/>
          </w:tcPr>
          <w:p>
            <w:pPr>
              <w:spacing w:after="0"/>
              <w:rPr>
                <w:sz w:val="17"/>
                <w:szCs w:val="17"/>
                <w:color w:val="auto"/>
              </w:rPr>
            </w:pPr>
          </w:p>
        </w:tc>
      </w:tr>
      <w:tr>
        <w:trPr>
          <w:trHeight w:val="203"/>
        </w:trPr>
        <w:tc>
          <w:tcPr>
            <w:tcW w:w="476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199"/>
              <w:spacing w:after="0"/>
              <w:rPr>
                <w:sz w:val="20"/>
                <w:szCs w:val="20"/>
                <w:color w:val="auto"/>
              </w:rPr>
            </w:pPr>
            <w:r>
              <w:rPr>
                <w:rFonts w:ascii="Calibri" w:cs="Calibri" w:eastAsia="Calibri" w:hAnsi="Calibri"/>
                <w:sz w:val="16"/>
                <w:szCs w:val="16"/>
                <w:b w:val="1"/>
                <w:bCs w:val="1"/>
                <w:color w:val="FFFFFF"/>
                <w:w w:val="97"/>
              </w:rPr>
              <w:t>Markets</w:t>
            </w:r>
          </w:p>
        </w:tc>
        <w:tc>
          <w:tcPr>
            <w:tcW w:w="260" w:type="dxa"/>
            <w:vAlign w:val="bottom"/>
            <w:shd w:val="clear" w:color="auto" w:fill="007CBA"/>
          </w:tcPr>
          <w:p>
            <w:pPr>
              <w:spacing w:after="0"/>
              <w:rPr>
                <w:sz w:val="17"/>
                <w:szCs w:val="17"/>
                <w:color w:val="auto"/>
              </w:rPr>
            </w:pPr>
          </w:p>
        </w:tc>
        <w:tc>
          <w:tcPr>
            <w:tcW w:w="1240" w:type="dxa"/>
            <w:vAlign w:val="bottom"/>
            <w:gridSpan w:val="2"/>
            <w:shd w:val="clear" w:color="auto" w:fill="007CBA"/>
          </w:tcPr>
          <w:p>
            <w:pPr>
              <w:jc w:val="center"/>
              <w:ind w:right="400"/>
              <w:spacing w:after="0"/>
              <w:rPr>
                <w:sz w:val="20"/>
                <w:szCs w:val="20"/>
                <w:color w:val="auto"/>
              </w:rPr>
            </w:pPr>
            <w:r>
              <w:rPr>
                <w:rFonts w:ascii="Calibri" w:cs="Calibri" w:eastAsia="Calibri" w:hAnsi="Calibri"/>
                <w:sz w:val="16"/>
                <w:szCs w:val="16"/>
                <w:b w:val="1"/>
                <w:bCs w:val="1"/>
                <w:color w:val="FFFFFF"/>
              </w:rPr>
              <w:t>Signifcant</w:t>
            </w:r>
          </w:p>
        </w:tc>
        <w:tc>
          <w:tcPr>
            <w:tcW w:w="160" w:type="dxa"/>
            <w:vAlign w:val="bottom"/>
            <w:shd w:val="clear" w:color="auto" w:fill="007CBA"/>
          </w:tcPr>
          <w:p>
            <w:pPr>
              <w:spacing w:after="0"/>
              <w:rPr>
                <w:sz w:val="17"/>
                <w:szCs w:val="17"/>
                <w:color w:val="auto"/>
              </w:rPr>
            </w:pPr>
          </w:p>
        </w:tc>
        <w:tc>
          <w:tcPr>
            <w:tcW w:w="1100" w:type="dxa"/>
            <w:vAlign w:val="bottom"/>
            <w:tcBorders>
              <w:right w:val="single" w:sz="8" w:color="007CBA"/>
            </w:tcBorders>
            <w:shd w:val="clear" w:color="auto" w:fill="007CBA"/>
          </w:tcPr>
          <w:p>
            <w:pPr>
              <w:jc w:val="center"/>
              <w:ind w:right="199"/>
              <w:spacing w:after="0"/>
              <w:rPr>
                <w:sz w:val="20"/>
                <w:szCs w:val="20"/>
                <w:color w:val="auto"/>
              </w:rPr>
            </w:pPr>
            <w:r>
              <w:rPr>
                <w:rFonts w:ascii="Calibri" w:cs="Calibri" w:eastAsia="Calibri" w:hAnsi="Calibri"/>
                <w:sz w:val="16"/>
                <w:szCs w:val="16"/>
                <w:b w:val="1"/>
                <w:bCs w:val="1"/>
                <w:color w:val="FFFFFF"/>
              </w:rPr>
              <w:t>Signifcant</w:t>
            </w:r>
          </w:p>
        </w:tc>
        <w:tc>
          <w:tcPr>
            <w:tcW w:w="240" w:type="dxa"/>
            <w:vAlign w:val="bottom"/>
            <w:shd w:val="clear" w:color="auto" w:fill="007CBA"/>
          </w:tcPr>
          <w:p>
            <w:pPr>
              <w:spacing w:after="0"/>
              <w:rPr>
                <w:sz w:val="17"/>
                <w:szCs w:val="17"/>
                <w:color w:val="auto"/>
              </w:rPr>
            </w:pPr>
          </w:p>
        </w:tc>
        <w:tc>
          <w:tcPr>
            <w:tcW w:w="94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940" w:type="dxa"/>
            <w:vAlign w:val="bottom"/>
            <w:shd w:val="clear" w:color="auto" w:fill="007CBA"/>
          </w:tcPr>
          <w:p>
            <w:pPr>
              <w:spacing w:after="0"/>
              <w:rPr>
                <w:sz w:val="17"/>
                <w:szCs w:val="17"/>
                <w:color w:val="auto"/>
              </w:rPr>
            </w:pPr>
          </w:p>
        </w:tc>
      </w:tr>
      <w:tr>
        <w:trPr>
          <w:trHeight w:val="203"/>
        </w:trPr>
        <w:tc>
          <w:tcPr>
            <w:tcW w:w="476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199"/>
              <w:spacing w:after="0"/>
              <w:rPr>
                <w:sz w:val="20"/>
                <w:szCs w:val="20"/>
                <w:color w:val="auto"/>
              </w:rPr>
            </w:pPr>
            <w:r>
              <w:rPr>
                <w:rFonts w:ascii="Calibri" w:cs="Calibri" w:eastAsia="Calibri" w:hAnsi="Calibri"/>
                <w:sz w:val="16"/>
                <w:szCs w:val="16"/>
                <w:b w:val="1"/>
                <w:bCs w:val="1"/>
                <w:color w:val="FFFFFF"/>
              </w:rPr>
              <w:t>for Identcal</w:t>
            </w:r>
          </w:p>
        </w:tc>
        <w:tc>
          <w:tcPr>
            <w:tcW w:w="260" w:type="dxa"/>
            <w:vAlign w:val="bottom"/>
            <w:shd w:val="clear" w:color="auto" w:fill="007CBA"/>
          </w:tcPr>
          <w:p>
            <w:pPr>
              <w:spacing w:after="0"/>
              <w:rPr>
                <w:sz w:val="17"/>
                <w:szCs w:val="17"/>
                <w:color w:val="auto"/>
              </w:rPr>
            </w:pPr>
          </w:p>
        </w:tc>
        <w:tc>
          <w:tcPr>
            <w:tcW w:w="1240" w:type="dxa"/>
            <w:vAlign w:val="bottom"/>
            <w:gridSpan w:val="2"/>
            <w:shd w:val="clear" w:color="auto" w:fill="007CBA"/>
          </w:tcPr>
          <w:p>
            <w:pPr>
              <w:jc w:val="center"/>
              <w:ind w:right="400"/>
              <w:spacing w:after="0"/>
              <w:rPr>
                <w:sz w:val="20"/>
                <w:szCs w:val="20"/>
                <w:color w:val="auto"/>
              </w:rPr>
            </w:pPr>
            <w:r>
              <w:rPr>
                <w:rFonts w:ascii="Calibri" w:cs="Calibri" w:eastAsia="Calibri" w:hAnsi="Calibri"/>
                <w:sz w:val="16"/>
                <w:szCs w:val="16"/>
                <w:b w:val="1"/>
                <w:bCs w:val="1"/>
                <w:color w:val="FFFFFF"/>
              </w:rPr>
              <w:t>Observable</w:t>
            </w:r>
          </w:p>
        </w:tc>
        <w:tc>
          <w:tcPr>
            <w:tcW w:w="1260" w:type="dxa"/>
            <w:vAlign w:val="bottom"/>
            <w:tcBorders>
              <w:right w:val="single" w:sz="8" w:color="007CBA"/>
            </w:tcBorders>
            <w:gridSpan w:val="2"/>
            <w:shd w:val="clear" w:color="auto" w:fill="007CBA"/>
          </w:tcPr>
          <w:p>
            <w:pPr>
              <w:jc w:val="center"/>
              <w:ind w:right="39"/>
              <w:spacing w:after="0"/>
              <w:rPr>
                <w:sz w:val="20"/>
                <w:szCs w:val="20"/>
                <w:color w:val="auto"/>
              </w:rPr>
            </w:pPr>
            <w:r>
              <w:rPr>
                <w:rFonts w:ascii="Calibri" w:cs="Calibri" w:eastAsia="Calibri" w:hAnsi="Calibri"/>
                <w:sz w:val="16"/>
                <w:szCs w:val="16"/>
                <w:b w:val="1"/>
                <w:bCs w:val="1"/>
                <w:color w:val="FFFFFF"/>
              </w:rPr>
              <w:t>Unobservable</w:t>
            </w:r>
          </w:p>
        </w:tc>
        <w:tc>
          <w:tcPr>
            <w:tcW w:w="240" w:type="dxa"/>
            <w:vAlign w:val="bottom"/>
            <w:shd w:val="clear" w:color="auto" w:fill="007CBA"/>
          </w:tcPr>
          <w:p>
            <w:pPr>
              <w:spacing w:after="0"/>
              <w:rPr>
                <w:sz w:val="17"/>
                <w:szCs w:val="17"/>
                <w:color w:val="auto"/>
              </w:rPr>
            </w:pPr>
          </w:p>
        </w:tc>
        <w:tc>
          <w:tcPr>
            <w:tcW w:w="940" w:type="dxa"/>
            <w:vAlign w:val="bottom"/>
            <w:tcBorders>
              <w:right w:val="single" w:sz="8" w:color="007CBA"/>
            </w:tcBorders>
            <w:shd w:val="clear" w:color="auto" w:fill="007CBA"/>
          </w:tcPr>
          <w:p>
            <w:pPr>
              <w:spacing w:after="0"/>
              <w:rPr>
                <w:sz w:val="17"/>
                <w:szCs w:val="17"/>
                <w:color w:val="auto"/>
              </w:rPr>
            </w:pPr>
          </w:p>
        </w:tc>
        <w:tc>
          <w:tcPr>
            <w:tcW w:w="220" w:type="dxa"/>
            <w:vAlign w:val="bottom"/>
            <w:shd w:val="clear" w:color="auto" w:fill="007CBA"/>
          </w:tcPr>
          <w:p>
            <w:pPr>
              <w:spacing w:after="0"/>
              <w:rPr>
                <w:sz w:val="17"/>
                <w:szCs w:val="17"/>
                <w:color w:val="auto"/>
              </w:rPr>
            </w:pPr>
          </w:p>
        </w:tc>
        <w:tc>
          <w:tcPr>
            <w:tcW w:w="940" w:type="dxa"/>
            <w:vAlign w:val="bottom"/>
            <w:shd w:val="clear" w:color="auto" w:fill="007CBA"/>
          </w:tcPr>
          <w:p>
            <w:pPr>
              <w:spacing w:after="0"/>
              <w:rPr>
                <w:sz w:val="17"/>
                <w:szCs w:val="17"/>
                <w:color w:val="auto"/>
              </w:rPr>
            </w:pPr>
          </w:p>
        </w:tc>
      </w:tr>
      <w:tr>
        <w:trPr>
          <w:trHeight w:val="203"/>
        </w:trPr>
        <w:tc>
          <w:tcPr>
            <w:tcW w:w="4760" w:type="dxa"/>
            <w:vAlign w:val="bottom"/>
            <w:tcBorders>
              <w:right w:val="single" w:sz="8" w:color="007CBA"/>
            </w:tcBorders>
            <w:shd w:val="clear" w:color="auto" w:fill="007CBA"/>
          </w:tcPr>
          <w:p>
            <w:pPr>
              <w:spacing w:after="0"/>
              <w:rPr>
                <w:sz w:val="17"/>
                <w:szCs w:val="17"/>
                <w:color w:val="auto"/>
              </w:rPr>
            </w:pPr>
          </w:p>
        </w:tc>
        <w:tc>
          <w:tcPr>
            <w:tcW w:w="240" w:type="dxa"/>
            <w:vAlign w:val="bottom"/>
            <w:shd w:val="clear" w:color="auto" w:fill="007CBA"/>
          </w:tcPr>
          <w:p>
            <w:pPr>
              <w:spacing w:after="0"/>
              <w:rPr>
                <w:sz w:val="17"/>
                <w:szCs w:val="17"/>
                <w:color w:val="auto"/>
              </w:rPr>
            </w:pPr>
          </w:p>
        </w:tc>
        <w:tc>
          <w:tcPr>
            <w:tcW w:w="1140" w:type="dxa"/>
            <w:vAlign w:val="bottom"/>
            <w:tcBorders>
              <w:right w:val="single" w:sz="8" w:color="007CBA"/>
            </w:tcBorders>
            <w:shd w:val="clear" w:color="auto" w:fill="007CBA"/>
          </w:tcPr>
          <w:p>
            <w:pPr>
              <w:jc w:val="center"/>
              <w:ind w:right="199"/>
              <w:spacing w:after="0"/>
              <w:rPr>
                <w:sz w:val="20"/>
                <w:szCs w:val="20"/>
                <w:color w:val="auto"/>
              </w:rPr>
            </w:pPr>
            <w:r>
              <w:rPr>
                <w:rFonts w:ascii="Calibri" w:cs="Calibri" w:eastAsia="Calibri" w:hAnsi="Calibri"/>
                <w:sz w:val="16"/>
                <w:szCs w:val="16"/>
                <w:b w:val="1"/>
                <w:bCs w:val="1"/>
                <w:color w:val="FFFFFF"/>
                <w:w w:val="98"/>
              </w:rPr>
              <w:t>Assets</w:t>
            </w:r>
          </w:p>
        </w:tc>
        <w:tc>
          <w:tcPr>
            <w:tcW w:w="260" w:type="dxa"/>
            <w:vAlign w:val="bottom"/>
            <w:shd w:val="clear" w:color="auto" w:fill="007CBA"/>
          </w:tcPr>
          <w:p>
            <w:pPr>
              <w:spacing w:after="0"/>
              <w:rPr>
                <w:sz w:val="17"/>
                <w:szCs w:val="17"/>
                <w:color w:val="auto"/>
              </w:rPr>
            </w:pPr>
          </w:p>
        </w:tc>
        <w:tc>
          <w:tcPr>
            <w:tcW w:w="1240" w:type="dxa"/>
            <w:vAlign w:val="bottom"/>
            <w:gridSpan w:val="2"/>
            <w:shd w:val="clear" w:color="auto" w:fill="007CBA"/>
          </w:tcPr>
          <w:p>
            <w:pPr>
              <w:jc w:val="center"/>
              <w:ind w:right="400"/>
              <w:spacing w:after="0"/>
              <w:rPr>
                <w:sz w:val="20"/>
                <w:szCs w:val="20"/>
                <w:color w:val="auto"/>
              </w:rPr>
            </w:pPr>
            <w:r>
              <w:rPr>
                <w:rFonts w:ascii="Calibri" w:cs="Calibri" w:eastAsia="Calibri" w:hAnsi="Calibri"/>
                <w:sz w:val="16"/>
                <w:szCs w:val="16"/>
                <w:b w:val="1"/>
                <w:bCs w:val="1"/>
                <w:color w:val="FFFFFF"/>
              </w:rPr>
              <w:t>Inputs</w:t>
            </w:r>
          </w:p>
        </w:tc>
        <w:tc>
          <w:tcPr>
            <w:tcW w:w="160" w:type="dxa"/>
            <w:vAlign w:val="bottom"/>
            <w:shd w:val="clear" w:color="auto" w:fill="007CBA"/>
          </w:tcPr>
          <w:p>
            <w:pPr>
              <w:spacing w:after="0"/>
              <w:rPr>
                <w:sz w:val="17"/>
                <w:szCs w:val="17"/>
                <w:color w:val="auto"/>
              </w:rPr>
            </w:pPr>
          </w:p>
        </w:tc>
        <w:tc>
          <w:tcPr>
            <w:tcW w:w="1100" w:type="dxa"/>
            <w:vAlign w:val="bottom"/>
            <w:tcBorders>
              <w:right w:val="single" w:sz="8" w:color="007CBA"/>
            </w:tcBorders>
            <w:shd w:val="clear" w:color="auto" w:fill="007CBA"/>
          </w:tcPr>
          <w:p>
            <w:pPr>
              <w:jc w:val="center"/>
              <w:ind w:right="199"/>
              <w:spacing w:after="0"/>
              <w:rPr>
                <w:sz w:val="20"/>
                <w:szCs w:val="20"/>
                <w:color w:val="auto"/>
              </w:rPr>
            </w:pPr>
            <w:r>
              <w:rPr>
                <w:rFonts w:ascii="Calibri" w:cs="Calibri" w:eastAsia="Calibri" w:hAnsi="Calibri"/>
                <w:sz w:val="16"/>
                <w:szCs w:val="16"/>
                <w:b w:val="1"/>
                <w:bCs w:val="1"/>
                <w:color w:val="FFFFFF"/>
                <w:w w:val="99"/>
              </w:rPr>
              <w:t>Inputs</w:t>
            </w:r>
          </w:p>
        </w:tc>
        <w:tc>
          <w:tcPr>
            <w:tcW w:w="240" w:type="dxa"/>
            <w:vAlign w:val="bottom"/>
            <w:shd w:val="clear" w:color="auto" w:fill="007CBA"/>
          </w:tcPr>
          <w:p>
            <w:pPr>
              <w:spacing w:after="0"/>
              <w:rPr>
                <w:sz w:val="17"/>
                <w:szCs w:val="17"/>
                <w:color w:val="auto"/>
              </w:rPr>
            </w:pPr>
          </w:p>
        </w:tc>
        <w:tc>
          <w:tcPr>
            <w:tcW w:w="940" w:type="dxa"/>
            <w:vAlign w:val="bottom"/>
            <w:tcBorders>
              <w:right w:val="single" w:sz="8" w:color="007CBA"/>
            </w:tcBorders>
            <w:shd w:val="clear" w:color="auto" w:fill="007CBA"/>
          </w:tcPr>
          <w:p>
            <w:pPr>
              <w:jc w:val="right"/>
              <w:ind w:right="199"/>
              <w:spacing w:after="0"/>
              <w:rPr>
                <w:sz w:val="20"/>
                <w:szCs w:val="20"/>
                <w:color w:val="auto"/>
              </w:rPr>
            </w:pPr>
            <w:r>
              <w:rPr>
                <w:rFonts w:ascii="Calibri" w:cs="Calibri" w:eastAsia="Calibri" w:hAnsi="Calibri"/>
                <w:sz w:val="16"/>
                <w:szCs w:val="16"/>
                <w:b w:val="1"/>
                <w:bCs w:val="1"/>
                <w:color w:val="FFFFFF"/>
              </w:rPr>
              <w:t>Net Asset</w:t>
            </w:r>
          </w:p>
        </w:tc>
        <w:tc>
          <w:tcPr>
            <w:tcW w:w="220" w:type="dxa"/>
            <w:vAlign w:val="bottom"/>
            <w:shd w:val="clear" w:color="auto" w:fill="007CBA"/>
          </w:tcPr>
          <w:p>
            <w:pPr>
              <w:spacing w:after="0"/>
              <w:rPr>
                <w:sz w:val="17"/>
                <w:szCs w:val="17"/>
                <w:color w:val="auto"/>
              </w:rPr>
            </w:pPr>
          </w:p>
        </w:tc>
        <w:tc>
          <w:tcPr>
            <w:tcW w:w="940" w:type="dxa"/>
            <w:vAlign w:val="bottom"/>
            <w:shd w:val="clear" w:color="auto" w:fill="007CBA"/>
          </w:tcPr>
          <w:p>
            <w:pPr>
              <w:jc w:val="right"/>
              <w:ind w:right="219"/>
              <w:spacing w:after="0"/>
              <w:rPr>
                <w:sz w:val="20"/>
                <w:szCs w:val="20"/>
                <w:color w:val="auto"/>
              </w:rPr>
            </w:pPr>
            <w:r>
              <w:rPr>
                <w:rFonts w:ascii="Calibri" w:cs="Calibri" w:eastAsia="Calibri" w:hAnsi="Calibri"/>
                <w:sz w:val="16"/>
                <w:szCs w:val="16"/>
                <w:b w:val="1"/>
                <w:bCs w:val="1"/>
                <w:color w:val="FFFFFF"/>
                <w:w w:val="99"/>
              </w:rPr>
              <w:t>Total Fair</w:t>
            </w:r>
          </w:p>
        </w:tc>
      </w:tr>
      <w:tr>
        <w:trPr>
          <w:trHeight w:val="216"/>
        </w:trPr>
        <w:tc>
          <w:tcPr>
            <w:tcW w:w="47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6"/>
                <w:szCs w:val="16"/>
                <w:i w:val="1"/>
                <w:iCs w:val="1"/>
                <w:color w:val="FFFFFF"/>
              </w:rPr>
              <w:t>December 31</w:t>
            </w:r>
          </w:p>
        </w:tc>
        <w:tc>
          <w:tcPr>
            <w:tcW w:w="24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jc w:val="center"/>
              <w:ind w:right="159"/>
              <w:spacing w:after="0"/>
              <w:rPr>
                <w:sz w:val="20"/>
                <w:szCs w:val="20"/>
                <w:color w:val="auto"/>
              </w:rPr>
            </w:pPr>
            <w:r>
              <w:rPr>
                <w:rFonts w:ascii="Calibri" w:cs="Calibri" w:eastAsia="Calibri" w:hAnsi="Calibri"/>
                <w:sz w:val="16"/>
                <w:szCs w:val="16"/>
                <w:b w:val="1"/>
                <w:bCs w:val="1"/>
                <w:color w:val="FFFFFF"/>
              </w:rPr>
              <w:t>(Level 1)</w:t>
            </w:r>
          </w:p>
        </w:tc>
        <w:tc>
          <w:tcPr>
            <w:tcW w:w="260" w:type="dxa"/>
            <w:vAlign w:val="bottom"/>
            <w:shd w:val="clear" w:color="auto" w:fill="007CBA"/>
          </w:tcPr>
          <w:p>
            <w:pPr>
              <w:spacing w:after="0"/>
              <w:rPr>
                <w:sz w:val="18"/>
                <w:szCs w:val="18"/>
                <w:color w:val="auto"/>
              </w:rPr>
            </w:pPr>
          </w:p>
        </w:tc>
        <w:tc>
          <w:tcPr>
            <w:tcW w:w="1240" w:type="dxa"/>
            <w:vAlign w:val="bottom"/>
            <w:gridSpan w:val="2"/>
            <w:shd w:val="clear" w:color="auto" w:fill="007CBA"/>
          </w:tcPr>
          <w:p>
            <w:pPr>
              <w:jc w:val="center"/>
              <w:ind w:right="360"/>
              <w:spacing w:after="0"/>
              <w:rPr>
                <w:sz w:val="20"/>
                <w:szCs w:val="20"/>
                <w:color w:val="auto"/>
              </w:rPr>
            </w:pPr>
            <w:r>
              <w:rPr>
                <w:rFonts w:ascii="Calibri" w:cs="Calibri" w:eastAsia="Calibri" w:hAnsi="Calibri"/>
                <w:sz w:val="16"/>
                <w:szCs w:val="16"/>
                <w:b w:val="1"/>
                <w:bCs w:val="1"/>
                <w:color w:val="FFFFFF"/>
                <w:w w:val="99"/>
              </w:rPr>
              <w:t>(Level 2)</w:t>
            </w:r>
          </w:p>
        </w:tc>
        <w:tc>
          <w:tcPr>
            <w:tcW w:w="16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w w:val="99"/>
              </w:rPr>
              <w:t>(Level 3)</w:t>
            </w:r>
          </w:p>
        </w:tc>
        <w:tc>
          <w:tcPr>
            <w:tcW w:w="240" w:type="dxa"/>
            <w:vAlign w:val="bottom"/>
            <w:shd w:val="clear" w:color="auto" w:fill="007CBA"/>
          </w:tcPr>
          <w:p>
            <w:pPr>
              <w:spacing w:after="0"/>
              <w:rPr>
                <w:sz w:val="18"/>
                <w:szCs w:val="18"/>
                <w:color w:val="auto"/>
              </w:rPr>
            </w:pPr>
          </w:p>
        </w:tc>
        <w:tc>
          <w:tcPr>
            <w:tcW w:w="940" w:type="dxa"/>
            <w:vAlign w:val="bottom"/>
            <w:tcBorders>
              <w:right w:val="single" w:sz="8" w:color="007CBA"/>
            </w:tcBorders>
            <w:shd w:val="clear" w:color="auto" w:fill="007CBA"/>
          </w:tcPr>
          <w:p>
            <w:pPr>
              <w:jc w:val="right"/>
              <w:ind w:right="319"/>
              <w:spacing w:after="0"/>
              <w:rPr>
                <w:sz w:val="20"/>
                <w:szCs w:val="20"/>
                <w:color w:val="auto"/>
              </w:rPr>
            </w:pPr>
            <w:r>
              <w:rPr>
                <w:rFonts w:ascii="Calibri" w:cs="Calibri" w:eastAsia="Calibri" w:hAnsi="Calibri"/>
                <w:sz w:val="16"/>
                <w:szCs w:val="16"/>
                <w:b w:val="1"/>
                <w:bCs w:val="1"/>
                <w:color w:val="FFFFFF"/>
              </w:rPr>
              <w:t>Value</w:t>
            </w:r>
          </w:p>
        </w:tc>
        <w:tc>
          <w:tcPr>
            <w:tcW w:w="220" w:type="dxa"/>
            <w:vAlign w:val="bottom"/>
            <w:shd w:val="clear" w:color="auto" w:fill="007CBA"/>
          </w:tcPr>
          <w:p>
            <w:pPr>
              <w:spacing w:after="0"/>
              <w:rPr>
                <w:sz w:val="18"/>
                <w:szCs w:val="18"/>
                <w:color w:val="auto"/>
              </w:rPr>
            </w:pPr>
          </w:p>
        </w:tc>
        <w:tc>
          <w:tcPr>
            <w:tcW w:w="940" w:type="dxa"/>
            <w:vAlign w:val="bottom"/>
            <w:shd w:val="clear" w:color="auto" w:fill="007CBA"/>
          </w:tcPr>
          <w:p>
            <w:pPr>
              <w:jc w:val="right"/>
              <w:ind w:right="319"/>
              <w:spacing w:after="0"/>
              <w:rPr>
                <w:sz w:val="20"/>
                <w:szCs w:val="20"/>
                <w:color w:val="auto"/>
              </w:rPr>
            </w:pPr>
            <w:r>
              <w:rPr>
                <w:rFonts w:ascii="Calibri" w:cs="Calibri" w:eastAsia="Calibri" w:hAnsi="Calibri"/>
                <w:sz w:val="16"/>
                <w:szCs w:val="16"/>
                <w:b w:val="1"/>
                <w:bCs w:val="1"/>
                <w:color w:val="FFFFFF"/>
              </w:rPr>
              <w:t>Value</w:t>
            </w:r>
          </w:p>
        </w:tc>
      </w:tr>
      <w:tr>
        <w:trPr>
          <w:trHeight w:val="251"/>
        </w:trPr>
        <w:tc>
          <w:tcPr>
            <w:tcW w:w="476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6"/>
                <w:szCs w:val="16"/>
                <w:color w:val="FFFFFF"/>
              </w:rPr>
              <w:t>(in millions)</w:t>
            </w:r>
          </w:p>
        </w:tc>
        <w:tc>
          <w:tcPr>
            <w:tcW w:w="24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right w:val="single" w:sz="8" w:color="007CBA"/>
            </w:tcBorders>
            <w:shd w:val="clear" w:color="auto" w:fill="007CBA"/>
          </w:tcPr>
          <w:p>
            <w:pPr>
              <w:spacing w:after="0"/>
              <w:rPr>
                <w:sz w:val="21"/>
                <w:szCs w:val="21"/>
                <w:color w:val="auto"/>
              </w:rPr>
            </w:pPr>
          </w:p>
        </w:tc>
        <w:tc>
          <w:tcPr>
            <w:tcW w:w="26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right w:val="single" w:sz="8" w:color="007CBA"/>
            </w:tcBorders>
            <w:shd w:val="clear" w:color="auto" w:fill="007CBA"/>
          </w:tcPr>
          <w:p>
            <w:pPr>
              <w:spacing w:after="0"/>
              <w:rPr>
                <w:sz w:val="21"/>
                <w:szCs w:val="21"/>
                <w:color w:val="auto"/>
              </w:rPr>
            </w:pPr>
          </w:p>
        </w:tc>
        <w:tc>
          <w:tcPr>
            <w:tcW w:w="100" w:type="dxa"/>
            <w:vAlign w:val="bottom"/>
            <w:tcBorders>
              <w:bottom w:val="single" w:sz="8" w:color="007CBA"/>
            </w:tcBorders>
            <w:shd w:val="clear" w:color="auto" w:fill="007CBA"/>
          </w:tcPr>
          <w:p>
            <w:pPr>
              <w:spacing w:after="0"/>
              <w:rPr>
                <w:sz w:val="21"/>
                <w:szCs w:val="21"/>
                <w:color w:val="auto"/>
              </w:rPr>
            </w:pPr>
          </w:p>
        </w:tc>
        <w:tc>
          <w:tcPr>
            <w:tcW w:w="160" w:type="dxa"/>
            <w:vAlign w:val="bottom"/>
            <w:tcBorders>
              <w:bottom w:val="single" w:sz="8" w:color="007CBA"/>
            </w:tcBorders>
            <w:shd w:val="clear" w:color="auto" w:fill="007CBA"/>
          </w:tcPr>
          <w:p>
            <w:pPr>
              <w:spacing w:after="0"/>
              <w:rPr>
                <w:sz w:val="21"/>
                <w:szCs w:val="21"/>
                <w:color w:val="auto"/>
              </w:rPr>
            </w:pPr>
          </w:p>
        </w:tc>
        <w:tc>
          <w:tcPr>
            <w:tcW w:w="1100" w:type="dxa"/>
            <w:vAlign w:val="bottom"/>
            <w:tcBorders>
              <w:bottom w:val="single" w:sz="8" w:color="007CBA"/>
              <w:right w:val="single" w:sz="8" w:color="007CBA"/>
            </w:tcBorders>
            <w:shd w:val="clear" w:color="auto" w:fill="007CBA"/>
          </w:tcPr>
          <w:p>
            <w:pPr>
              <w:ind w:left="40"/>
              <w:spacing w:after="0"/>
              <w:rPr>
                <w:sz w:val="20"/>
                <w:szCs w:val="20"/>
                <w:color w:val="auto"/>
              </w:rPr>
            </w:pPr>
            <w:r>
              <w:rPr>
                <w:rFonts w:ascii="Calibri" w:cs="Calibri" w:eastAsia="Calibri" w:hAnsi="Calibri"/>
                <w:sz w:val="16"/>
                <w:szCs w:val="16"/>
                <w:b w:val="1"/>
                <w:bCs w:val="1"/>
                <w:color w:val="FFFFFF"/>
              </w:rPr>
              <w:t>2023</w:t>
            </w:r>
          </w:p>
        </w:tc>
        <w:tc>
          <w:tcPr>
            <w:tcW w:w="240" w:type="dxa"/>
            <w:vAlign w:val="bottom"/>
            <w:tcBorders>
              <w:bottom w:val="single" w:sz="8" w:color="007CBA"/>
            </w:tcBorders>
            <w:shd w:val="clear" w:color="auto" w:fill="007CBA"/>
          </w:tcPr>
          <w:p>
            <w:pPr>
              <w:spacing w:after="0"/>
              <w:rPr>
                <w:sz w:val="21"/>
                <w:szCs w:val="21"/>
                <w:color w:val="auto"/>
              </w:rPr>
            </w:pPr>
          </w:p>
        </w:tc>
        <w:tc>
          <w:tcPr>
            <w:tcW w:w="940" w:type="dxa"/>
            <w:vAlign w:val="bottom"/>
            <w:tcBorders>
              <w:bottom w:val="single" w:sz="8" w:color="007CBA"/>
              <w:right w:val="single" w:sz="8" w:color="007CBA"/>
            </w:tcBorders>
            <w:shd w:val="clear" w:color="auto" w:fill="007CBA"/>
          </w:tcPr>
          <w:p>
            <w:pPr>
              <w:spacing w:after="0"/>
              <w:rPr>
                <w:sz w:val="21"/>
                <w:szCs w:val="21"/>
                <w:color w:val="auto"/>
              </w:rPr>
            </w:pPr>
          </w:p>
        </w:tc>
        <w:tc>
          <w:tcPr>
            <w:tcW w:w="220" w:type="dxa"/>
            <w:vAlign w:val="bottom"/>
            <w:tcBorders>
              <w:bottom w:val="single" w:sz="8" w:color="007CBA"/>
            </w:tcBorders>
            <w:shd w:val="clear" w:color="auto" w:fill="007CBA"/>
          </w:tcPr>
          <w:p>
            <w:pPr>
              <w:spacing w:after="0"/>
              <w:rPr>
                <w:sz w:val="21"/>
                <w:szCs w:val="21"/>
                <w:color w:val="auto"/>
              </w:rPr>
            </w:pPr>
          </w:p>
        </w:tc>
        <w:tc>
          <w:tcPr>
            <w:tcW w:w="940" w:type="dxa"/>
            <w:vAlign w:val="bottom"/>
            <w:tcBorders>
              <w:bottom w:val="single" w:sz="8" w:color="007CBA"/>
            </w:tcBorders>
            <w:shd w:val="clear" w:color="auto" w:fill="007CBA"/>
          </w:tcPr>
          <w:p>
            <w:pPr>
              <w:spacing w:after="0"/>
              <w:rPr>
                <w:sz w:val="21"/>
                <w:szCs w:val="21"/>
                <w:color w:val="auto"/>
              </w:rPr>
            </w:pPr>
          </w:p>
        </w:tc>
      </w:tr>
      <w:tr>
        <w:trPr>
          <w:trHeight w:val="229"/>
        </w:trPr>
        <w:tc>
          <w:tcPr>
            <w:tcW w:w="4760" w:type="dxa"/>
            <w:vAlign w:val="bottom"/>
            <w:tcBorders>
              <w:right w:val="single" w:sz="8" w:color="007CBA"/>
            </w:tcBorders>
            <w:shd w:val="clear" w:color="auto" w:fill="E5F1F8"/>
          </w:tcPr>
          <w:p>
            <w:pPr>
              <w:ind w:left="120"/>
              <w:spacing w:after="0" w:line="229" w:lineRule="exact"/>
              <w:rPr>
                <w:sz w:val="20"/>
                <w:szCs w:val="20"/>
                <w:color w:val="auto"/>
              </w:rPr>
            </w:pPr>
            <w:r>
              <w:rPr>
                <w:rFonts w:ascii="Calibri" w:cs="Calibri" w:eastAsia="Calibri" w:hAnsi="Calibri"/>
                <w:sz w:val="16"/>
                <w:szCs w:val="16"/>
                <w:color w:val="auto"/>
              </w:rPr>
              <w:t>Equity securites</w:t>
            </w:r>
            <w:r>
              <w:rPr>
                <w:rFonts w:ascii="Calibri" w:cs="Calibri" w:eastAsia="Calibri" w:hAnsi="Calibri"/>
                <w:sz w:val="21"/>
                <w:szCs w:val="21"/>
                <w:color w:val="auto"/>
                <w:vertAlign w:val="superscript"/>
              </w:rPr>
              <w:t>1</w:t>
            </w:r>
            <w:r>
              <w:rPr>
                <w:rFonts w:ascii="Calibri" w:cs="Calibri" w:eastAsia="Calibri" w:hAnsi="Calibri"/>
                <w:sz w:val="16"/>
                <w:szCs w:val="16"/>
                <w:color w:val="auto"/>
              </w:rPr>
              <w:t>:</w:t>
            </w:r>
          </w:p>
        </w:tc>
        <w:tc>
          <w:tcPr>
            <w:tcW w:w="24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spacing w:after="0"/>
              <w:rPr>
                <w:sz w:val="19"/>
                <w:szCs w:val="19"/>
                <w:color w:val="auto"/>
              </w:rPr>
            </w:pPr>
          </w:p>
        </w:tc>
        <w:tc>
          <w:tcPr>
            <w:tcW w:w="26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spacing w:after="0"/>
              <w:rPr>
                <w:sz w:val="19"/>
                <w:szCs w:val="19"/>
                <w:color w:val="auto"/>
              </w:rPr>
            </w:pPr>
          </w:p>
        </w:tc>
        <w:tc>
          <w:tcPr>
            <w:tcW w:w="100" w:type="dxa"/>
            <w:vAlign w:val="bottom"/>
            <w:shd w:val="clear" w:color="auto" w:fill="E5F1F8"/>
          </w:tcPr>
          <w:p>
            <w:pPr>
              <w:spacing w:after="0"/>
              <w:rPr>
                <w:sz w:val="19"/>
                <w:szCs w:val="19"/>
                <w:color w:val="auto"/>
              </w:rPr>
            </w:pPr>
          </w:p>
        </w:tc>
        <w:tc>
          <w:tcPr>
            <w:tcW w:w="160" w:type="dxa"/>
            <w:vAlign w:val="bottom"/>
            <w:shd w:val="clear" w:color="auto" w:fill="E5F1F8"/>
          </w:tcPr>
          <w:p>
            <w:pPr>
              <w:spacing w:after="0"/>
              <w:rPr>
                <w:sz w:val="19"/>
                <w:szCs w:val="19"/>
                <w:color w:val="auto"/>
              </w:rPr>
            </w:pPr>
          </w:p>
        </w:tc>
        <w:tc>
          <w:tcPr>
            <w:tcW w:w="1100" w:type="dxa"/>
            <w:vAlign w:val="bottom"/>
            <w:tcBorders>
              <w:right w:val="single" w:sz="8" w:color="007CBA"/>
            </w:tcBorders>
            <w:shd w:val="clear" w:color="auto" w:fill="E5F1F8"/>
          </w:tcPr>
          <w:p>
            <w:pPr>
              <w:spacing w:after="0"/>
              <w:rPr>
                <w:sz w:val="19"/>
                <w:szCs w:val="19"/>
                <w:color w:val="auto"/>
              </w:rPr>
            </w:pPr>
          </w:p>
        </w:tc>
        <w:tc>
          <w:tcPr>
            <w:tcW w:w="240" w:type="dxa"/>
            <w:vAlign w:val="bottom"/>
            <w:shd w:val="clear" w:color="auto" w:fill="E5F1F8"/>
          </w:tcPr>
          <w:p>
            <w:pPr>
              <w:spacing w:after="0"/>
              <w:rPr>
                <w:sz w:val="19"/>
                <w:szCs w:val="19"/>
                <w:color w:val="auto"/>
              </w:rPr>
            </w:pPr>
          </w:p>
        </w:tc>
        <w:tc>
          <w:tcPr>
            <w:tcW w:w="940" w:type="dxa"/>
            <w:vAlign w:val="bottom"/>
            <w:tcBorders>
              <w:right w:val="single" w:sz="8" w:color="007CBA"/>
            </w:tcBorders>
            <w:shd w:val="clear" w:color="auto" w:fill="E5F1F8"/>
          </w:tcPr>
          <w:p>
            <w:pPr>
              <w:spacing w:after="0"/>
              <w:rPr>
                <w:sz w:val="19"/>
                <w:szCs w:val="19"/>
                <w:color w:val="auto"/>
              </w:rPr>
            </w:pPr>
          </w:p>
        </w:tc>
        <w:tc>
          <w:tcPr>
            <w:tcW w:w="220" w:type="dxa"/>
            <w:vAlign w:val="bottom"/>
            <w:shd w:val="clear" w:color="auto" w:fill="E5F1F8"/>
          </w:tcPr>
          <w:p>
            <w:pPr>
              <w:spacing w:after="0"/>
              <w:rPr>
                <w:sz w:val="19"/>
                <w:szCs w:val="19"/>
                <w:color w:val="auto"/>
              </w:rPr>
            </w:pPr>
          </w:p>
        </w:tc>
        <w:tc>
          <w:tcPr>
            <w:tcW w:w="940" w:type="dxa"/>
            <w:vAlign w:val="bottom"/>
            <w:shd w:val="clear" w:color="auto" w:fill="E5F1F8"/>
          </w:tcPr>
          <w:p>
            <w:pPr>
              <w:spacing w:after="0"/>
              <w:rPr>
                <w:sz w:val="19"/>
                <w:szCs w:val="19"/>
                <w:color w:val="auto"/>
              </w:rPr>
            </w:pPr>
          </w:p>
        </w:tc>
      </w:tr>
      <w:tr>
        <w:trPr>
          <w:trHeight w:val="193"/>
        </w:trPr>
        <w:tc>
          <w:tcPr>
            <w:tcW w:w="4760" w:type="dxa"/>
            <w:vAlign w:val="bottom"/>
            <w:tcBorders>
              <w:right w:val="single" w:sz="8" w:color="007CBA"/>
            </w:tcBorders>
          </w:tcPr>
          <w:p>
            <w:pPr>
              <w:ind w:left="300"/>
              <w:spacing w:after="0" w:line="193" w:lineRule="exact"/>
              <w:rPr>
                <w:sz w:val="20"/>
                <w:szCs w:val="20"/>
                <w:color w:val="auto"/>
              </w:rPr>
            </w:pPr>
            <w:r>
              <w:rPr>
                <w:rFonts w:ascii="Calibri" w:cs="Calibri" w:eastAsia="Calibri" w:hAnsi="Calibri"/>
                <w:sz w:val="16"/>
                <w:szCs w:val="16"/>
                <w:color w:val="auto"/>
              </w:rPr>
              <w:t>Mid-sized to large cap</w:t>
            </w:r>
          </w:p>
        </w:tc>
        <w:tc>
          <w:tcPr>
            <w:tcW w:w="2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1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w:t>
            </w:r>
          </w:p>
        </w:tc>
        <w:tc>
          <w:tcPr>
            <w:tcW w:w="2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140" w:type="dxa"/>
            <w:vAlign w:val="bottom"/>
            <w:tcBorders>
              <w:right w:val="single" w:sz="8" w:color="007CBA"/>
            </w:tcBorders>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Pr>
          <w:p>
            <w:pPr>
              <w:spacing w:after="0"/>
              <w:rPr>
                <w:sz w:val="16"/>
                <w:szCs w:val="16"/>
                <w:color w:val="auto"/>
              </w:rPr>
            </w:pPr>
          </w:p>
        </w:tc>
        <w:tc>
          <w:tcPr>
            <w:tcW w:w="1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1100" w:type="dxa"/>
            <w:vAlign w:val="bottom"/>
            <w:tcBorders>
              <w:right w:val="single" w:sz="8" w:color="007CBA"/>
            </w:tcBorders>
          </w:tcPr>
          <w:p>
            <w:pPr>
              <w:ind w:left="820"/>
              <w:spacing w:after="0" w:line="193" w:lineRule="exact"/>
              <w:rPr>
                <w:sz w:val="20"/>
                <w:szCs w:val="20"/>
                <w:color w:val="auto"/>
              </w:rPr>
            </w:pPr>
            <w:r>
              <w:rPr>
                <w:rFonts w:ascii="Calibri" w:cs="Calibri" w:eastAsia="Calibri" w:hAnsi="Calibri"/>
                <w:sz w:val="16"/>
                <w:szCs w:val="16"/>
                <w:b w:val="1"/>
                <w:bCs w:val="1"/>
                <w:color w:val="auto"/>
              </w:rPr>
              <w:t>—</w:t>
            </w:r>
          </w:p>
        </w:tc>
        <w:tc>
          <w:tcPr>
            <w:tcW w:w="2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9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307.2</w:t>
            </w:r>
          </w:p>
        </w:tc>
        <w:tc>
          <w:tcPr>
            <w:tcW w:w="22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w:t>
            </w: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b w:val="1"/>
                <w:bCs w:val="1"/>
                <w:color w:val="auto"/>
              </w:rPr>
              <w:t>307.2</w:t>
            </w:r>
          </w:p>
        </w:tc>
      </w:tr>
      <w:tr>
        <w:trPr>
          <w:trHeight w:val="36"/>
        </w:trPr>
        <w:tc>
          <w:tcPr>
            <w:tcW w:w="476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Borders>
              <w:right w:val="single" w:sz="8" w:color="007CBA"/>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Borders>
              <w:right w:val="single" w:sz="8" w:color="007CBA"/>
            </w:tcBorders>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0"/>
        </w:trPr>
        <w:tc>
          <w:tcPr>
            <w:tcW w:w="4760" w:type="dxa"/>
            <w:vAlign w:val="bottom"/>
            <w:tcBorders>
              <w:bottom w:val="single" w:sz="8" w:color="E5F1F8"/>
              <w:right w:val="single" w:sz="8" w:color="007CBA"/>
            </w:tcBorders>
            <w:shd w:val="clear" w:color="auto" w:fill="E5F1F8"/>
          </w:tcPr>
          <w:p>
            <w:pPr>
              <w:ind w:left="300"/>
              <w:spacing w:after="0" w:line="193" w:lineRule="exact"/>
              <w:rPr>
                <w:sz w:val="20"/>
                <w:szCs w:val="20"/>
                <w:color w:val="auto"/>
              </w:rPr>
            </w:pPr>
            <w:r>
              <w:rPr>
                <w:rFonts w:ascii="Calibri" w:cs="Calibri" w:eastAsia="Calibri" w:hAnsi="Calibri"/>
                <w:sz w:val="16"/>
                <w:szCs w:val="16"/>
                <w:color w:val="auto"/>
              </w:rPr>
              <w:t>Small cap, internatonal and emerging growth funds</w:t>
            </w:r>
          </w:p>
        </w:tc>
        <w:tc>
          <w:tcPr>
            <w:tcW w:w="24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w:t>
            </w:r>
          </w:p>
        </w:tc>
        <w:tc>
          <w:tcPr>
            <w:tcW w:w="26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right w:val="single" w:sz="8" w:color="007CBA"/>
            </w:tcBorders>
            <w:shd w:val="clear" w:color="auto" w:fill="E5F1F8"/>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60" w:type="dxa"/>
            <w:vAlign w:val="bottom"/>
            <w:tcBorders>
              <w:bottom w:val="single" w:sz="8" w:color="E5F1F8"/>
            </w:tcBorders>
            <w:shd w:val="clear" w:color="auto" w:fill="E5F1F8"/>
          </w:tcPr>
          <w:p>
            <w:pPr>
              <w:spacing w:after="0"/>
              <w:rPr>
                <w:sz w:val="18"/>
                <w:szCs w:val="18"/>
                <w:color w:val="auto"/>
              </w:rPr>
            </w:pPr>
          </w:p>
        </w:tc>
        <w:tc>
          <w:tcPr>
            <w:tcW w:w="1100" w:type="dxa"/>
            <w:vAlign w:val="bottom"/>
            <w:tcBorders>
              <w:bottom w:val="single" w:sz="8" w:color="E5F1F8"/>
              <w:right w:val="single" w:sz="8" w:color="007CBA"/>
            </w:tcBorders>
            <w:shd w:val="clear" w:color="auto" w:fill="E5F1F8"/>
          </w:tcPr>
          <w:p>
            <w:pPr>
              <w:ind w:left="820"/>
              <w:spacing w:after="0" w:line="193" w:lineRule="exact"/>
              <w:rPr>
                <w:sz w:val="20"/>
                <w:szCs w:val="20"/>
                <w:color w:val="auto"/>
              </w:rPr>
            </w:pPr>
            <w:r>
              <w:rPr>
                <w:rFonts w:ascii="Calibri" w:cs="Calibri" w:eastAsia="Calibri" w:hAnsi="Calibri"/>
                <w:sz w:val="16"/>
                <w:szCs w:val="16"/>
                <w:b w:val="1"/>
                <w:bCs w:val="1"/>
                <w:color w:val="auto"/>
              </w:rPr>
              <w:t>—</w:t>
            </w:r>
          </w:p>
        </w:tc>
        <w:tc>
          <w:tcPr>
            <w:tcW w:w="240" w:type="dxa"/>
            <w:vAlign w:val="bottom"/>
            <w:tcBorders>
              <w:bottom w:val="single" w:sz="8" w:color="E5F1F8"/>
            </w:tcBorders>
            <w:shd w:val="clear" w:color="auto" w:fill="E5F1F8"/>
          </w:tcPr>
          <w:p>
            <w:pPr>
              <w:spacing w:after="0"/>
              <w:rPr>
                <w:sz w:val="18"/>
                <w:szCs w:val="18"/>
                <w:color w:val="auto"/>
              </w:rPr>
            </w:pPr>
          </w:p>
        </w:tc>
        <w:tc>
          <w:tcPr>
            <w:tcW w:w="94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319.5</w:t>
            </w:r>
          </w:p>
        </w:tc>
        <w:tc>
          <w:tcPr>
            <w:tcW w:w="220" w:type="dxa"/>
            <w:vAlign w:val="bottom"/>
            <w:tcBorders>
              <w:bottom w:val="single" w:sz="8" w:color="E5F1F8"/>
            </w:tcBorders>
            <w:shd w:val="clear" w:color="auto" w:fill="E5F1F8"/>
          </w:tcPr>
          <w:p>
            <w:pPr>
              <w:spacing w:after="0"/>
              <w:rPr>
                <w:sz w:val="18"/>
                <w:szCs w:val="18"/>
                <w:color w:val="auto"/>
              </w:rPr>
            </w:pPr>
          </w:p>
        </w:tc>
        <w:tc>
          <w:tcPr>
            <w:tcW w:w="94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b w:val="1"/>
                <w:bCs w:val="1"/>
                <w:color w:val="auto"/>
              </w:rPr>
              <w:t>319.5</w:t>
            </w:r>
          </w:p>
        </w:tc>
      </w:tr>
      <w:tr>
        <w:trPr>
          <w:trHeight w:val="229"/>
        </w:trPr>
        <w:tc>
          <w:tcPr>
            <w:tcW w:w="4760" w:type="dxa"/>
            <w:vAlign w:val="bottom"/>
            <w:tcBorders>
              <w:right w:val="single" w:sz="8" w:color="007CBA"/>
            </w:tcBorders>
          </w:tcPr>
          <w:p>
            <w:pPr>
              <w:ind w:left="120"/>
              <w:spacing w:after="0" w:line="229" w:lineRule="exact"/>
              <w:rPr>
                <w:sz w:val="20"/>
                <w:szCs w:val="20"/>
                <w:color w:val="auto"/>
              </w:rPr>
            </w:pPr>
            <w:r>
              <w:rPr>
                <w:rFonts w:ascii="Calibri" w:cs="Calibri" w:eastAsia="Calibri" w:hAnsi="Calibri"/>
                <w:sz w:val="16"/>
                <w:szCs w:val="16"/>
                <w:color w:val="auto"/>
              </w:rPr>
              <w:t>Debt securites</w:t>
            </w:r>
            <w:r>
              <w:rPr>
                <w:rFonts w:ascii="Calibri" w:cs="Calibri" w:eastAsia="Calibri" w:hAnsi="Calibri"/>
                <w:sz w:val="21"/>
                <w:szCs w:val="21"/>
                <w:color w:val="auto"/>
                <w:vertAlign w:val="superscript"/>
              </w:rPr>
              <w:t>1</w:t>
            </w:r>
            <w:r>
              <w:rPr>
                <w:rFonts w:ascii="Calibri" w:cs="Calibri" w:eastAsia="Calibri" w:hAnsi="Calibri"/>
                <w:sz w:val="16"/>
                <w:szCs w:val="16"/>
                <w:color w:val="auto"/>
              </w:rPr>
              <w:t>:</w:t>
            </w:r>
          </w:p>
        </w:tc>
        <w:tc>
          <w:tcPr>
            <w:tcW w:w="240" w:type="dxa"/>
            <w:vAlign w:val="bottom"/>
          </w:tcPr>
          <w:p>
            <w:pPr>
              <w:spacing w:after="0"/>
              <w:rPr>
                <w:sz w:val="19"/>
                <w:szCs w:val="19"/>
                <w:color w:val="auto"/>
              </w:rPr>
            </w:pPr>
          </w:p>
        </w:tc>
        <w:tc>
          <w:tcPr>
            <w:tcW w:w="1140" w:type="dxa"/>
            <w:vAlign w:val="bottom"/>
            <w:tcBorders>
              <w:right w:val="single" w:sz="8" w:color="007CBA"/>
            </w:tcBorders>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Borders>
              <w:right w:val="single" w:sz="8" w:color="007CBA"/>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right w:val="single" w:sz="8" w:color="007CBA"/>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right w:val="single" w:sz="8" w:color="007CBA"/>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0"/>
        </w:trPr>
        <w:tc>
          <w:tcPr>
            <w:tcW w:w="4760" w:type="dxa"/>
            <w:vAlign w:val="bottom"/>
            <w:tcBorders>
              <w:bottom w:val="single" w:sz="8" w:color="E5F1F8"/>
              <w:right w:val="single" w:sz="8" w:color="007CBA"/>
            </w:tcBorders>
            <w:shd w:val="clear" w:color="auto" w:fill="E5F1F8"/>
          </w:tcPr>
          <w:p>
            <w:pPr>
              <w:ind w:left="300"/>
              <w:spacing w:after="0" w:line="193" w:lineRule="exact"/>
              <w:rPr>
                <w:sz w:val="20"/>
                <w:szCs w:val="20"/>
                <w:color w:val="auto"/>
              </w:rPr>
            </w:pPr>
            <w:r>
              <w:rPr>
                <w:rFonts w:ascii="Calibri" w:cs="Calibri" w:eastAsia="Calibri" w:hAnsi="Calibri"/>
                <w:sz w:val="16"/>
                <w:szCs w:val="16"/>
                <w:color w:val="auto"/>
              </w:rPr>
              <w:t>Core fxed income</w:t>
            </w:r>
          </w:p>
        </w:tc>
        <w:tc>
          <w:tcPr>
            <w:tcW w:w="24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w:t>
            </w:r>
          </w:p>
        </w:tc>
        <w:tc>
          <w:tcPr>
            <w:tcW w:w="26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right w:val="single" w:sz="8" w:color="007CBA"/>
            </w:tcBorders>
            <w:shd w:val="clear" w:color="auto" w:fill="E5F1F8"/>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60" w:type="dxa"/>
            <w:vAlign w:val="bottom"/>
            <w:tcBorders>
              <w:bottom w:val="single" w:sz="8" w:color="E5F1F8"/>
            </w:tcBorders>
            <w:shd w:val="clear" w:color="auto" w:fill="E5F1F8"/>
          </w:tcPr>
          <w:p>
            <w:pPr>
              <w:spacing w:after="0"/>
              <w:rPr>
                <w:sz w:val="18"/>
                <w:szCs w:val="18"/>
                <w:color w:val="auto"/>
              </w:rPr>
            </w:pPr>
          </w:p>
        </w:tc>
        <w:tc>
          <w:tcPr>
            <w:tcW w:w="1100" w:type="dxa"/>
            <w:vAlign w:val="bottom"/>
            <w:tcBorders>
              <w:bottom w:val="single" w:sz="8" w:color="E5F1F8"/>
              <w:right w:val="single" w:sz="8" w:color="007CBA"/>
            </w:tcBorders>
            <w:shd w:val="clear" w:color="auto" w:fill="E5F1F8"/>
          </w:tcPr>
          <w:p>
            <w:pPr>
              <w:ind w:left="820"/>
              <w:spacing w:after="0" w:line="193" w:lineRule="exact"/>
              <w:rPr>
                <w:sz w:val="20"/>
                <w:szCs w:val="20"/>
                <w:color w:val="auto"/>
              </w:rPr>
            </w:pPr>
            <w:r>
              <w:rPr>
                <w:rFonts w:ascii="Calibri" w:cs="Calibri" w:eastAsia="Calibri" w:hAnsi="Calibri"/>
                <w:sz w:val="16"/>
                <w:szCs w:val="16"/>
                <w:b w:val="1"/>
                <w:bCs w:val="1"/>
                <w:color w:val="auto"/>
              </w:rPr>
              <w:t>—</w:t>
            </w:r>
          </w:p>
        </w:tc>
        <w:tc>
          <w:tcPr>
            <w:tcW w:w="240" w:type="dxa"/>
            <w:vAlign w:val="bottom"/>
            <w:tcBorders>
              <w:bottom w:val="single" w:sz="8" w:color="E5F1F8"/>
            </w:tcBorders>
            <w:shd w:val="clear" w:color="auto" w:fill="E5F1F8"/>
          </w:tcPr>
          <w:p>
            <w:pPr>
              <w:spacing w:after="0"/>
              <w:rPr>
                <w:sz w:val="18"/>
                <w:szCs w:val="18"/>
                <w:color w:val="auto"/>
              </w:rPr>
            </w:pPr>
          </w:p>
        </w:tc>
        <w:tc>
          <w:tcPr>
            <w:tcW w:w="94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319.2</w:t>
            </w:r>
          </w:p>
        </w:tc>
        <w:tc>
          <w:tcPr>
            <w:tcW w:w="220" w:type="dxa"/>
            <w:vAlign w:val="bottom"/>
            <w:tcBorders>
              <w:bottom w:val="single" w:sz="8" w:color="E5F1F8"/>
            </w:tcBorders>
            <w:shd w:val="clear" w:color="auto" w:fill="E5F1F8"/>
          </w:tcPr>
          <w:p>
            <w:pPr>
              <w:spacing w:after="0"/>
              <w:rPr>
                <w:sz w:val="18"/>
                <w:szCs w:val="18"/>
                <w:color w:val="auto"/>
              </w:rPr>
            </w:pPr>
          </w:p>
        </w:tc>
        <w:tc>
          <w:tcPr>
            <w:tcW w:w="94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b w:val="1"/>
                <w:bCs w:val="1"/>
                <w:color w:val="auto"/>
              </w:rPr>
              <w:t>319.2</w:t>
            </w:r>
          </w:p>
        </w:tc>
      </w:tr>
      <w:tr>
        <w:trPr>
          <w:trHeight w:val="193"/>
        </w:trPr>
        <w:tc>
          <w:tcPr>
            <w:tcW w:w="476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Real estate</w:t>
            </w:r>
          </w:p>
        </w:tc>
        <w:tc>
          <w:tcPr>
            <w:tcW w:w="240" w:type="dxa"/>
            <w:vAlign w:val="bottom"/>
          </w:tcPr>
          <w:p>
            <w:pPr>
              <w:spacing w:after="0"/>
              <w:rPr>
                <w:sz w:val="16"/>
                <w:szCs w:val="16"/>
                <w:color w:val="auto"/>
              </w:rPr>
            </w:pPr>
          </w:p>
        </w:tc>
        <w:tc>
          <w:tcPr>
            <w:tcW w:w="11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w:t>
            </w:r>
          </w:p>
        </w:tc>
        <w:tc>
          <w:tcPr>
            <w:tcW w:w="260" w:type="dxa"/>
            <w:vAlign w:val="bottom"/>
          </w:tcPr>
          <w:p>
            <w:pPr>
              <w:spacing w:after="0"/>
              <w:rPr>
                <w:sz w:val="16"/>
                <w:szCs w:val="16"/>
                <w:color w:val="auto"/>
              </w:rPr>
            </w:pPr>
          </w:p>
        </w:tc>
        <w:tc>
          <w:tcPr>
            <w:tcW w:w="1140" w:type="dxa"/>
            <w:vAlign w:val="bottom"/>
            <w:tcBorders>
              <w:right w:val="single" w:sz="8" w:color="007CBA"/>
            </w:tcBorders>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right w:val="single" w:sz="8" w:color="007CBA"/>
            </w:tcBorders>
          </w:tcPr>
          <w:p>
            <w:pPr>
              <w:ind w:left="820"/>
              <w:spacing w:after="0" w:line="193" w:lineRule="exact"/>
              <w:rPr>
                <w:sz w:val="20"/>
                <w:szCs w:val="20"/>
                <w:color w:val="auto"/>
              </w:rPr>
            </w:pPr>
            <w:r>
              <w:rPr>
                <w:rFonts w:ascii="Calibri" w:cs="Calibri" w:eastAsia="Calibri" w:hAnsi="Calibri"/>
                <w:sz w:val="16"/>
                <w:szCs w:val="16"/>
                <w:b w:val="1"/>
                <w:bCs w:val="1"/>
                <w:color w:val="auto"/>
              </w:rPr>
              <w:t>—</w:t>
            </w:r>
          </w:p>
        </w:tc>
        <w:tc>
          <w:tcPr>
            <w:tcW w:w="240" w:type="dxa"/>
            <w:vAlign w:val="bottom"/>
          </w:tcPr>
          <w:p>
            <w:pPr>
              <w:spacing w:after="0"/>
              <w:rPr>
                <w:sz w:val="16"/>
                <w:szCs w:val="16"/>
                <w:color w:val="auto"/>
              </w:rPr>
            </w:pPr>
          </w:p>
        </w:tc>
        <w:tc>
          <w:tcPr>
            <w:tcW w:w="9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b w:val="1"/>
                <w:bCs w:val="1"/>
                <w:color w:val="auto"/>
              </w:rPr>
              <w:t>136.7</w:t>
            </w:r>
          </w:p>
        </w:tc>
        <w:tc>
          <w:tcPr>
            <w:tcW w:w="220" w:type="dxa"/>
            <w:vAlign w:val="bottom"/>
          </w:tcPr>
          <w:p>
            <w:pPr>
              <w:spacing w:after="0"/>
              <w:rPr>
                <w:sz w:val="16"/>
                <w:szCs w:val="16"/>
                <w:color w:val="auto"/>
              </w:rPr>
            </w:pP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b w:val="1"/>
                <w:bCs w:val="1"/>
                <w:color w:val="auto"/>
              </w:rPr>
              <w:t>136.7</w:t>
            </w:r>
          </w:p>
        </w:tc>
      </w:tr>
      <w:tr>
        <w:trPr>
          <w:trHeight w:val="36"/>
        </w:trPr>
        <w:tc>
          <w:tcPr>
            <w:tcW w:w="476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Borders>
              <w:right w:val="single" w:sz="8" w:color="007CBA"/>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Borders>
              <w:right w:val="single" w:sz="8" w:color="007CBA"/>
            </w:tcBorders>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09"/>
        </w:trPr>
        <w:tc>
          <w:tcPr>
            <w:tcW w:w="476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Private infrastructure</w:t>
            </w:r>
          </w:p>
        </w:tc>
        <w:tc>
          <w:tcPr>
            <w:tcW w:w="24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w:t>
            </w:r>
          </w:p>
        </w:tc>
        <w:tc>
          <w:tcPr>
            <w:tcW w:w="26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right w:val="single" w:sz="8" w:color="007CBA"/>
            </w:tcBorders>
            <w:shd w:val="clear" w:color="auto" w:fill="E5F1F8"/>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60" w:type="dxa"/>
            <w:vAlign w:val="bottom"/>
            <w:tcBorders>
              <w:bottom w:val="single" w:sz="8" w:color="E5F1F8"/>
            </w:tcBorders>
            <w:shd w:val="clear" w:color="auto" w:fill="E5F1F8"/>
          </w:tcPr>
          <w:p>
            <w:pPr>
              <w:spacing w:after="0"/>
              <w:rPr>
                <w:sz w:val="18"/>
                <w:szCs w:val="18"/>
                <w:color w:val="auto"/>
              </w:rPr>
            </w:pPr>
          </w:p>
        </w:tc>
        <w:tc>
          <w:tcPr>
            <w:tcW w:w="1100" w:type="dxa"/>
            <w:vAlign w:val="bottom"/>
            <w:tcBorders>
              <w:bottom w:val="single" w:sz="8" w:color="E5F1F8"/>
              <w:right w:val="single" w:sz="8" w:color="007CBA"/>
            </w:tcBorders>
            <w:shd w:val="clear" w:color="auto" w:fill="E5F1F8"/>
          </w:tcPr>
          <w:p>
            <w:pPr>
              <w:ind w:left="820"/>
              <w:spacing w:after="0" w:line="193" w:lineRule="exact"/>
              <w:rPr>
                <w:sz w:val="20"/>
                <w:szCs w:val="20"/>
                <w:color w:val="auto"/>
              </w:rPr>
            </w:pPr>
            <w:r>
              <w:rPr>
                <w:rFonts w:ascii="Calibri" w:cs="Calibri" w:eastAsia="Calibri" w:hAnsi="Calibri"/>
                <w:sz w:val="16"/>
                <w:szCs w:val="16"/>
                <w:b w:val="1"/>
                <w:bCs w:val="1"/>
                <w:color w:val="auto"/>
              </w:rPr>
              <w:t>—</w:t>
            </w:r>
          </w:p>
        </w:tc>
        <w:tc>
          <w:tcPr>
            <w:tcW w:w="240" w:type="dxa"/>
            <w:vAlign w:val="bottom"/>
            <w:tcBorders>
              <w:bottom w:val="single" w:sz="8" w:color="E5F1F8"/>
            </w:tcBorders>
            <w:shd w:val="clear" w:color="auto" w:fill="E5F1F8"/>
          </w:tcPr>
          <w:p>
            <w:pPr>
              <w:spacing w:after="0"/>
              <w:rPr>
                <w:sz w:val="18"/>
                <w:szCs w:val="18"/>
                <w:color w:val="auto"/>
              </w:rPr>
            </w:pPr>
          </w:p>
        </w:tc>
        <w:tc>
          <w:tcPr>
            <w:tcW w:w="94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b w:val="1"/>
                <w:bCs w:val="1"/>
                <w:color w:val="auto"/>
              </w:rPr>
              <w:t>90.2</w:t>
            </w:r>
          </w:p>
        </w:tc>
        <w:tc>
          <w:tcPr>
            <w:tcW w:w="220" w:type="dxa"/>
            <w:vAlign w:val="bottom"/>
            <w:tcBorders>
              <w:bottom w:val="single" w:sz="8" w:color="E5F1F8"/>
            </w:tcBorders>
            <w:shd w:val="clear" w:color="auto" w:fill="E5F1F8"/>
          </w:tcPr>
          <w:p>
            <w:pPr>
              <w:spacing w:after="0"/>
              <w:rPr>
                <w:sz w:val="18"/>
                <w:szCs w:val="18"/>
                <w:color w:val="auto"/>
              </w:rPr>
            </w:pPr>
          </w:p>
        </w:tc>
        <w:tc>
          <w:tcPr>
            <w:tcW w:w="94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b w:val="1"/>
                <w:bCs w:val="1"/>
                <w:color w:val="auto"/>
              </w:rPr>
              <w:t>90.2</w:t>
            </w:r>
          </w:p>
        </w:tc>
      </w:tr>
      <w:tr>
        <w:trPr>
          <w:trHeight w:val="193"/>
        </w:trPr>
        <w:tc>
          <w:tcPr>
            <w:tcW w:w="4760" w:type="dxa"/>
            <w:vAlign w:val="bottom"/>
          </w:tcPr>
          <w:p>
            <w:pPr>
              <w:ind w:left="120"/>
              <w:spacing w:after="0" w:line="193" w:lineRule="exact"/>
              <w:rPr>
                <w:sz w:val="20"/>
                <w:szCs w:val="20"/>
                <w:color w:val="auto"/>
              </w:rPr>
            </w:pPr>
            <w:r>
              <w:rPr>
                <w:rFonts w:ascii="Calibri" w:cs="Calibri" w:eastAsia="Calibri" w:hAnsi="Calibri"/>
                <w:sz w:val="16"/>
                <w:szCs w:val="16"/>
                <w:color w:val="auto"/>
              </w:rPr>
              <w:t>Cash equivalents</w:t>
            </w:r>
          </w:p>
        </w:tc>
        <w:tc>
          <w:tcPr>
            <w:tcW w:w="240" w:type="dxa"/>
            <w:vAlign w:val="bottom"/>
          </w:tcPr>
          <w:p>
            <w:pPr>
              <w:spacing w:after="0"/>
              <w:rPr>
                <w:sz w:val="16"/>
                <w:szCs w:val="16"/>
                <w:color w:val="auto"/>
              </w:rPr>
            </w:pPr>
          </w:p>
        </w:tc>
        <w:tc>
          <w:tcPr>
            <w:tcW w:w="1140" w:type="dxa"/>
            <w:vAlign w:val="bottom"/>
          </w:tcPr>
          <w:p>
            <w:pPr>
              <w:jc w:val="right"/>
              <w:ind w:right="59"/>
              <w:spacing w:after="0" w:line="193" w:lineRule="exact"/>
              <w:rPr>
                <w:sz w:val="20"/>
                <w:szCs w:val="20"/>
                <w:color w:val="auto"/>
              </w:rPr>
            </w:pPr>
            <w:r>
              <w:rPr>
                <w:rFonts w:ascii="Calibri" w:cs="Calibri" w:eastAsia="Calibri" w:hAnsi="Calibri"/>
                <w:sz w:val="16"/>
                <w:szCs w:val="16"/>
                <w:b w:val="1"/>
                <w:bCs w:val="1"/>
                <w:color w:val="auto"/>
              </w:rPr>
              <w:t>—</w:t>
            </w:r>
          </w:p>
        </w:tc>
        <w:tc>
          <w:tcPr>
            <w:tcW w:w="260" w:type="dxa"/>
            <w:vAlign w:val="bottom"/>
          </w:tcPr>
          <w:p>
            <w:pPr>
              <w:spacing w:after="0"/>
              <w:rPr>
                <w:sz w:val="16"/>
                <w:szCs w:val="16"/>
                <w:color w:val="auto"/>
              </w:rPr>
            </w:pPr>
          </w:p>
        </w:tc>
        <w:tc>
          <w:tcPr>
            <w:tcW w:w="1240" w:type="dxa"/>
            <w:vAlign w:val="bottom"/>
            <w:gridSpan w:val="2"/>
          </w:tcPr>
          <w:p>
            <w:pPr>
              <w:ind w:left="840"/>
              <w:spacing w:after="0" w:line="193" w:lineRule="exact"/>
              <w:rPr>
                <w:sz w:val="20"/>
                <w:szCs w:val="20"/>
                <w:color w:val="auto"/>
              </w:rPr>
            </w:pPr>
            <w:r>
              <w:rPr>
                <w:rFonts w:ascii="Calibri" w:cs="Calibri" w:eastAsia="Calibri" w:hAnsi="Calibri"/>
                <w:sz w:val="16"/>
                <w:szCs w:val="16"/>
                <w:b w:val="1"/>
                <w:bCs w:val="1"/>
                <w:color w:val="auto"/>
              </w:rPr>
              <w:t>—</w:t>
            </w:r>
          </w:p>
        </w:tc>
        <w:tc>
          <w:tcPr>
            <w:tcW w:w="160" w:type="dxa"/>
            <w:vAlign w:val="bottom"/>
          </w:tcPr>
          <w:p>
            <w:pPr>
              <w:spacing w:after="0"/>
              <w:rPr>
                <w:sz w:val="16"/>
                <w:szCs w:val="16"/>
                <w:color w:val="auto"/>
              </w:rPr>
            </w:pPr>
          </w:p>
        </w:tc>
        <w:tc>
          <w:tcPr>
            <w:tcW w:w="1100" w:type="dxa"/>
            <w:vAlign w:val="bottom"/>
          </w:tcPr>
          <w:p>
            <w:pPr>
              <w:ind w:left="820"/>
              <w:spacing w:after="0" w:line="193" w:lineRule="exact"/>
              <w:rPr>
                <w:sz w:val="20"/>
                <w:szCs w:val="20"/>
                <w:color w:val="auto"/>
              </w:rPr>
            </w:pPr>
            <w:r>
              <w:rPr>
                <w:rFonts w:ascii="Calibri" w:cs="Calibri" w:eastAsia="Calibri" w:hAnsi="Calibri"/>
                <w:sz w:val="16"/>
                <w:szCs w:val="16"/>
                <w:b w:val="1"/>
                <w:bCs w:val="1"/>
                <w:color w:val="auto"/>
              </w:rPr>
              <w:t>—</w:t>
            </w:r>
          </w:p>
        </w:tc>
        <w:tc>
          <w:tcPr>
            <w:tcW w:w="240" w:type="dxa"/>
            <w:vAlign w:val="bottom"/>
          </w:tcPr>
          <w:p>
            <w:pPr>
              <w:spacing w:after="0"/>
              <w:rPr>
                <w:sz w:val="16"/>
                <w:szCs w:val="16"/>
                <w:color w:val="auto"/>
              </w:rPr>
            </w:pPr>
          </w:p>
        </w:tc>
        <w:tc>
          <w:tcPr>
            <w:tcW w:w="940" w:type="dxa"/>
            <w:vAlign w:val="bottom"/>
          </w:tcPr>
          <w:p>
            <w:pPr>
              <w:jc w:val="right"/>
              <w:ind w:right="59"/>
              <w:spacing w:after="0" w:line="193" w:lineRule="exact"/>
              <w:rPr>
                <w:sz w:val="20"/>
                <w:szCs w:val="20"/>
                <w:color w:val="auto"/>
              </w:rPr>
            </w:pPr>
            <w:r>
              <w:rPr>
                <w:rFonts w:ascii="Calibri" w:cs="Calibri" w:eastAsia="Calibri" w:hAnsi="Calibri"/>
                <w:sz w:val="16"/>
                <w:szCs w:val="16"/>
                <w:b w:val="1"/>
                <w:bCs w:val="1"/>
                <w:color w:val="auto"/>
              </w:rPr>
              <w:t>4.0</w:t>
            </w:r>
          </w:p>
        </w:tc>
        <w:tc>
          <w:tcPr>
            <w:tcW w:w="220" w:type="dxa"/>
            <w:vAlign w:val="bottom"/>
          </w:tcPr>
          <w:p>
            <w:pPr>
              <w:spacing w:after="0"/>
              <w:rPr>
                <w:sz w:val="16"/>
                <w:szCs w:val="16"/>
                <w:color w:val="auto"/>
              </w:rPr>
            </w:pP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b w:val="1"/>
                <w:bCs w:val="1"/>
                <w:color w:val="auto"/>
              </w:rPr>
              <w:t>4.0</w:t>
            </w:r>
          </w:p>
        </w:tc>
      </w:tr>
      <w:tr>
        <w:trPr>
          <w:trHeight w:val="36"/>
        </w:trPr>
        <w:tc>
          <w:tcPr>
            <w:tcW w:w="4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68"/>
        </w:trPr>
        <w:tc>
          <w:tcPr>
            <w:tcW w:w="4760" w:type="dxa"/>
            <w:vAlign w:val="bottom"/>
            <w:tcBorders>
              <w:bottom w:val="single" w:sz="8" w:color="E5F1F8"/>
              <w:right w:val="single" w:sz="8" w:color="E5F1F8"/>
            </w:tcBorders>
            <w:shd w:val="clear" w:color="auto" w:fill="E5F1F8"/>
          </w:tcPr>
          <w:p>
            <w:pPr>
              <w:ind w:left="120"/>
              <w:spacing w:after="0" w:line="187" w:lineRule="exact"/>
              <w:rPr>
                <w:sz w:val="20"/>
                <w:szCs w:val="20"/>
                <w:color w:val="auto"/>
              </w:rPr>
            </w:pPr>
            <w:r>
              <w:rPr>
                <w:rFonts w:ascii="Calibri" w:cs="Calibri" w:eastAsia="Calibri" w:hAnsi="Calibri"/>
                <w:sz w:val="16"/>
                <w:szCs w:val="16"/>
                <w:color w:val="auto"/>
              </w:rPr>
              <w:t>Total</w:t>
            </w:r>
          </w:p>
        </w:tc>
        <w:tc>
          <w:tcPr>
            <w:tcW w:w="240" w:type="dxa"/>
            <w:vAlign w:val="bottom"/>
            <w:tcBorders>
              <w:bottom w:val="single" w:sz="8" w:color="E5F1F8"/>
            </w:tcBorders>
            <w:shd w:val="clear" w:color="auto" w:fill="E5F1F8"/>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140" w:type="dxa"/>
            <w:vAlign w:val="bottom"/>
            <w:tcBorders>
              <w:bottom w:val="single" w:sz="8" w:color="E5F1F8"/>
              <w:right w:val="single" w:sz="8" w:color="E5F1F8"/>
            </w:tcBorders>
            <w:shd w:val="clear" w:color="auto" w:fill="E5F1F8"/>
          </w:tcPr>
          <w:p>
            <w:pPr>
              <w:jc w:val="right"/>
              <w:ind w:right="59"/>
              <w:spacing w:after="0" w:line="187" w:lineRule="exact"/>
              <w:rPr>
                <w:sz w:val="20"/>
                <w:szCs w:val="20"/>
                <w:color w:val="auto"/>
              </w:rPr>
            </w:pPr>
            <w:r>
              <w:rPr>
                <w:rFonts w:ascii="Calibri" w:cs="Calibri" w:eastAsia="Calibri" w:hAnsi="Calibri"/>
                <w:sz w:val="16"/>
                <w:szCs w:val="16"/>
                <w:b w:val="1"/>
                <w:bCs w:val="1"/>
                <w:color w:val="auto"/>
              </w:rPr>
              <w:t>—</w:t>
            </w:r>
          </w:p>
        </w:tc>
        <w:tc>
          <w:tcPr>
            <w:tcW w:w="260" w:type="dxa"/>
            <w:vAlign w:val="bottom"/>
            <w:tcBorders>
              <w:bottom w:val="single" w:sz="8" w:color="E5F1F8"/>
            </w:tcBorders>
            <w:shd w:val="clear" w:color="auto" w:fill="E5F1F8"/>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240" w:type="dxa"/>
            <w:vAlign w:val="bottom"/>
            <w:tcBorders>
              <w:bottom w:val="single" w:sz="8" w:color="E5F1F8"/>
            </w:tcBorders>
            <w:gridSpan w:val="2"/>
            <w:shd w:val="clear" w:color="auto" w:fill="E5F1F8"/>
          </w:tcPr>
          <w:p>
            <w:pPr>
              <w:ind w:left="840"/>
              <w:spacing w:after="0" w:line="187" w:lineRule="exact"/>
              <w:rPr>
                <w:sz w:val="20"/>
                <w:szCs w:val="20"/>
                <w:color w:val="auto"/>
              </w:rPr>
            </w:pPr>
            <w:r>
              <w:rPr>
                <w:rFonts w:ascii="Calibri" w:cs="Calibri" w:eastAsia="Calibri" w:hAnsi="Calibri"/>
                <w:sz w:val="16"/>
                <w:szCs w:val="16"/>
                <w:b w:val="1"/>
                <w:bCs w:val="1"/>
                <w:color w:val="auto"/>
              </w:rPr>
              <w:t>—</w:t>
            </w:r>
          </w:p>
        </w:tc>
        <w:tc>
          <w:tcPr>
            <w:tcW w:w="160" w:type="dxa"/>
            <w:vAlign w:val="bottom"/>
            <w:tcBorders>
              <w:bottom w:val="single" w:sz="8" w:color="E5F1F8"/>
            </w:tcBorders>
            <w:shd w:val="clear" w:color="auto" w:fill="E5F1F8"/>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1100" w:type="dxa"/>
            <w:vAlign w:val="bottom"/>
            <w:tcBorders>
              <w:bottom w:val="single" w:sz="8" w:color="E5F1F8"/>
              <w:right w:val="single" w:sz="8" w:color="E5F1F8"/>
            </w:tcBorders>
            <w:shd w:val="clear" w:color="auto" w:fill="E5F1F8"/>
          </w:tcPr>
          <w:p>
            <w:pPr>
              <w:ind w:left="820"/>
              <w:spacing w:after="0" w:line="187" w:lineRule="exact"/>
              <w:rPr>
                <w:sz w:val="20"/>
                <w:szCs w:val="20"/>
                <w:color w:val="auto"/>
              </w:rPr>
            </w:pPr>
            <w:r>
              <w:rPr>
                <w:rFonts w:ascii="Calibri" w:cs="Calibri" w:eastAsia="Calibri" w:hAnsi="Calibri"/>
                <w:sz w:val="16"/>
                <w:szCs w:val="16"/>
                <w:b w:val="1"/>
                <w:bCs w:val="1"/>
                <w:color w:val="auto"/>
              </w:rPr>
              <w:t>—</w:t>
            </w:r>
          </w:p>
        </w:tc>
        <w:tc>
          <w:tcPr>
            <w:tcW w:w="240" w:type="dxa"/>
            <w:vAlign w:val="bottom"/>
            <w:tcBorders>
              <w:bottom w:val="single" w:sz="8" w:color="E5F1F8"/>
            </w:tcBorders>
            <w:shd w:val="clear" w:color="auto" w:fill="E5F1F8"/>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940" w:type="dxa"/>
            <w:vAlign w:val="bottom"/>
            <w:tcBorders>
              <w:bottom w:val="single" w:sz="8" w:color="E5F1F8"/>
              <w:right w:val="single" w:sz="8" w:color="E5F1F8"/>
            </w:tcBorders>
            <w:shd w:val="clear" w:color="auto" w:fill="E5F1F8"/>
          </w:tcPr>
          <w:p>
            <w:pPr>
              <w:jc w:val="right"/>
              <w:ind w:right="59"/>
              <w:spacing w:after="0" w:line="187" w:lineRule="exact"/>
              <w:rPr>
                <w:sz w:val="20"/>
                <w:szCs w:val="20"/>
                <w:color w:val="auto"/>
              </w:rPr>
            </w:pPr>
            <w:r>
              <w:rPr>
                <w:rFonts w:ascii="Calibri" w:cs="Calibri" w:eastAsia="Calibri" w:hAnsi="Calibri"/>
                <w:sz w:val="16"/>
                <w:szCs w:val="16"/>
                <w:b w:val="1"/>
                <w:bCs w:val="1"/>
                <w:color w:val="auto"/>
              </w:rPr>
              <w:t>1,176.8</w:t>
            </w:r>
          </w:p>
        </w:tc>
        <w:tc>
          <w:tcPr>
            <w:tcW w:w="220" w:type="dxa"/>
            <w:vAlign w:val="bottom"/>
            <w:tcBorders>
              <w:bottom w:val="single" w:sz="8" w:color="E5F1F8"/>
            </w:tcBorders>
            <w:shd w:val="clear" w:color="auto" w:fill="E5F1F8"/>
          </w:tcPr>
          <w:p>
            <w:pPr>
              <w:jc w:val="right"/>
              <w:spacing w:after="0" w:line="187" w:lineRule="exact"/>
              <w:rPr>
                <w:sz w:val="20"/>
                <w:szCs w:val="20"/>
                <w:color w:val="auto"/>
              </w:rPr>
            </w:pPr>
            <w:r>
              <w:rPr>
                <w:rFonts w:ascii="Calibri" w:cs="Calibri" w:eastAsia="Calibri" w:hAnsi="Calibri"/>
                <w:sz w:val="16"/>
                <w:szCs w:val="16"/>
                <w:b w:val="1"/>
                <w:bCs w:val="1"/>
                <w:color w:val="auto"/>
              </w:rPr>
              <w:t>$</w:t>
            </w:r>
          </w:p>
        </w:tc>
        <w:tc>
          <w:tcPr>
            <w:tcW w:w="940" w:type="dxa"/>
            <w:vAlign w:val="bottom"/>
            <w:tcBorders>
              <w:bottom w:val="single" w:sz="8" w:color="E5F1F8"/>
            </w:tcBorders>
            <w:shd w:val="clear" w:color="auto" w:fill="E5F1F8"/>
          </w:tcPr>
          <w:p>
            <w:pPr>
              <w:jc w:val="right"/>
              <w:ind w:right="39"/>
              <w:spacing w:after="0" w:line="187" w:lineRule="exact"/>
              <w:rPr>
                <w:sz w:val="20"/>
                <w:szCs w:val="20"/>
                <w:color w:val="auto"/>
              </w:rPr>
            </w:pPr>
            <w:r>
              <w:rPr>
                <w:rFonts w:ascii="Calibri" w:cs="Calibri" w:eastAsia="Calibri" w:hAnsi="Calibri"/>
                <w:sz w:val="16"/>
                <w:szCs w:val="16"/>
                <w:b w:val="1"/>
                <w:bCs w:val="1"/>
                <w:color w:val="auto"/>
              </w:rPr>
              <w:t>1,176.8</w:t>
            </w:r>
          </w:p>
        </w:tc>
      </w:tr>
      <w:tr>
        <w:trPr>
          <w:trHeight w:val="210"/>
        </w:trPr>
        <w:tc>
          <w:tcPr>
            <w:tcW w:w="47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10"/>
        </w:trPr>
        <w:tc>
          <w:tcPr>
            <w:tcW w:w="4760" w:type="dxa"/>
            <w:vAlign w:val="bottom"/>
            <w:tcBorders>
              <w:bottom w:val="single" w:sz="8" w:color="007CBA"/>
              <w:right w:val="single" w:sz="8" w:color="007CBA"/>
            </w:tcBorders>
            <w:shd w:val="clear" w:color="auto" w:fill="007CBA"/>
          </w:tcPr>
          <w:p>
            <w:pPr>
              <w:spacing w:after="0"/>
              <w:rPr>
                <w:sz w:val="18"/>
                <w:szCs w:val="18"/>
                <w:color w:val="auto"/>
              </w:rPr>
            </w:pPr>
          </w:p>
        </w:tc>
        <w:tc>
          <w:tcPr>
            <w:tcW w:w="240" w:type="dxa"/>
            <w:vAlign w:val="bottom"/>
            <w:tcBorders>
              <w:bottom w:val="single" w:sz="8" w:color="007CBA"/>
            </w:tcBorders>
            <w:shd w:val="clear" w:color="auto" w:fill="007CBA"/>
          </w:tcPr>
          <w:p>
            <w:pPr>
              <w:spacing w:after="0"/>
              <w:rPr>
                <w:sz w:val="18"/>
                <w:szCs w:val="18"/>
                <w:color w:val="auto"/>
              </w:rPr>
            </w:pPr>
          </w:p>
        </w:tc>
        <w:tc>
          <w:tcPr>
            <w:tcW w:w="1140" w:type="dxa"/>
            <w:vAlign w:val="bottom"/>
            <w:tcBorders>
              <w:bottom w:val="single" w:sz="8" w:color="007CBA"/>
              <w:right w:val="single" w:sz="8" w:color="007CBA"/>
            </w:tcBorders>
            <w:shd w:val="clear" w:color="auto" w:fill="007CBA"/>
          </w:tcPr>
          <w:p>
            <w:pPr>
              <w:spacing w:after="0"/>
              <w:rPr>
                <w:sz w:val="18"/>
                <w:szCs w:val="18"/>
                <w:color w:val="auto"/>
              </w:rPr>
            </w:pPr>
          </w:p>
        </w:tc>
        <w:tc>
          <w:tcPr>
            <w:tcW w:w="260" w:type="dxa"/>
            <w:vAlign w:val="bottom"/>
            <w:tcBorders>
              <w:bottom w:val="single" w:sz="8" w:color="007CBA"/>
            </w:tcBorders>
            <w:shd w:val="clear" w:color="auto" w:fill="007CBA"/>
          </w:tcPr>
          <w:p>
            <w:pPr>
              <w:spacing w:after="0"/>
              <w:rPr>
                <w:sz w:val="18"/>
                <w:szCs w:val="18"/>
                <w:color w:val="auto"/>
              </w:rPr>
            </w:pPr>
          </w:p>
        </w:tc>
        <w:tc>
          <w:tcPr>
            <w:tcW w:w="1140" w:type="dxa"/>
            <w:vAlign w:val="bottom"/>
            <w:tcBorders>
              <w:bottom w:val="single" w:sz="8" w:color="007CBA"/>
              <w:right w:val="single" w:sz="8" w:color="007CBA"/>
            </w:tcBorders>
            <w:shd w:val="clear" w:color="auto" w:fill="007CBA"/>
          </w:tcPr>
          <w:p>
            <w:pPr>
              <w:spacing w:after="0"/>
              <w:rPr>
                <w:sz w:val="18"/>
                <w:szCs w:val="18"/>
                <w:color w:val="auto"/>
              </w:rPr>
            </w:pPr>
          </w:p>
        </w:tc>
        <w:tc>
          <w:tcPr>
            <w:tcW w:w="100" w:type="dxa"/>
            <w:vAlign w:val="bottom"/>
            <w:tcBorders>
              <w:bottom w:val="single" w:sz="8" w:color="007CBA"/>
            </w:tcBorders>
            <w:shd w:val="clear" w:color="auto" w:fill="007CBA"/>
          </w:tcPr>
          <w:p>
            <w:pPr>
              <w:spacing w:after="0"/>
              <w:rPr>
                <w:sz w:val="18"/>
                <w:szCs w:val="18"/>
                <w:color w:val="auto"/>
              </w:rPr>
            </w:pPr>
          </w:p>
        </w:tc>
        <w:tc>
          <w:tcPr>
            <w:tcW w:w="160" w:type="dxa"/>
            <w:vAlign w:val="bottom"/>
            <w:tcBorders>
              <w:bottom w:val="single" w:sz="8" w:color="007CBA"/>
            </w:tcBorders>
            <w:shd w:val="clear" w:color="auto" w:fill="007CBA"/>
          </w:tcPr>
          <w:p>
            <w:pPr>
              <w:spacing w:after="0"/>
              <w:rPr>
                <w:sz w:val="18"/>
                <w:szCs w:val="18"/>
                <w:color w:val="auto"/>
              </w:rPr>
            </w:pPr>
          </w:p>
        </w:tc>
        <w:tc>
          <w:tcPr>
            <w:tcW w:w="1100" w:type="dxa"/>
            <w:vAlign w:val="bottom"/>
            <w:tcBorders>
              <w:bottom w:val="single" w:sz="8" w:color="007CBA"/>
              <w:right w:val="single" w:sz="8" w:color="007CBA"/>
            </w:tcBorders>
            <w:shd w:val="clear" w:color="auto" w:fill="007CBA"/>
          </w:tcPr>
          <w:p>
            <w:pPr>
              <w:ind w:left="40"/>
              <w:spacing w:after="0" w:line="193" w:lineRule="exact"/>
              <w:rPr>
                <w:sz w:val="20"/>
                <w:szCs w:val="20"/>
                <w:color w:val="auto"/>
              </w:rPr>
            </w:pPr>
            <w:r>
              <w:rPr>
                <w:rFonts w:ascii="Calibri" w:cs="Calibri" w:eastAsia="Calibri" w:hAnsi="Calibri"/>
                <w:sz w:val="16"/>
                <w:szCs w:val="16"/>
                <w:color w:val="FFFFFF"/>
              </w:rPr>
              <w:t>2022</w:t>
            </w:r>
          </w:p>
        </w:tc>
        <w:tc>
          <w:tcPr>
            <w:tcW w:w="240" w:type="dxa"/>
            <w:vAlign w:val="bottom"/>
            <w:tcBorders>
              <w:bottom w:val="single" w:sz="8" w:color="007CBA"/>
            </w:tcBorders>
            <w:shd w:val="clear" w:color="auto" w:fill="007CBA"/>
          </w:tcPr>
          <w:p>
            <w:pPr>
              <w:spacing w:after="0"/>
              <w:rPr>
                <w:sz w:val="18"/>
                <w:szCs w:val="18"/>
                <w:color w:val="auto"/>
              </w:rPr>
            </w:pPr>
          </w:p>
        </w:tc>
        <w:tc>
          <w:tcPr>
            <w:tcW w:w="940" w:type="dxa"/>
            <w:vAlign w:val="bottom"/>
            <w:tcBorders>
              <w:bottom w:val="single" w:sz="8" w:color="007CBA"/>
              <w:right w:val="single" w:sz="8" w:color="007CBA"/>
            </w:tcBorders>
            <w:shd w:val="clear" w:color="auto" w:fill="007CBA"/>
          </w:tcPr>
          <w:p>
            <w:pPr>
              <w:spacing w:after="0"/>
              <w:rPr>
                <w:sz w:val="18"/>
                <w:szCs w:val="18"/>
                <w:color w:val="auto"/>
              </w:rPr>
            </w:pPr>
          </w:p>
        </w:tc>
        <w:tc>
          <w:tcPr>
            <w:tcW w:w="220" w:type="dxa"/>
            <w:vAlign w:val="bottom"/>
            <w:tcBorders>
              <w:bottom w:val="single" w:sz="8" w:color="007CBA"/>
            </w:tcBorders>
            <w:shd w:val="clear" w:color="auto" w:fill="007CBA"/>
          </w:tcPr>
          <w:p>
            <w:pPr>
              <w:spacing w:after="0"/>
              <w:rPr>
                <w:sz w:val="18"/>
                <w:szCs w:val="18"/>
                <w:color w:val="auto"/>
              </w:rPr>
            </w:pPr>
          </w:p>
        </w:tc>
        <w:tc>
          <w:tcPr>
            <w:tcW w:w="940" w:type="dxa"/>
            <w:vAlign w:val="bottom"/>
            <w:tcBorders>
              <w:bottom w:val="single" w:sz="8" w:color="007CBA"/>
            </w:tcBorders>
            <w:shd w:val="clear" w:color="auto" w:fill="007CBA"/>
          </w:tcPr>
          <w:p>
            <w:pPr>
              <w:spacing w:after="0"/>
              <w:rPr>
                <w:sz w:val="18"/>
                <w:szCs w:val="18"/>
                <w:color w:val="auto"/>
              </w:rPr>
            </w:pPr>
          </w:p>
        </w:tc>
      </w:tr>
      <w:tr>
        <w:trPr>
          <w:trHeight w:val="229"/>
        </w:trPr>
        <w:tc>
          <w:tcPr>
            <w:tcW w:w="4760" w:type="dxa"/>
            <w:vAlign w:val="bottom"/>
            <w:tcBorders>
              <w:right w:val="single" w:sz="8" w:color="007CBA"/>
            </w:tcBorders>
          </w:tcPr>
          <w:p>
            <w:pPr>
              <w:ind w:left="120"/>
              <w:spacing w:after="0" w:line="229" w:lineRule="exact"/>
              <w:rPr>
                <w:sz w:val="20"/>
                <w:szCs w:val="20"/>
                <w:color w:val="auto"/>
              </w:rPr>
            </w:pPr>
            <w:r>
              <w:rPr>
                <w:rFonts w:ascii="Calibri" w:cs="Calibri" w:eastAsia="Calibri" w:hAnsi="Calibri"/>
                <w:sz w:val="16"/>
                <w:szCs w:val="16"/>
                <w:color w:val="auto"/>
              </w:rPr>
              <w:t>Equity securites</w:t>
            </w:r>
            <w:r>
              <w:rPr>
                <w:rFonts w:ascii="Calibri" w:cs="Calibri" w:eastAsia="Calibri" w:hAnsi="Calibri"/>
                <w:sz w:val="21"/>
                <w:szCs w:val="21"/>
                <w:color w:val="auto"/>
                <w:vertAlign w:val="superscript"/>
              </w:rPr>
              <w:t>1</w:t>
            </w:r>
            <w:r>
              <w:rPr>
                <w:rFonts w:ascii="Calibri" w:cs="Calibri" w:eastAsia="Calibri" w:hAnsi="Calibri"/>
                <w:sz w:val="16"/>
                <w:szCs w:val="16"/>
                <w:color w:val="auto"/>
              </w:rPr>
              <w:t>:</w:t>
            </w:r>
          </w:p>
        </w:tc>
        <w:tc>
          <w:tcPr>
            <w:tcW w:w="240" w:type="dxa"/>
            <w:vAlign w:val="bottom"/>
          </w:tcPr>
          <w:p>
            <w:pPr>
              <w:spacing w:after="0"/>
              <w:rPr>
                <w:sz w:val="19"/>
                <w:szCs w:val="19"/>
                <w:color w:val="auto"/>
              </w:rPr>
            </w:pPr>
          </w:p>
        </w:tc>
        <w:tc>
          <w:tcPr>
            <w:tcW w:w="1140" w:type="dxa"/>
            <w:vAlign w:val="bottom"/>
            <w:tcBorders>
              <w:right w:val="single" w:sz="8" w:color="007CBA"/>
            </w:tcBorders>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Borders>
              <w:right w:val="single" w:sz="8" w:color="007CBA"/>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right w:val="single" w:sz="8" w:color="007CBA"/>
            </w:tcBorders>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Borders>
              <w:right w:val="single" w:sz="8" w:color="007CBA"/>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0"/>
        </w:trPr>
        <w:tc>
          <w:tcPr>
            <w:tcW w:w="4760" w:type="dxa"/>
            <w:vAlign w:val="bottom"/>
            <w:tcBorders>
              <w:bottom w:val="single" w:sz="8" w:color="E5F1F8"/>
              <w:right w:val="single" w:sz="8" w:color="007CBA"/>
            </w:tcBorders>
            <w:shd w:val="clear" w:color="auto" w:fill="E5F1F8"/>
          </w:tcPr>
          <w:p>
            <w:pPr>
              <w:ind w:left="300"/>
              <w:spacing w:after="0" w:line="193" w:lineRule="exact"/>
              <w:rPr>
                <w:sz w:val="20"/>
                <w:szCs w:val="20"/>
                <w:color w:val="auto"/>
              </w:rPr>
            </w:pPr>
            <w:r>
              <w:rPr>
                <w:rFonts w:ascii="Calibri" w:cs="Calibri" w:eastAsia="Calibri" w:hAnsi="Calibri"/>
                <w:sz w:val="16"/>
                <w:szCs w:val="16"/>
                <w:color w:val="auto"/>
              </w:rPr>
              <w:t>Mid-sized to large cap</w:t>
            </w:r>
          </w:p>
        </w:tc>
        <w:tc>
          <w:tcPr>
            <w:tcW w:w="24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114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26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1140" w:type="dxa"/>
            <w:vAlign w:val="bottom"/>
            <w:tcBorders>
              <w:bottom w:val="single" w:sz="8" w:color="E5F1F8"/>
              <w:right w:val="single" w:sz="8" w:color="007CBA"/>
            </w:tcBorders>
            <w:shd w:val="clear" w:color="auto" w:fill="E5F1F8"/>
          </w:tcPr>
          <w:p>
            <w:pPr>
              <w:ind w:left="8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6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Borders>
              <w:bottom w:val="single" w:sz="8" w:color="E5F1F8"/>
              <w:right w:val="single" w:sz="8" w:color="007CBA"/>
            </w:tcBorders>
            <w:shd w:val="clear" w:color="auto" w:fill="E5F1F8"/>
          </w:tcPr>
          <w:p>
            <w:pPr>
              <w:ind w:left="82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291.6</w:t>
            </w:r>
          </w:p>
        </w:tc>
        <w:tc>
          <w:tcPr>
            <w:tcW w:w="22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291.6</w:t>
            </w:r>
          </w:p>
        </w:tc>
      </w:tr>
      <w:tr>
        <w:trPr>
          <w:trHeight w:val="194"/>
        </w:trPr>
        <w:tc>
          <w:tcPr>
            <w:tcW w:w="4760" w:type="dxa"/>
            <w:vAlign w:val="bottom"/>
            <w:tcBorders>
              <w:right w:val="single" w:sz="8" w:color="007CBA"/>
            </w:tcBorders>
          </w:tcPr>
          <w:p>
            <w:pPr>
              <w:ind w:left="300"/>
              <w:spacing w:after="0" w:line="193" w:lineRule="exact"/>
              <w:rPr>
                <w:sz w:val="20"/>
                <w:szCs w:val="20"/>
                <w:color w:val="auto"/>
              </w:rPr>
            </w:pPr>
            <w:r>
              <w:rPr>
                <w:rFonts w:ascii="Calibri" w:cs="Calibri" w:eastAsia="Calibri" w:hAnsi="Calibri"/>
                <w:sz w:val="16"/>
                <w:szCs w:val="16"/>
                <w:color w:val="auto"/>
              </w:rPr>
              <w:t>Small cap, internatonal and emerging growth funds</w:t>
            </w:r>
          </w:p>
        </w:tc>
        <w:tc>
          <w:tcPr>
            <w:tcW w:w="240" w:type="dxa"/>
            <w:vAlign w:val="bottom"/>
          </w:tcPr>
          <w:p>
            <w:pPr>
              <w:spacing w:after="0"/>
              <w:rPr>
                <w:sz w:val="16"/>
                <w:szCs w:val="16"/>
                <w:color w:val="auto"/>
              </w:rPr>
            </w:pPr>
          </w:p>
        </w:tc>
        <w:tc>
          <w:tcPr>
            <w:tcW w:w="11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260" w:type="dxa"/>
            <w:vAlign w:val="bottom"/>
          </w:tcPr>
          <w:p>
            <w:pPr>
              <w:spacing w:after="0"/>
              <w:rPr>
                <w:sz w:val="16"/>
                <w:szCs w:val="16"/>
                <w:color w:val="auto"/>
              </w:rPr>
            </w:pPr>
          </w:p>
        </w:tc>
        <w:tc>
          <w:tcPr>
            <w:tcW w:w="1140" w:type="dxa"/>
            <w:vAlign w:val="bottom"/>
            <w:tcBorders>
              <w:right w:val="single" w:sz="8" w:color="007CBA"/>
            </w:tcBorders>
          </w:tcPr>
          <w:p>
            <w:pPr>
              <w:ind w:left="8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right w:val="single" w:sz="8" w:color="007CBA"/>
            </w:tcBorders>
          </w:tcPr>
          <w:p>
            <w:pPr>
              <w:ind w:left="82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6"/>
                <w:szCs w:val="16"/>
                <w:color w:val="auto"/>
              </w:rPr>
            </w:pPr>
          </w:p>
        </w:tc>
        <w:tc>
          <w:tcPr>
            <w:tcW w:w="9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287.2</w:t>
            </w:r>
          </w:p>
        </w:tc>
        <w:tc>
          <w:tcPr>
            <w:tcW w:w="220" w:type="dxa"/>
            <w:vAlign w:val="bottom"/>
          </w:tcPr>
          <w:p>
            <w:pPr>
              <w:spacing w:after="0"/>
              <w:rPr>
                <w:sz w:val="16"/>
                <w:szCs w:val="16"/>
                <w:color w:val="auto"/>
              </w:rPr>
            </w:pP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287.2</w:t>
            </w:r>
          </w:p>
        </w:tc>
      </w:tr>
      <w:tr>
        <w:trPr>
          <w:trHeight w:val="36"/>
        </w:trPr>
        <w:tc>
          <w:tcPr>
            <w:tcW w:w="476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Borders>
              <w:right w:val="single" w:sz="8" w:color="007CBA"/>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Borders>
              <w:right w:val="single" w:sz="8" w:color="007CBA"/>
            </w:tcBorders>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30"/>
        </w:trPr>
        <w:tc>
          <w:tcPr>
            <w:tcW w:w="4760" w:type="dxa"/>
            <w:vAlign w:val="bottom"/>
            <w:tcBorders>
              <w:right w:val="single" w:sz="8" w:color="007CBA"/>
            </w:tcBorders>
            <w:shd w:val="clear" w:color="auto" w:fill="E5F1F8"/>
          </w:tcPr>
          <w:p>
            <w:pPr>
              <w:ind w:left="120"/>
              <w:spacing w:after="0" w:line="229" w:lineRule="exact"/>
              <w:rPr>
                <w:sz w:val="20"/>
                <w:szCs w:val="20"/>
                <w:color w:val="auto"/>
              </w:rPr>
            </w:pPr>
            <w:r>
              <w:rPr>
                <w:rFonts w:ascii="Calibri" w:cs="Calibri" w:eastAsia="Calibri" w:hAnsi="Calibri"/>
                <w:sz w:val="16"/>
                <w:szCs w:val="16"/>
                <w:color w:val="auto"/>
              </w:rPr>
              <w:t>Debt securites</w:t>
            </w:r>
            <w:r>
              <w:rPr>
                <w:rFonts w:ascii="Calibri" w:cs="Calibri" w:eastAsia="Calibri" w:hAnsi="Calibri"/>
                <w:sz w:val="21"/>
                <w:szCs w:val="21"/>
                <w:color w:val="auto"/>
                <w:vertAlign w:val="superscript"/>
              </w:rPr>
              <w:t>1</w:t>
            </w:r>
            <w:r>
              <w:rPr>
                <w:rFonts w:ascii="Calibri" w:cs="Calibri" w:eastAsia="Calibri" w:hAnsi="Calibri"/>
                <w:sz w:val="16"/>
                <w:szCs w:val="16"/>
                <w:color w:val="auto"/>
              </w:rPr>
              <w:t>:</w:t>
            </w:r>
          </w:p>
        </w:tc>
        <w:tc>
          <w:tcPr>
            <w:tcW w:w="24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spacing w:after="0"/>
              <w:rPr>
                <w:sz w:val="19"/>
                <w:szCs w:val="19"/>
                <w:color w:val="auto"/>
              </w:rPr>
            </w:pPr>
          </w:p>
        </w:tc>
        <w:tc>
          <w:tcPr>
            <w:tcW w:w="260" w:type="dxa"/>
            <w:vAlign w:val="bottom"/>
            <w:shd w:val="clear" w:color="auto" w:fill="E5F1F8"/>
          </w:tcPr>
          <w:p>
            <w:pPr>
              <w:spacing w:after="0"/>
              <w:rPr>
                <w:sz w:val="19"/>
                <w:szCs w:val="19"/>
                <w:color w:val="auto"/>
              </w:rPr>
            </w:pPr>
          </w:p>
        </w:tc>
        <w:tc>
          <w:tcPr>
            <w:tcW w:w="1140" w:type="dxa"/>
            <w:vAlign w:val="bottom"/>
            <w:tcBorders>
              <w:right w:val="single" w:sz="8" w:color="007CBA"/>
            </w:tcBorders>
            <w:shd w:val="clear" w:color="auto" w:fill="E5F1F8"/>
          </w:tcPr>
          <w:p>
            <w:pPr>
              <w:spacing w:after="0"/>
              <w:rPr>
                <w:sz w:val="19"/>
                <w:szCs w:val="19"/>
                <w:color w:val="auto"/>
              </w:rPr>
            </w:pPr>
          </w:p>
        </w:tc>
        <w:tc>
          <w:tcPr>
            <w:tcW w:w="100" w:type="dxa"/>
            <w:vAlign w:val="bottom"/>
            <w:shd w:val="clear" w:color="auto" w:fill="E5F1F8"/>
          </w:tcPr>
          <w:p>
            <w:pPr>
              <w:spacing w:after="0"/>
              <w:rPr>
                <w:sz w:val="19"/>
                <w:szCs w:val="19"/>
                <w:color w:val="auto"/>
              </w:rPr>
            </w:pPr>
          </w:p>
        </w:tc>
        <w:tc>
          <w:tcPr>
            <w:tcW w:w="160" w:type="dxa"/>
            <w:vAlign w:val="bottom"/>
            <w:shd w:val="clear" w:color="auto" w:fill="E5F1F8"/>
          </w:tcPr>
          <w:p>
            <w:pPr>
              <w:spacing w:after="0"/>
              <w:rPr>
                <w:sz w:val="19"/>
                <w:szCs w:val="19"/>
                <w:color w:val="auto"/>
              </w:rPr>
            </w:pPr>
          </w:p>
        </w:tc>
        <w:tc>
          <w:tcPr>
            <w:tcW w:w="1100" w:type="dxa"/>
            <w:vAlign w:val="bottom"/>
            <w:tcBorders>
              <w:right w:val="single" w:sz="8" w:color="007CBA"/>
            </w:tcBorders>
            <w:shd w:val="clear" w:color="auto" w:fill="E5F1F8"/>
          </w:tcPr>
          <w:p>
            <w:pPr>
              <w:spacing w:after="0"/>
              <w:rPr>
                <w:sz w:val="19"/>
                <w:szCs w:val="19"/>
                <w:color w:val="auto"/>
              </w:rPr>
            </w:pPr>
          </w:p>
        </w:tc>
        <w:tc>
          <w:tcPr>
            <w:tcW w:w="240" w:type="dxa"/>
            <w:vAlign w:val="bottom"/>
            <w:shd w:val="clear" w:color="auto" w:fill="E5F1F8"/>
          </w:tcPr>
          <w:p>
            <w:pPr>
              <w:spacing w:after="0"/>
              <w:rPr>
                <w:sz w:val="19"/>
                <w:szCs w:val="19"/>
                <w:color w:val="auto"/>
              </w:rPr>
            </w:pPr>
          </w:p>
        </w:tc>
        <w:tc>
          <w:tcPr>
            <w:tcW w:w="940" w:type="dxa"/>
            <w:vAlign w:val="bottom"/>
            <w:tcBorders>
              <w:right w:val="single" w:sz="8" w:color="007CBA"/>
            </w:tcBorders>
            <w:shd w:val="clear" w:color="auto" w:fill="E5F1F8"/>
          </w:tcPr>
          <w:p>
            <w:pPr>
              <w:spacing w:after="0"/>
              <w:rPr>
                <w:sz w:val="19"/>
                <w:szCs w:val="19"/>
                <w:color w:val="auto"/>
              </w:rPr>
            </w:pPr>
          </w:p>
        </w:tc>
        <w:tc>
          <w:tcPr>
            <w:tcW w:w="220" w:type="dxa"/>
            <w:vAlign w:val="bottom"/>
            <w:shd w:val="clear" w:color="auto" w:fill="E5F1F8"/>
          </w:tcPr>
          <w:p>
            <w:pPr>
              <w:spacing w:after="0"/>
              <w:rPr>
                <w:sz w:val="19"/>
                <w:szCs w:val="19"/>
                <w:color w:val="auto"/>
              </w:rPr>
            </w:pPr>
          </w:p>
        </w:tc>
        <w:tc>
          <w:tcPr>
            <w:tcW w:w="940" w:type="dxa"/>
            <w:vAlign w:val="bottom"/>
            <w:shd w:val="clear" w:color="auto" w:fill="E5F1F8"/>
          </w:tcPr>
          <w:p>
            <w:pPr>
              <w:spacing w:after="0"/>
              <w:rPr>
                <w:sz w:val="19"/>
                <w:szCs w:val="19"/>
                <w:color w:val="auto"/>
              </w:rPr>
            </w:pPr>
          </w:p>
        </w:tc>
      </w:tr>
      <w:tr>
        <w:trPr>
          <w:trHeight w:val="194"/>
        </w:trPr>
        <w:tc>
          <w:tcPr>
            <w:tcW w:w="4760" w:type="dxa"/>
            <w:vAlign w:val="bottom"/>
            <w:tcBorders>
              <w:right w:val="single" w:sz="8" w:color="007CBA"/>
            </w:tcBorders>
          </w:tcPr>
          <w:p>
            <w:pPr>
              <w:ind w:left="300"/>
              <w:spacing w:after="0" w:line="193" w:lineRule="exact"/>
              <w:rPr>
                <w:sz w:val="20"/>
                <w:szCs w:val="20"/>
                <w:color w:val="auto"/>
              </w:rPr>
            </w:pPr>
            <w:r>
              <w:rPr>
                <w:rFonts w:ascii="Calibri" w:cs="Calibri" w:eastAsia="Calibri" w:hAnsi="Calibri"/>
                <w:sz w:val="16"/>
                <w:szCs w:val="16"/>
                <w:color w:val="auto"/>
              </w:rPr>
              <w:t>Core fxed income</w:t>
            </w:r>
          </w:p>
        </w:tc>
        <w:tc>
          <w:tcPr>
            <w:tcW w:w="240" w:type="dxa"/>
            <w:vAlign w:val="bottom"/>
          </w:tcPr>
          <w:p>
            <w:pPr>
              <w:spacing w:after="0"/>
              <w:rPr>
                <w:sz w:val="16"/>
                <w:szCs w:val="16"/>
                <w:color w:val="auto"/>
              </w:rPr>
            </w:pPr>
          </w:p>
        </w:tc>
        <w:tc>
          <w:tcPr>
            <w:tcW w:w="11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260" w:type="dxa"/>
            <w:vAlign w:val="bottom"/>
          </w:tcPr>
          <w:p>
            <w:pPr>
              <w:spacing w:after="0"/>
              <w:rPr>
                <w:sz w:val="16"/>
                <w:szCs w:val="16"/>
                <w:color w:val="auto"/>
              </w:rPr>
            </w:pPr>
          </w:p>
        </w:tc>
        <w:tc>
          <w:tcPr>
            <w:tcW w:w="1140" w:type="dxa"/>
            <w:vAlign w:val="bottom"/>
            <w:tcBorders>
              <w:right w:val="single" w:sz="8" w:color="007CBA"/>
            </w:tcBorders>
          </w:tcPr>
          <w:p>
            <w:pPr>
              <w:ind w:left="8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right w:val="single" w:sz="8" w:color="007CBA"/>
            </w:tcBorders>
          </w:tcPr>
          <w:p>
            <w:pPr>
              <w:ind w:left="82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6"/>
                <w:szCs w:val="16"/>
                <w:color w:val="auto"/>
              </w:rPr>
            </w:pPr>
          </w:p>
        </w:tc>
        <w:tc>
          <w:tcPr>
            <w:tcW w:w="9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249.1</w:t>
            </w:r>
          </w:p>
        </w:tc>
        <w:tc>
          <w:tcPr>
            <w:tcW w:w="220" w:type="dxa"/>
            <w:vAlign w:val="bottom"/>
          </w:tcPr>
          <w:p>
            <w:pPr>
              <w:spacing w:after="0"/>
              <w:rPr>
                <w:sz w:val="16"/>
                <w:szCs w:val="16"/>
                <w:color w:val="auto"/>
              </w:rPr>
            </w:pP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249.1</w:t>
            </w:r>
          </w:p>
        </w:tc>
      </w:tr>
      <w:tr>
        <w:trPr>
          <w:trHeight w:val="36"/>
        </w:trPr>
        <w:tc>
          <w:tcPr>
            <w:tcW w:w="476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Borders>
              <w:right w:val="single" w:sz="8" w:color="007CBA"/>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Borders>
              <w:right w:val="single" w:sz="8" w:color="007CBA"/>
            </w:tcBorders>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Borders>
              <w:right w:val="single" w:sz="8" w:color="007CBA"/>
            </w:tcBorders>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0"/>
        </w:trPr>
        <w:tc>
          <w:tcPr>
            <w:tcW w:w="476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Real estate</w:t>
            </w:r>
          </w:p>
        </w:tc>
        <w:tc>
          <w:tcPr>
            <w:tcW w:w="24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26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right w:val="single" w:sz="8" w:color="007CBA"/>
            </w:tcBorders>
            <w:shd w:val="clear" w:color="auto" w:fill="E5F1F8"/>
          </w:tcPr>
          <w:p>
            <w:pPr>
              <w:ind w:left="8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E5F1F8"/>
            </w:tcBorders>
            <w:shd w:val="clear" w:color="auto" w:fill="E5F1F8"/>
          </w:tcPr>
          <w:p>
            <w:pPr>
              <w:spacing w:after="0"/>
              <w:rPr>
                <w:sz w:val="18"/>
                <w:szCs w:val="18"/>
                <w:color w:val="auto"/>
              </w:rPr>
            </w:pPr>
          </w:p>
        </w:tc>
        <w:tc>
          <w:tcPr>
            <w:tcW w:w="160" w:type="dxa"/>
            <w:vAlign w:val="bottom"/>
            <w:tcBorders>
              <w:bottom w:val="single" w:sz="8" w:color="E5F1F8"/>
            </w:tcBorders>
            <w:shd w:val="clear" w:color="auto" w:fill="E5F1F8"/>
          </w:tcPr>
          <w:p>
            <w:pPr>
              <w:spacing w:after="0"/>
              <w:rPr>
                <w:sz w:val="18"/>
                <w:szCs w:val="18"/>
                <w:color w:val="auto"/>
              </w:rPr>
            </w:pPr>
          </w:p>
        </w:tc>
        <w:tc>
          <w:tcPr>
            <w:tcW w:w="1100" w:type="dxa"/>
            <w:vAlign w:val="bottom"/>
            <w:tcBorders>
              <w:bottom w:val="single" w:sz="8" w:color="E5F1F8"/>
              <w:right w:val="single" w:sz="8" w:color="007CBA"/>
            </w:tcBorders>
            <w:shd w:val="clear" w:color="auto" w:fill="E5F1F8"/>
          </w:tcPr>
          <w:p>
            <w:pPr>
              <w:ind w:left="82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E5F1F8"/>
            </w:tcBorders>
            <w:shd w:val="clear" w:color="auto" w:fill="E5F1F8"/>
          </w:tcPr>
          <w:p>
            <w:pPr>
              <w:spacing w:after="0"/>
              <w:rPr>
                <w:sz w:val="18"/>
                <w:szCs w:val="18"/>
                <w:color w:val="auto"/>
              </w:rPr>
            </w:pPr>
          </w:p>
        </w:tc>
        <w:tc>
          <w:tcPr>
            <w:tcW w:w="94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151.5</w:t>
            </w:r>
          </w:p>
        </w:tc>
        <w:tc>
          <w:tcPr>
            <w:tcW w:w="220" w:type="dxa"/>
            <w:vAlign w:val="bottom"/>
            <w:tcBorders>
              <w:bottom w:val="single" w:sz="8" w:color="E5F1F8"/>
            </w:tcBorders>
            <w:shd w:val="clear" w:color="auto" w:fill="E5F1F8"/>
          </w:tcPr>
          <w:p>
            <w:pPr>
              <w:spacing w:after="0"/>
              <w:rPr>
                <w:sz w:val="18"/>
                <w:szCs w:val="18"/>
                <w:color w:val="auto"/>
              </w:rPr>
            </w:pPr>
          </w:p>
        </w:tc>
        <w:tc>
          <w:tcPr>
            <w:tcW w:w="94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151.5</w:t>
            </w:r>
          </w:p>
        </w:tc>
      </w:tr>
      <w:tr>
        <w:trPr>
          <w:trHeight w:val="229"/>
        </w:trPr>
        <w:tc>
          <w:tcPr>
            <w:tcW w:w="476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Private infrastructure</w:t>
            </w:r>
          </w:p>
        </w:tc>
        <w:tc>
          <w:tcPr>
            <w:tcW w:w="240" w:type="dxa"/>
            <w:vAlign w:val="bottom"/>
          </w:tcPr>
          <w:p>
            <w:pPr>
              <w:spacing w:after="0"/>
              <w:rPr>
                <w:sz w:val="19"/>
                <w:szCs w:val="19"/>
                <w:color w:val="auto"/>
              </w:rPr>
            </w:pPr>
          </w:p>
        </w:tc>
        <w:tc>
          <w:tcPr>
            <w:tcW w:w="11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260" w:type="dxa"/>
            <w:vAlign w:val="bottom"/>
          </w:tcPr>
          <w:p>
            <w:pPr>
              <w:spacing w:after="0"/>
              <w:rPr>
                <w:sz w:val="19"/>
                <w:szCs w:val="19"/>
                <w:color w:val="auto"/>
              </w:rPr>
            </w:pPr>
          </w:p>
        </w:tc>
        <w:tc>
          <w:tcPr>
            <w:tcW w:w="1140" w:type="dxa"/>
            <w:vAlign w:val="bottom"/>
            <w:tcBorders>
              <w:right w:val="single" w:sz="8" w:color="007CBA"/>
            </w:tcBorders>
          </w:tcPr>
          <w:p>
            <w:pPr>
              <w:ind w:left="84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right w:val="single" w:sz="8" w:color="007CBA"/>
            </w:tcBorders>
          </w:tcPr>
          <w:p>
            <w:pPr>
              <w:ind w:left="82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9"/>
                <w:szCs w:val="19"/>
                <w:color w:val="auto"/>
              </w:rPr>
            </w:pPr>
          </w:p>
        </w:tc>
        <w:tc>
          <w:tcPr>
            <w:tcW w:w="94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83.1</w:t>
            </w:r>
          </w:p>
        </w:tc>
        <w:tc>
          <w:tcPr>
            <w:tcW w:w="220" w:type="dxa"/>
            <w:vAlign w:val="bottom"/>
          </w:tcPr>
          <w:p>
            <w:pPr>
              <w:spacing w:after="0"/>
              <w:rPr>
                <w:sz w:val="19"/>
                <w:szCs w:val="19"/>
                <w:color w:val="auto"/>
              </w:rPr>
            </w:pPr>
          </w:p>
        </w:tc>
        <w:tc>
          <w:tcPr>
            <w:tcW w:w="94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83.1</w:t>
            </w:r>
          </w:p>
        </w:tc>
      </w:tr>
      <w:tr>
        <w:trPr>
          <w:trHeight w:val="234"/>
        </w:trPr>
        <w:tc>
          <w:tcPr>
            <w:tcW w:w="4760" w:type="dxa"/>
            <w:vAlign w:val="bottom"/>
            <w:tcBorders>
              <w:bottom w:val="single" w:sz="8" w:color="E5F1F8"/>
              <w:right w:val="single" w:sz="8" w:color="E5F1F8"/>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Cash equivalents</w:t>
            </w:r>
          </w:p>
        </w:tc>
        <w:tc>
          <w:tcPr>
            <w:tcW w:w="24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E5F1F8"/>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0.2</w:t>
            </w:r>
          </w:p>
        </w:tc>
        <w:tc>
          <w:tcPr>
            <w:tcW w:w="260" w:type="dxa"/>
            <w:vAlign w:val="bottom"/>
            <w:tcBorders>
              <w:bottom w:val="single" w:sz="8" w:color="E5F1F8"/>
            </w:tcBorders>
            <w:shd w:val="clear" w:color="auto" w:fill="E5F1F8"/>
          </w:tcPr>
          <w:p>
            <w:pPr>
              <w:spacing w:after="0"/>
              <w:rPr>
                <w:sz w:val="19"/>
                <w:szCs w:val="19"/>
                <w:color w:val="auto"/>
              </w:rPr>
            </w:pPr>
          </w:p>
        </w:tc>
        <w:tc>
          <w:tcPr>
            <w:tcW w:w="1240" w:type="dxa"/>
            <w:vAlign w:val="bottom"/>
            <w:tcBorders>
              <w:bottom w:val="single" w:sz="8" w:color="E5F1F8"/>
            </w:tcBorders>
            <w:gridSpan w:val="2"/>
            <w:shd w:val="clear" w:color="auto" w:fill="E5F1F8"/>
          </w:tcPr>
          <w:p>
            <w:pPr>
              <w:ind w:left="840"/>
              <w:spacing w:after="0" w:line="193" w:lineRule="exact"/>
              <w:rPr>
                <w:sz w:val="20"/>
                <w:szCs w:val="20"/>
                <w:color w:val="auto"/>
              </w:rPr>
            </w:pPr>
            <w:r>
              <w:rPr>
                <w:rFonts w:ascii="Calibri" w:cs="Calibri" w:eastAsia="Calibri" w:hAnsi="Calibri"/>
                <w:sz w:val="16"/>
                <w:szCs w:val="16"/>
                <w:color w:val="auto"/>
              </w:rPr>
              <w:t>—</w:t>
            </w:r>
          </w:p>
        </w:tc>
        <w:tc>
          <w:tcPr>
            <w:tcW w:w="160" w:type="dxa"/>
            <w:vAlign w:val="bottom"/>
            <w:tcBorders>
              <w:bottom w:val="single" w:sz="8" w:color="E5F1F8"/>
            </w:tcBorders>
            <w:shd w:val="clear" w:color="auto" w:fill="E5F1F8"/>
          </w:tcPr>
          <w:p>
            <w:pPr>
              <w:spacing w:after="0"/>
              <w:rPr>
                <w:sz w:val="19"/>
                <w:szCs w:val="19"/>
                <w:color w:val="auto"/>
              </w:rPr>
            </w:pPr>
          </w:p>
        </w:tc>
        <w:tc>
          <w:tcPr>
            <w:tcW w:w="1100" w:type="dxa"/>
            <w:vAlign w:val="bottom"/>
            <w:tcBorders>
              <w:bottom w:val="single" w:sz="8" w:color="E5F1F8"/>
              <w:right w:val="single" w:sz="8" w:color="E5F1F8"/>
            </w:tcBorders>
            <w:shd w:val="clear" w:color="auto" w:fill="E5F1F8"/>
          </w:tcPr>
          <w:p>
            <w:pPr>
              <w:ind w:left="820"/>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E5F1F8"/>
            </w:tcBorders>
            <w:shd w:val="clear" w:color="auto" w:fill="E5F1F8"/>
          </w:tcPr>
          <w:p>
            <w:pPr>
              <w:spacing w:after="0"/>
              <w:rPr>
                <w:sz w:val="19"/>
                <w:szCs w:val="19"/>
                <w:color w:val="auto"/>
              </w:rPr>
            </w:pPr>
          </w:p>
        </w:tc>
        <w:tc>
          <w:tcPr>
            <w:tcW w:w="940" w:type="dxa"/>
            <w:vAlign w:val="bottom"/>
            <w:tcBorders>
              <w:bottom w:val="single" w:sz="8" w:color="E5F1F8"/>
              <w:right w:val="single" w:sz="8" w:color="E5F1F8"/>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4.4</w:t>
            </w:r>
          </w:p>
        </w:tc>
        <w:tc>
          <w:tcPr>
            <w:tcW w:w="220" w:type="dxa"/>
            <w:vAlign w:val="bottom"/>
            <w:tcBorders>
              <w:bottom w:val="single" w:sz="8" w:color="E5F1F8"/>
            </w:tcBorders>
            <w:shd w:val="clear" w:color="auto" w:fill="E5F1F8"/>
          </w:tcPr>
          <w:p>
            <w:pPr>
              <w:spacing w:after="0"/>
              <w:rPr>
                <w:sz w:val="19"/>
                <w:szCs w:val="19"/>
                <w:color w:val="auto"/>
              </w:rPr>
            </w:pPr>
          </w:p>
        </w:tc>
        <w:tc>
          <w:tcPr>
            <w:tcW w:w="94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4.6</w:t>
            </w:r>
          </w:p>
        </w:tc>
      </w:tr>
      <w:tr>
        <w:trPr>
          <w:trHeight w:val="187"/>
        </w:trPr>
        <w:tc>
          <w:tcPr>
            <w:tcW w:w="4760" w:type="dxa"/>
            <w:vAlign w:val="bottom"/>
            <w:tcBorders>
              <w:top w:val="single" w:sz="8" w:color="auto"/>
            </w:tcBorders>
          </w:tcPr>
          <w:p>
            <w:pPr>
              <w:ind w:left="120"/>
              <w:spacing w:after="0" w:line="187" w:lineRule="exact"/>
              <w:rPr>
                <w:sz w:val="20"/>
                <w:szCs w:val="20"/>
                <w:color w:val="auto"/>
              </w:rPr>
            </w:pPr>
            <w:r>
              <w:rPr>
                <w:rFonts w:ascii="Calibri" w:cs="Calibri" w:eastAsia="Calibri" w:hAnsi="Calibri"/>
                <w:sz w:val="16"/>
                <w:szCs w:val="16"/>
                <w:color w:val="auto"/>
              </w:rPr>
              <w:t>Total</w:t>
            </w:r>
          </w:p>
        </w:tc>
        <w:tc>
          <w:tcPr>
            <w:tcW w:w="2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114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rPr>
              <w:t>0.2</w:t>
            </w:r>
          </w:p>
        </w:tc>
        <w:tc>
          <w:tcPr>
            <w:tcW w:w="2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1240" w:type="dxa"/>
            <w:vAlign w:val="bottom"/>
            <w:tcBorders>
              <w:top w:val="single" w:sz="8" w:color="auto"/>
            </w:tcBorders>
            <w:gridSpan w:val="2"/>
          </w:tcPr>
          <w:p>
            <w:pPr>
              <w:ind w:left="840"/>
              <w:spacing w:after="0" w:line="187" w:lineRule="exact"/>
              <w:rPr>
                <w:sz w:val="20"/>
                <w:szCs w:val="20"/>
                <w:color w:val="auto"/>
              </w:rPr>
            </w:pPr>
            <w:r>
              <w:rPr>
                <w:rFonts w:ascii="Calibri" w:cs="Calibri" w:eastAsia="Calibri" w:hAnsi="Calibri"/>
                <w:sz w:val="16"/>
                <w:szCs w:val="16"/>
                <w:color w:val="auto"/>
              </w:rPr>
              <w:t>—</w:t>
            </w:r>
          </w:p>
        </w:tc>
        <w:tc>
          <w:tcPr>
            <w:tcW w:w="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1100" w:type="dxa"/>
            <w:vAlign w:val="bottom"/>
            <w:tcBorders>
              <w:top w:val="single" w:sz="8" w:color="auto"/>
            </w:tcBorders>
          </w:tcPr>
          <w:p>
            <w:pPr>
              <w:ind w:left="820"/>
              <w:spacing w:after="0" w:line="187" w:lineRule="exact"/>
              <w:rPr>
                <w:sz w:val="20"/>
                <w:szCs w:val="20"/>
                <w:color w:val="auto"/>
              </w:rPr>
            </w:pPr>
            <w:r>
              <w:rPr>
                <w:rFonts w:ascii="Calibri" w:cs="Calibri" w:eastAsia="Calibri" w:hAnsi="Calibri"/>
                <w:sz w:val="16"/>
                <w:szCs w:val="16"/>
                <w:color w:val="auto"/>
              </w:rPr>
              <w:t>—</w:t>
            </w:r>
          </w:p>
        </w:tc>
        <w:tc>
          <w:tcPr>
            <w:tcW w:w="2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ind w:right="59"/>
              <w:spacing w:after="0" w:line="187" w:lineRule="exact"/>
              <w:rPr>
                <w:sz w:val="20"/>
                <w:szCs w:val="20"/>
                <w:color w:val="auto"/>
              </w:rPr>
            </w:pPr>
            <w:r>
              <w:rPr>
                <w:rFonts w:ascii="Calibri" w:cs="Calibri" w:eastAsia="Calibri" w:hAnsi="Calibri"/>
                <w:sz w:val="16"/>
                <w:szCs w:val="16"/>
                <w:color w:val="auto"/>
              </w:rPr>
              <w:t>1,066.9</w:t>
            </w:r>
          </w:p>
        </w:tc>
        <w:tc>
          <w:tcPr>
            <w:tcW w:w="2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w:t>
            </w:r>
          </w:p>
        </w:tc>
        <w:tc>
          <w:tcPr>
            <w:tcW w:w="940" w:type="dxa"/>
            <w:vAlign w:val="bottom"/>
            <w:tcBorders>
              <w:top w:val="single" w:sz="8" w:color="auto"/>
            </w:tcBorders>
          </w:tcPr>
          <w:p>
            <w:pPr>
              <w:jc w:val="right"/>
              <w:ind w:right="39"/>
              <w:spacing w:after="0" w:line="187" w:lineRule="exact"/>
              <w:rPr>
                <w:sz w:val="20"/>
                <w:szCs w:val="20"/>
                <w:color w:val="auto"/>
              </w:rPr>
            </w:pPr>
            <w:r>
              <w:rPr>
                <w:rFonts w:ascii="Calibri" w:cs="Calibri" w:eastAsia="Calibri" w:hAnsi="Calibri"/>
                <w:sz w:val="16"/>
                <w:szCs w:val="16"/>
                <w:color w:val="auto"/>
              </w:rPr>
              <w:t>1,067.1</w:t>
            </w:r>
          </w:p>
        </w:tc>
      </w:tr>
      <w:tr>
        <w:trPr>
          <w:trHeight w:val="36"/>
        </w:trPr>
        <w:tc>
          <w:tcPr>
            <w:tcW w:w="4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-3933825</wp:posOffset>
            </wp:positionV>
            <wp:extent cx="270891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-3136900</wp:posOffset>
            </wp:positionV>
            <wp:extent cx="403733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4037330" cy="825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-1975485</wp:posOffset>
            </wp:positionV>
            <wp:extent cx="33655" cy="3511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33655" cy="3511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-1975485</wp:posOffset>
            </wp:positionV>
            <wp:extent cx="34290" cy="3511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4758690</wp:posOffset>
            </wp:positionH>
            <wp:positionV relativeFrom="paragraph">
              <wp:posOffset>-1975485</wp:posOffset>
            </wp:positionV>
            <wp:extent cx="34290" cy="3511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-1975485</wp:posOffset>
            </wp:positionV>
            <wp:extent cx="34290" cy="3511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-1975485</wp:posOffset>
            </wp:positionV>
            <wp:extent cx="34290" cy="3511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2992755</wp:posOffset>
            </wp:positionH>
            <wp:positionV relativeFrom="paragraph">
              <wp:posOffset>-337820</wp:posOffset>
            </wp:positionV>
            <wp:extent cx="33655" cy="3511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33655" cy="3511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-337820</wp:posOffset>
            </wp:positionV>
            <wp:extent cx="34290" cy="3511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4758690</wp:posOffset>
            </wp:positionH>
            <wp:positionV relativeFrom="paragraph">
              <wp:posOffset>-337820</wp:posOffset>
            </wp:positionV>
            <wp:extent cx="34290" cy="3511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-337820</wp:posOffset>
            </wp:positionV>
            <wp:extent cx="34290" cy="3511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-337820</wp:posOffset>
            </wp:positionV>
            <wp:extent cx="34290" cy="3511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34290" cy="351155"/>
                    </a:xfrm>
                    <a:prstGeom prst="rect">
                      <a:avLst/>
                    </a:prstGeom>
                    <a:noFill/>
                  </pic:spPr>
                </pic:pic>
              </a:graphicData>
            </a:graphic>
          </wp:anchor>
        </w:drawing>
      </w:r>
    </w:p>
    <w:p>
      <w:pPr>
        <w:spacing w:after="0" w:line="33" w:lineRule="exact"/>
        <w:rPr>
          <w:sz w:val="20"/>
          <w:szCs w:val="20"/>
          <w:color w:val="auto"/>
        </w:rPr>
      </w:pPr>
    </w:p>
    <w:p>
      <w:pPr>
        <w:ind w:left="800" w:right="20" w:hanging="401"/>
        <w:spacing w:after="0" w:line="205" w:lineRule="auto"/>
        <w:tabs>
          <w:tab w:leader="none" w:pos="800" w:val="left"/>
        </w:tabs>
        <w:numPr>
          <w:ilvl w:val="0"/>
          <w:numId w:val="24"/>
        </w:numPr>
        <w:rPr>
          <w:rFonts w:ascii="Calibri" w:cs="Calibri" w:eastAsia="Calibri" w:hAnsi="Calibri"/>
          <w:sz w:val="19"/>
          <w:szCs w:val="19"/>
          <w:color w:val="auto"/>
          <w:vertAlign w:val="superscript"/>
        </w:rPr>
      </w:pPr>
      <w:r>
        <w:rPr>
          <w:rFonts w:ascii="Calibri" w:cs="Calibri" w:eastAsia="Calibri" w:hAnsi="Calibri"/>
          <w:sz w:val="14"/>
          <w:szCs w:val="14"/>
          <w:color w:val="auto"/>
        </w:rPr>
        <w:t>These investments are common collectve investment trusts valued using the net asset value (NAV) unit price provided by the fund administrator. The NAV is based on the value of the underlying assets owned by the fund.</w:t>
      </w:r>
    </w:p>
    <w:p>
      <w:pPr>
        <w:spacing w:after="0" w:line="18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Real estate investments are stated at estmated fair value, which is the price that would be received to sell an asset or paid to transfer a liability in an orderly transacton between market partcipants at the measurement date. Real estate investments are valued at NAV based on the plan’s proportonate shares of the real estate funds’ fair value as recorded by the trustees/general partner of the funds. The funds are real estate investment trust based funds that ofer partcipaton in an actvely managed, primarily core portolio of equity real estate. The funds allocate gains, losses and expenses to investors based on the ownership percentage to determine the NAV. Private infrastructure assets represent investments in a fund that is stated at fair value. For fnancial assets in the fund that are actvely traded in organized fnancial markets, fair value is based on exchange-quoted market prices. For investments in a fund for which there is no quoted market price, fair value is determined by the trustees/general partner of the fund based on discounted expected future cash fows prepared by third-party professionals.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2023 and 2022, the Company made combined pension plan and SERP contributons of $31.8 million and $90.2 million, respectvely. The Company currently estmates that it will contribute $32.7 million to its pension plans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74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99" w:name="page100"/>
    <w:bookmarkEnd w:id="99"/>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color w:val="auto"/>
        </w:rPr>
        <w:t>The expected beneft payments to be paid from plan assets for each of the next fve years and the fve-year period thereafer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040" w:type="dxa"/>
            <w:vAlign w:val="bottom"/>
            <w:shd w:val="clear" w:color="auto" w:fill="007CBA"/>
          </w:tcPr>
          <w:p>
            <w:pPr>
              <w:spacing w:after="0"/>
              <w:rPr>
                <w:sz w:val="21"/>
                <w:szCs w:val="21"/>
                <w:color w:val="auto"/>
              </w:rPr>
            </w:pPr>
          </w:p>
        </w:tc>
        <w:tc>
          <w:tcPr>
            <w:tcW w:w="1220" w:type="dxa"/>
            <w:vAlign w:val="bottom"/>
            <w:shd w:val="clear" w:color="auto" w:fill="007CBA"/>
          </w:tcPr>
          <w:p>
            <w:pPr>
              <w:spacing w:after="0"/>
              <w:rPr>
                <w:sz w:val="21"/>
                <w:szCs w:val="21"/>
                <w:color w:val="auto"/>
              </w:rPr>
            </w:pPr>
          </w:p>
        </w:tc>
      </w:tr>
      <w:tr>
        <w:trPr>
          <w:trHeight w:val="215"/>
        </w:trPr>
        <w:tc>
          <w:tcPr>
            <w:tcW w:w="89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2024</w:t>
            </w:r>
          </w:p>
        </w:tc>
        <w:tc>
          <w:tcPr>
            <w:tcW w:w="1040" w:type="dxa"/>
            <w:vAlign w:val="bottom"/>
          </w:tcPr>
          <w:p>
            <w:pPr>
              <w:jc w:val="right"/>
              <w:ind w:right="59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50.0</w:t>
            </w:r>
          </w:p>
        </w:tc>
      </w:tr>
      <w:tr>
        <w:trPr>
          <w:trHeight w:val="28"/>
        </w:trPr>
        <w:tc>
          <w:tcPr>
            <w:tcW w:w="8980" w:type="dxa"/>
            <w:vAlign w:val="bottom"/>
            <w:tcBorders>
              <w:right w:val="single" w:sz="8" w:color="007CBA"/>
            </w:tcBorders>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89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2025</w:t>
            </w:r>
          </w:p>
        </w:tc>
        <w:tc>
          <w:tcPr>
            <w:tcW w:w="1040" w:type="dxa"/>
            <w:vAlign w:val="bottom"/>
            <w:tcBorders>
              <w:bottom w:val="single" w:sz="8" w:color="E5F1F8"/>
            </w:tcBorders>
            <w:shd w:val="clear" w:color="auto" w:fill="E5F1F8"/>
          </w:tcPr>
          <w:p>
            <w:pPr>
              <w:jc w:val="right"/>
              <w:ind w:right="59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66.3</w:t>
            </w:r>
          </w:p>
        </w:tc>
      </w:tr>
      <w:tr>
        <w:trPr>
          <w:trHeight w:val="215"/>
        </w:trPr>
        <w:tc>
          <w:tcPr>
            <w:tcW w:w="89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2026</w:t>
            </w:r>
          </w:p>
        </w:tc>
        <w:tc>
          <w:tcPr>
            <w:tcW w:w="1040" w:type="dxa"/>
            <w:vAlign w:val="bottom"/>
          </w:tcPr>
          <w:p>
            <w:pPr>
              <w:jc w:val="right"/>
              <w:ind w:right="59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58.8</w:t>
            </w:r>
          </w:p>
        </w:tc>
      </w:tr>
      <w:tr>
        <w:trPr>
          <w:trHeight w:val="28"/>
        </w:trPr>
        <w:tc>
          <w:tcPr>
            <w:tcW w:w="8980" w:type="dxa"/>
            <w:vAlign w:val="bottom"/>
            <w:tcBorders>
              <w:right w:val="single" w:sz="8" w:color="007CBA"/>
            </w:tcBorders>
          </w:tcPr>
          <w:p>
            <w:pPr>
              <w:spacing w:after="0"/>
              <w:rPr>
                <w:sz w:val="2"/>
                <w:szCs w:val="2"/>
                <w:color w:val="auto"/>
              </w:rPr>
            </w:pPr>
          </w:p>
        </w:tc>
        <w:tc>
          <w:tcPr>
            <w:tcW w:w="10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89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2027</w:t>
            </w:r>
          </w:p>
        </w:tc>
        <w:tc>
          <w:tcPr>
            <w:tcW w:w="1040" w:type="dxa"/>
            <w:vAlign w:val="bottom"/>
            <w:tcBorders>
              <w:bottom w:val="single" w:sz="8" w:color="E5F1F8"/>
            </w:tcBorders>
            <w:shd w:val="clear" w:color="auto" w:fill="E5F1F8"/>
          </w:tcPr>
          <w:p>
            <w:pPr>
              <w:jc w:val="right"/>
              <w:ind w:right="59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62.3</w:t>
            </w:r>
          </w:p>
        </w:tc>
      </w:tr>
      <w:tr>
        <w:trPr>
          <w:trHeight w:val="243"/>
        </w:trPr>
        <w:tc>
          <w:tcPr>
            <w:tcW w:w="89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2028</w:t>
            </w:r>
          </w:p>
        </w:tc>
        <w:tc>
          <w:tcPr>
            <w:tcW w:w="1040" w:type="dxa"/>
            <w:vAlign w:val="bottom"/>
          </w:tcPr>
          <w:p>
            <w:pPr>
              <w:jc w:val="right"/>
              <w:ind w:right="59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64.7</w:t>
            </w:r>
          </w:p>
        </w:tc>
      </w:tr>
      <w:tr>
        <w:trPr>
          <w:trHeight w:val="223"/>
        </w:trPr>
        <w:tc>
          <w:tcPr>
            <w:tcW w:w="89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Years 2029 - 2033</w:t>
            </w:r>
          </w:p>
        </w:tc>
        <w:tc>
          <w:tcPr>
            <w:tcW w:w="1040" w:type="dxa"/>
            <w:vAlign w:val="bottom"/>
            <w:tcBorders>
              <w:bottom w:val="single" w:sz="8" w:color="E5F1F8"/>
            </w:tcBorders>
            <w:shd w:val="clear" w:color="auto" w:fill="E5F1F8"/>
          </w:tcPr>
          <w:p>
            <w:pPr>
              <w:jc w:val="right"/>
              <w:ind w:right="590"/>
              <w:spacing w:after="0" w:line="215" w:lineRule="exact"/>
              <w:rPr>
                <w:sz w:val="20"/>
                <w:szCs w:val="20"/>
                <w:color w:val="auto"/>
              </w:rPr>
            </w:pPr>
            <w:r>
              <w:rPr>
                <w:rFonts w:ascii="Calibri" w:cs="Calibri" w:eastAsia="Calibri" w:hAnsi="Calibri"/>
                <w:sz w:val="18"/>
                <w:szCs w:val="18"/>
                <w:color w:val="auto"/>
              </w:rPr>
              <w:t>$</w:t>
            </w:r>
          </w:p>
        </w:tc>
        <w:tc>
          <w:tcPr>
            <w:tcW w:w="12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341.3</w:t>
            </w:r>
          </w:p>
        </w:tc>
      </w:tr>
      <w:tr>
        <w:trPr>
          <w:trHeight w:val="20"/>
        </w:trPr>
        <w:tc>
          <w:tcPr>
            <w:tcW w:w="898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5675630</wp:posOffset>
            </wp:positionH>
            <wp:positionV relativeFrom="paragraph">
              <wp:posOffset>-174625</wp:posOffset>
            </wp:positionV>
            <wp:extent cx="33655" cy="18796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33655" cy="18796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Postretrement Benefts</w:t>
      </w:r>
      <w:r>
        <w:rPr>
          <w:rFonts w:ascii="Calibri" w:cs="Calibri" w:eastAsia="Calibri" w:hAnsi="Calibri"/>
          <w:sz w:val="18"/>
          <w:szCs w:val="18"/>
          <w:i w:val="1"/>
          <w:i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net periodic beneft credit for postretrement plans includes the following components: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20"/>
                <w:szCs w:val="20"/>
                <w:color w:val="auto"/>
              </w:rPr>
            </w:pPr>
          </w:p>
        </w:tc>
        <w:tc>
          <w:tcPr>
            <w:tcW w:w="1160" w:type="dxa"/>
            <w:vAlign w:val="bottom"/>
            <w:tcBorders>
              <w:right w:val="single" w:sz="8" w:color="007CBA"/>
            </w:tcBorders>
            <w:shd w:val="clear" w:color="auto" w:fill="007CBA"/>
          </w:tcPr>
          <w:p>
            <w:pPr>
              <w:spacing w:after="0"/>
              <w:rPr>
                <w:sz w:val="20"/>
                <w:szCs w:val="20"/>
                <w:color w:val="auto"/>
              </w:rPr>
            </w:pPr>
          </w:p>
        </w:tc>
        <w:tc>
          <w:tcPr>
            <w:tcW w:w="460" w:type="dxa"/>
            <w:vAlign w:val="bottom"/>
            <w:shd w:val="clear" w:color="auto" w:fill="007CBA"/>
          </w:tcPr>
          <w:p>
            <w:pPr>
              <w:spacing w:after="0"/>
              <w:rPr>
                <w:sz w:val="20"/>
                <w:szCs w:val="20"/>
                <w:color w:val="auto"/>
              </w:rPr>
            </w:pPr>
          </w:p>
        </w:tc>
        <w:tc>
          <w:tcPr>
            <w:tcW w:w="1140" w:type="dxa"/>
            <w:vAlign w:val="bottom"/>
            <w:tcBorders>
              <w:right w:val="single" w:sz="8" w:color="007CBA"/>
            </w:tcBorders>
            <w:shd w:val="clear" w:color="auto" w:fill="007CBA"/>
          </w:tcPr>
          <w:p>
            <w:pPr>
              <w:spacing w:after="0"/>
              <w:rPr>
                <w:sz w:val="20"/>
                <w:szCs w:val="20"/>
                <w:color w:val="auto"/>
              </w:rPr>
            </w:pPr>
          </w:p>
        </w:tc>
        <w:tc>
          <w:tcPr>
            <w:tcW w:w="460" w:type="dxa"/>
            <w:vAlign w:val="bottom"/>
            <w:shd w:val="clear" w:color="auto" w:fill="007CBA"/>
          </w:tcPr>
          <w:p>
            <w:pPr>
              <w:spacing w:after="0"/>
              <w:rPr>
                <w:sz w:val="20"/>
                <w:szCs w:val="20"/>
                <w:color w:val="auto"/>
              </w:rPr>
            </w:pPr>
          </w:p>
        </w:tc>
        <w:tc>
          <w:tcPr>
            <w:tcW w:w="1140" w:type="dxa"/>
            <w:vAlign w:val="bottom"/>
            <w:shd w:val="clear" w:color="auto" w:fill="007CBA"/>
          </w:tcPr>
          <w:p>
            <w:pPr>
              <w:spacing w:after="0"/>
              <w:rPr>
                <w:sz w:val="20"/>
                <w:szCs w:val="20"/>
                <w:color w:val="auto"/>
              </w:rPr>
            </w:pPr>
          </w:p>
        </w:tc>
      </w:tr>
      <w:tr>
        <w:trPr>
          <w:trHeight w:val="231"/>
        </w:trPr>
        <w:tc>
          <w:tcPr>
            <w:tcW w:w="640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2023</w:t>
            </w:r>
          </w:p>
        </w:tc>
        <w:tc>
          <w:tcPr>
            <w:tcW w:w="46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2022</w:t>
            </w:r>
          </w:p>
        </w:tc>
        <w:tc>
          <w:tcPr>
            <w:tcW w:w="46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2021</w:t>
            </w:r>
          </w:p>
        </w:tc>
      </w:tr>
      <w:tr>
        <w:trPr>
          <w:trHeight w:val="223"/>
        </w:trPr>
        <w:tc>
          <w:tcPr>
            <w:tcW w:w="64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Interest cost</w:t>
            </w:r>
          </w:p>
        </w:tc>
        <w:tc>
          <w:tcPr>
            <w:tcW w:w="48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0.5</w:t>
            </w:r>
          </w:p>
        </w:tc>
        <w:tc>
          <w:tcPr>
            <w:tcW w:w="46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0.4</w:t>
            </w:r>
          </w:p>
        </w:tc>
        <w:tc>
          <w:tcPr>
            <w:tcW w:w="46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0.3</w:t>
            </w:r>
          </w:p>
        </w:tc>
      </w:tr>
      <w:tr>
        <w:trPr>
          <w:trHeight w:val="215"/>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Amortzaton of:</w:t>
            </w:r>
          </w:p>
        </w:tc>
        <w:tc>
          <w:tcPr>
            <w:tcW w:w="48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
        </w:trPr>
        <w:tc>
          <w:tcPr>
            <w:tcW w:w="640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Prior service credit</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(0.3 )</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(0.9 )</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(0.8 )</w:t>
            </w:r>
          </w:p>
        </w:tc>
      </w:tr>
      <w:tr>
        <w:trPr>
          <w:trHeight w:val="215"/>
        </w:trPr>
        <w:tc>
          <w:tcPr>
            <w:tcW w:w="6400" w:type="dxa"/>
            <w:vAlign w:val="bottom"/>
          </w:tcPr>
          <w:p>
            <w:pPr>
              <w:ind w:left="300"/>
              <w:spacing w:after="0" w:line="215" w:lineRule="exact"/>
              <w:rPr>
                <w:sz w:val="20"/>
                <w:szCs w:val="20"/>
                <w:color w:val="auto"/>
              </w:rPr>
            </w:pPr>
            <w:r>
              <w:rPr>
                <w:rFonts w:ascii="Calibri" w:cs="Calibri" w:eastAsia="Calibri" w:hAnsi="Calibri"/>
                <w:sz w:val="18"/>
                <w:szCs w:val="18"/>
                <w:color w:val="auto"/>
              </w:rPr>
              <w:t>Actuarial gain</w:t>
            </w:r>
          </w:p>
        </w:tc>
        <w:tc>
          <w:tcPr>
            <w:tcW w:w="48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(0.6 )</w:t>
            </w:r>
          </w:p>
        </w:tc>
        <w:tc>
          <w:tcPr>
            <w:tcW w:w="46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(0.2 )</w:t>
            </w:r>
          </w:p>
        </w:tc>
        <w:tc>
          <w:tcPr>
            <w:tcW w:w="46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(0.1 )</w:t>
            </w:r>
          </w:p>
        </w:tc>
      </w:tr>
      <w:tr>
        <w:trPr>
          <w:trHeight w:val="28"/>
        </w:trPr>
        <w:tc>
          <w:tcPr>
            <w:tcW w:w="6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1"/>
        </w:trPr>
        <w:tc>
          <w:tcPr>
            <w:tcW w:w="640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net periodic beneft credit</w:t>
            </w:r>
          </w:p>
        </w:tc>
        <w:tc>
          <w:tcPr>
            <w:tcW w:w="48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(0.4 )</w:t>
            </w:r>
          </w:p>
        </w:tc>
        <w:tc>
          <w:tcPr>
            <w:tcW w:w="46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(0.7 )</w:t>
            </w:r>
          </w:p>
        </w:tc>
        <w:tc>
          <w:tcPr>
            <w:tcW w:w="460" w:type="dxa"/>
            <w:vAlign w:val="bottom"/>
            <w:tcBorders>
              <w:bottom w:val="single" w:sz="8" w:color="E5F1F8"/>
            </w:tcBorders>
            <w:shd w:val="clear" w:color="auto" w:fill="E5F1F8"/>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(0.6 )</w:t>
            </w:r>
          </w:p>
        </w:tc>
      </w:tr>
      <w:tr>
        <w:trPr>
          <w:trHeight w:val="20"/>
        </w:trPr>
        <w:tc>
          <w:tcPr>
            <w:tcW w:w="6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-354965</wp:posOffset>
            </wp:positionV>
            <wp:extent cx="33655" cy="3683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-354965</wp:posOffset>
            </wp:positionV>
            <wp:extent cx="33655" cy="3683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-354965</wp:posOffset>
            </wp:positionV>
            <wp:extent cx="34290" cy="3683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34290" cy="36830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components of net periodic beneft credit, other than service cost, are included in the line item </w:t>
      </w:r>
      <w:r>
        <w:rPr>
          <w:rFonts w:ascii="Calibri" w:cs="Calibri" w:eastAsia="Calibri" w:hAnsi="Calibri"/>
          <w:sz w:val="18"/>
          <w:szCs w:val="18"/>
          <w:i w:val="1"/>
          <w:iCs w:val="1"/>
          <w:color w:val="auto"/>
        </w:rPr>
        <w:t>Other nonoperatng income, net,</w:t>
      </w:r>
      <w:r>
        <w:rPr>
          <w:rFonts w:ascii="Calibri" w:cs="Calibri" w:eastAsia="Calibri" w:hAnsi="Calibri"/>
          <w:sz w:val="18"/>
          <w:szCs w:val="18"/>
          <w:color w:val="auto"/>
        </w:rPr>
        <w:t xml:space="preserve"> in the consolidated statements of earnings.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 recognized the following pretax amounts in consolidated comprehensive earnings: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20"/>
                <w:szCs w:val="20"/>
                <w:color w:val="auto"/>
              </w:rPr>
            </w:pPr>
          </w:p>
        </w:tc>
        <w:tc>
          <w:tcPr>
            <w:tcW w:w="1160" w:type="dxa"/>
            <w:vAlign w:val="bottom"/>
            <w:tcBorders>
              <w:right w:val="single" w:sz="8" w:color="007CBA"/>
            </w:tcBorders>
            <w:shd w:val="clear" w:color="auto" w:fill="007CBA"/>
          </w:tcPr>
          <w:p>
            <w:pPr>
              <w:spacing w:after="0"/>
              <w:rPr>
                <w:sz w:val="20"/>
                <w:szCs w:val="20"/>
                <w:color w:val="auto"/>
              </w:rPr>
            </w:pPr>
          </w:p>
        </w:tc>
        <w:tc>
          <w:tcPr>
            <w:tcW w:w="460" w:type="dxa"/>
            <w:vAlign w:val="bottom"/>
            <w:shd w:val="clear" w:color="auto" w:fill="007CBA"/>
          </w:tcPr>
          <w:p>
            <w:pPr>
              <w:spacing w:after="0"/>
              <w:rPr>
                <w:sz w:val="20"/>
                <w:szCs w:val="20"/>
                <w:color w:val="auto"/>
              </w:rPr>
            </w:pPr>
          </w:p>
        </w:tc>
        <w:tc>
          <w:tcPr>
            <w:tcW w:w="1140" w:type="dxa"/>
            <w:vAlign w:val="bottom"/>
            <w:tcBorders>
              <w:right w:val="single" w:sz="8" w:color="007CBA"/>
            </w:tcBorders>
            <w:shd w:val="clear" w:color="auto" w:fill="007CBA"/>
          </w:tcPr>
          <w:p>
            <w:pPr>
              <w:spacing w:after="0"/>
              <w:rPr>
                <w:sz w:val="20"/>
                <w:szCs w:val="20"/>
                <w:color w:val="auto"/>
              </w:rPr>
            </w:pPr>
          </w:p>
        </w:tc>
        <w:tc>
          <w:tcPr>
            <w:tcW w:w="460" w:type="dxa"/>
            <w:vAlign w:val="bottom"/>
            <w:shd w:val="clear" w:color="auto" w:fill="007CBA"/>
          </w:tcPr>
          <w:p>
            <w:pPr>
              <w:spacing w:after="0"/>
              <w:rPr>
                <w:sz w:val="20"/>
                <w:szCs w:val="20"/>
                <w:color w:val="auto"/>
              </w:rPr>
            </w:pPr>
          </w:p>
        </w:tc>
        <w:tc>
          <w:tcPr>
            <w:tcW w:w="1140" w:type="dxa"/>
            <w:vAlign w:val="bottom"/>
            <w:shd w:val="clear" w:color="auto" w:fill="007CBA"/>
          </w:tcPr>
          <w:p>
            <w:pPr>
              <w:spacing w:after="0"/>
              <w:rPr>
                <w:sz w:val="20"/>
                <w:szCs w:val="20"/>
                <w:color w:val="auto"/>
              </w:rPr>
            </w:pPr>
          </w:p>
        </w:tc>
      </w:tr>
      <w:tr>
        <w:trPr>
          <w:trHeight w:val="231"/>
        </w:trPr>
        <w:tc>
          <w:tcPr>
            <w:tcW w:w="640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2023</w:t>
            </w:r>
          </w:p>
        </w:tc>
        <w:tc>
          <w:tcPr>
            <w:tcW w:w="46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2022</w:t>
            </w:r>
          </w:p>
        </w:tc>
        <w:tc>
          <w:tcPr>
            <w:tcW w:w="46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2021</w:t>
            </w:r>
          </w:p>
        </w:tc>
      </w:tr>
      <w:tr>
        <w:trPr>
          <w:trHeight w:val="215"/>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Actuarial gain</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(0.1 )</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(2.0 )</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(0.6 )</w:t>
            </w:r>
          </w:p>
        </w:tc>
      </w:tr>
      <w:tr>
        <w:trPr>
          <w:trHeight w:val="28"/>
        </w:trPr>
        <w:tc>
          <w:tcPr>
            <w:tcW w:w="640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Amortzaton of:</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spacing w:after="0"/>
              <w:rPr>
                <w:sz w:val="19"/>
                <w:szCs w:val="19"/>
                <w:color w:val="auto"/>
              </w:rPr>
            </w:pP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spacing w:after="0"/>
              <w:rPr>
                <w:sz w:val="19"/>
                <w:szCs w:val="19"/>
                <w:color w:val="auto"/>
              </w:rPr>
            </w:pP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spacing w:after="0"/>
              <w:rPr>
                <w:sz w:val="19"/>
                <w:szCs w:val="19"/>
                <w:color w:val="auto"/>
              </w:rPr>
            </w:pPr>
          </w:p>
        </w:tc>
      </w:tr>
      <w:tr>
        <w:trPr>
          <w:trHeight w:val="243"/>
        </w:trPr>
        <w:tc>
          <w:tcPr>
            <w:tcW w:w="640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Prior service credit</w:t>
            </w:r>
          </w:p>
        </w:tc>
        <w:tc>
          <w:tcPr>
            <w:tcW w:w="480" w:type="dxa"/>
            <w:vAlign w:val="bottom"/>
          </w:tcPr>
          <w:p>
            <w:pPr>
              <w:spacing w:after="0"/>
              <w:rPr>
                <w:sz w:val="21"/>
                <w:szCs w:val="21"/>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0.3</w:t>
            </w:r>
          </w:p>
        </w:tc>
        <w:tc>
          <w:tcPr>
            <w:tcW w:w="460" w:type="dxa"/>
            <w:vAlign w:val="bottom"/>
          </w:tcPr>
          <w:p>
            <w:pPr>
              <w:spacing w:after="0"/>
              <w:rPr>
                <w:sz w:val="21"/>
                <w:szCs w:val="21"/>
                <w:color w:val="auto"/>
              </w:rPr>
            </w:pP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0.9</w:t>
            </w:r>
          </w:p>
        </w:tc>
        <w:tc>
          <w:tcPr>
            <w:tcW w:w="460" w:type="dxa"/>
            <w:vAlign w:val="bottom"/>
          </w:tcPr>
          <w:p>
            <w:pPr>
              <w:spacing w:after="0"/>
              <w:rPr>
                <w:sz w:val="21"/>
                <w:szCs w:val="21"/>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0.8</w:t>
            </w:r>
          </w:p>
        </w:tc>
      </w:tr>
      <w:tr>
        <w:trPr>
          <w:trHeight w:val="248"/>
        </w:trPr>
        <w:tc>
          <w:tcPr>
            <w:tcW w:w="6400" w:type="dxa"/>
            <w:vAlign w:val="bottom"/>
            <w:tcBorders>
              <w:bottom w:val="single" w:sz="8" w:color="E5F1F8"/>
              <w:right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Actuarial gain</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0.6</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0.2</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0.1</w:t>
            </w:r>
          </w:p>
        </w:tc>
      </w:tr>
      <w:tr>
        <w:trPr>
          <w:trHeight w:val="208"/>
        </w:trPr>
        <w:tc>
          <w:tcPr>
            <w:tcW w:w="64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0.8</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(0.9 )</w:t>
            </w:r>
          </w:p>
        </w:tc>
        <w:tc>
          <w:tcPr>
            <w:tcW w:w="46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0.3</w:t>
            </w:r>
          </w:p>
        </w:tc>
      </w:tr>
      <w:tr>
        <w:trPr>
          <w:trHeight w:val="28"/>
        </w:trPr>
        <w:tc>
          <w:tcPr>
            <w:tcW w:w="6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-354965</wp:posOffset>
            </wp:positionV>
            <wp:extent cx="33655" cy="3683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-354965</wp:posOffset>
            </wp:positionV>
            <wp:extent cx="33655" cy="3683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-354965</wp:posOffset>
            </wp:positionV>
            <wp:extent cx="34290" cy="3683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34290" cy="36830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Calibri" w:cs="Calibri" w:eastAsia="Calibri" w:hAnsi="Calibri"/>
          <w:sz w:val="18"/>
          <w:szCs w:val="18"/>
          <w:color w:val="auto"/>
        </w:rPr>
        <w:t>Accumulated other comprehensive loss includes the following amounts that have not yet been recognized in net periodic beneft credit: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120" w:type="dxa"/>
            <w:vAlign w:val="bottom"/>
            <w:shd w:val="clear" w:color="auto" w:fill="007CBA"/>
          </w:tcPr>
          <w:p>
            <w:pPr>
              <w:spacing w:after="0"/>
              <w:rPr>
                <w:sz w:val="20"/>
                <w:szCs w:val="20"/>
                <w:color w:val="auto"/>
              </w:rPr>
            </w:pPr>
          </w:p>
        </w:tc>
        <w:tc>
          <w:tcPr>
            <w:tcW w:w="880" w:type="dxa"/>
            <w:vAlign w:val="bottom"/>
            <w:shd w:val="clear" w:color="auto" w:fill="007CBA"/>
          </w:tcPr>
          <w:p>
            <w:pPr>
              <w:spacing w:after="0"/>
              <w:rPr>
                <w:sz w:val="20"/>
                <w:szCs w:val="20"/>
                <w:color w:val="auto"/>
              </w:rPr>
            </w:pPr>
          </w:p>
        </w:tc>
        <w:tc>
          <w:tcPr>
            <w:tcW w:w="880" w:type="dxa"/>
            <w:vAlign w:val="bottom"/>
            <w:tcBorders>
              <w:right w:val="single" w:sz="8" w:color="007CBA"/>
            </w:tcBorders>
            <w:gridSpan w:val="2"/>
            <w:shd w:val="clear" w:color="auto" w:fill="007CBA"/>
          </w:tcPr>
          <w:p>
            <w:pPr>
              <w:jc w:val="right"/>
              <w:ind w:right="150"/>
              <w:spacing w:after="0"/>
              <w:rPr>
                <w:sz w:val="20"/>
                <w:szCs w:val="20"/>
                <w:color w:val="auto"/>
              </w:rPr>
            </w:pPr>
            <w:r>
              <w:rPr>
                <w:rFonts w:ascii="Calibri" w:cs="Calibri" w:eastAsia="Calibri" w:hAnsi="Calibri"/>
                <w:sz w:val="18"/>
                <w:szCs w:val="18"/>
                <w:b w:val="1"/>
                <w:bCs w:val="1"/>
                <w:color w:val="FFFFFF"/>
              </w:rPr>
              <w:t>2023</w:t>
            </w:r>
          </w:p>
        </w:tc>
        <w:tc>
          <w:tcPr>
            <w:tcW w:w="460" w:type="dxa"/>
            <w:vAlign w:val="bottom"/>
            <w:shd w:val="clear" w:color="auto" w:fill="007CBA"/>
          </w:tcPr>
          <w:p>
            <w:pPr>
              <w:spacing w:after="0"/>
              <w:rPr>
                <w:sz w:val="20"/>
                <w:szCs w:val="20"/>
                <w:color w:val="auto"/>
              </w:rPr>
            </w:pPr>
          </w:p>
        </w:tc>
        <w:tc>
          <w:tcPr>
            <w:tcW w:w="540" w:type="dxa"/>
            <w:vAlign w:val="bottom"/>
            <w:tcBorders>
              <w:right w:val="single" w:sz="8" w:color="007CBA"/>
            </w:tcBorders>
            <w:shd w:val="clear" w:color="auto" w:fill="007CBA"/>
          </w:tcPr>
          <w:p>
            <w:pPr>
              <w:spacing w:after="0"/>
              <w:rPr>
                <w:sz w:val="20"/>
                <w:szCs w:val="20"/>
                <w:color w:val="auto"/>
              </w:rPr>
            </w:pPr>
          </w:p>
        </w:tc>
        <w:tc>
          <w:tcPr>
            <w:tcW w:w="920" w:type="dxa"/>
            <w:vAlign w:val="bottom"/>
            <w:tcBorders>
              <w:right w:val="single" w:sz="8" w:color="007CBA"/>
            </w:tcBorders>
            <w:shd w:val="clear" w:color="auto" w:fill="007CBA"/>
          </w:tcPr>
          <w:p>
            <w:pPr>
              <w:spacing w:after="0"/>
              <w:rPr>
                <w:sz w:val="20"/>
                <w:szCs w:val="20"/>
                <w:color w:val="auto"/>
              </w:rPr>
            </w:pPr>
          </w:p>
        </w:tc>
        <w:tc>
          <w:tcPr>
            <w:tcW w:w="40" w:type="dxa"/>
            <w:vAlign w:val="bottom"/>
            <w:shd w:val="clear" w:color="auto" w:fill="007CBA"/>
          </w:tcPr>
          <w:p>
            <w:pPr>
              <w:spacing w:after="0"/>
              <w:rPr>
                <w:sz w:val="20"/>
                <w:szCs w:val="20"/>
                <w:color w:val="auto"/>
              </w:rPr>
            </w:pPr>
          </w:p>
        </w:tc>
        <w:tc>
          <w:tcPr>
            <w:tcW w:w="720" w:type="dxa"/>
            <w:vAlign w:val="bottom"/>
            <w:gridSpan w:val="2"/>
            <w:shd w:val="clear" w:color="auto" w:fill="007CBA"/>
          </w:tcPr>
          <w:p>
            <w:pPr>
              <w:jc w:val="right"/>
              <w:spacing w:after="0"/>
              <w:rPr>
                <w:sz w:val="20"/>
                <w:szCs w:val="20"/>
                <w:color w:val="auto"/>
              </w:rPr>
            </w:pPr>
            <w:r>
              <w:rPr>
                <w:rFonts w:ascii="Calibri" w:cs="Calibri" w:eastAsia="Calibri" w:hAnsi="Calibri"/>
                <w:sz w:val="18"/>
                <w:szCs w:val="18"/>
                <w:color w:val="FFFFFF"/>
              </w:rPr>
              <w:t>2022</w:t>
            </w:r>
          </w:p>
        </w:tc>
        <w:tc>
          <w:tcPr>
            <w:tcW w:w="1100" w:type="dxa"/>
            <w:vAlign w:val="bottom"/>
            <w:shd w:val="clear" w:color="auto" w:fill="007CBA"/>
          </w:tcPr>
          <w:p>
            <w:pPr>
              <w:spacing w:after="0"/>
              <w:rPr>
                <w:sz w:val="20"/>
                <w:szCs w:val="20"/>
                <w:color w:val="auto"/>
              </w:rPr>
            </w:pPr>
          </w:p>
        </w:tc>
      </w:tr>
      <w:tr>
        <w:trPr>
          <w:trHeight w:val="245"/>
        </w:trPr>
        <w:tc>
          <w:tcPr>
            <w:tcW w:w="558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20" w:type="dxa"/>
            <w:vAlign w:val="bottom"/>
            <w:tcBorders>
              <w:bottom w:val="single" w:sz="8" w:color="007CBA"/>
            </w:tcBorders>
            <w:shd w:val="clear" w:color="auto" w:fill="007CBA"/>
          </w:tcPr>
          <w:p>
            <w:pPr>
              <w:spacing w:after="0"/>
              <w:rPr>
                <w:sz w:val="21"/>
                <w:szCs w:val="21"/>
                <w:color w:val="auto"/>
              </w:rPr>
            </w:pPr>
          </w:p>
        </w:tc>
        <w:tc>
          <w:tcPr>
            <w:tcW w:w="880" w:type="dxa"/>
            <w:vAlign w:val="bottom"/>
            <w:tcBorders>
              <w:bottom w:val="single" w:sz="8" w:color="007CBA"/>
            </w:tcBorders>
            <w:shd w:val="clear" w:color="auto" w:fill="007CBA"/>
          </w:tcPr>
          <w:p>
            <w:pPr>
              <w:jc w:val="right"/>
              <w:spacing w:after="0"/>
              <w:rPr>
                <w:sz w:val="20"/>
                <w:szCs w:val="20"/>
                <w:color w:val="auto"/>
              </w:rPr>
            </w:pPr>
            <w:r>
              <w:rPr>
                <w:rFonts w:ascii="Calibri" w:cs="Calibri" w:eastAsia="Calibri" w:hAnsi="Calibri"/>
                <w:sz w:val="18"/>
                <w:szCs w:val="18"/>
                <w:b w:val="1"/>
                <w:bCs w:val="1"/>
                <w:color w:val="FFFFFF"/>
              </w:rPr>
              <w:t>Gross</w:t>
            </w:r>
          </w:p>
        </w:tc>
        <w:tc>
          <w:tcPr>
            <w:tcW w:w="460" w:type="dxa"/>
            <w:vAlign w:val="bottom"/>
            <w:tcBorders>
              <w:bottom w:val="single" w:sz="8" w:color="007CBA"/>
              <w:right w:val="single" w:sz="8" w:color="007CBA"/>
            </w:tcBorders>
            <w:shd w:val="clear" w:color="auto" w:fill="007CBA"/>
          </w:tcPr>
          <w:p>
            <w:pPr>
              <w:spacing w:after="0"/>
              <w:rPr>
                <w:sz w:val="21"/>
                <w:szCs w:val="21"/>
                <w:color w:val="auto"/>
              </w:rPr>
            </w:pPr>
          </w:p>
        </w:tc>
        <w:tc>
          <w:tcPr>
            <w:tcW w:w="1420" w:type="dxa"/>
            <w:vAlign w:val="bottom"/>
            <w:tcBorders>
              <w:bottom w:val="single" w:sz="8" w:color="007CBA"/>
              <w:right w:val="single" w:sz="8" w:color="007CBA"/>
            </w:tcBorders>
            <w:gridSpan w:val="3"/>
            <w:shd w:val="clear" w:color="auto" w:fill="007CBA"/>
          </w:tcPr>
          <w:p>
            <w:pPr>
              <w:jc w:val="right"/>
              <w:ind w:right="230"/>
              <w:spacing w:after="0"/>
              <w:rPr>
                <w:sz w:val="20"/>
                <w:szCs w:val="20"/>
                <w:color w:val="auto"/>
              </w:rPr>
            </w:pPr>
            <w:r>
              <w:rPr>
                <w:rFonts w:ascii="Calibri" w:cs="Calibri" w:eastAsia="Calibri" w:hAnsi="Calibri"/>
                <w:sz w:val="18"/>
                <w:szCs w:val="18"/>
                <w:b w:val="1"/>
                <w:bCs w:val="1"/>
                <w:color w:val="FFFFFF"/>
              </w:rPr>
              <w:t>Net of tax</w:t>
            </w:r>
          </w:p>
        </w:tc>
        <w:tc>
          <w:tcPr>
            <w:tcW w:w="960" w:type="dxa"/>
            <w:vAlign w:val="bottom"/>
            <w:tcBorders>
              <w:bottom w:val="single" w:sz="8" w:color="007CBA"/>
            </w:tcBorders>
            <w:gridSpan w:val="2"/>
            <w:shd w:val="clear" w:color="auto" w:fill="007CBA"/>
          </w:tcPr>
          <w:p>
            <w:pPr>
              <w:ind w:left="520"/>
              <w:spacing w:after="0"/>
              <w:rPr>
                <w:sz w:val="20"/>
                <w:szCs w:val="20"/>
                <w:color w:val="auto"/>
              </w:rPr>
            </w:pPr>
            <w:r>
              <w:rPr>
                <w:rFonts w:ascii="Calibri" w:cs="Calibri" w:eastAsia="Calibri" w:hAnsi="Calibri"/>
                <w:sz w:val="18"/>
                <w:szCs w:val="18"/>
                <w:b w:val="1"/>
                <w:bCs w:val="1"/>
                <w:color w:val="FFFFFF"/>
              </w:rPr>
              <w:t>Gross</w:t>
            </w:r>
          </w:p>
        </w:tc>
        <w:tc>
          <w:tcPr>
            <w:tcW w:w="440" w:type="dxa"/>
            <w:vAlign w:val="bottom"/>
            <w:tcBorders>
              <w:bottom w:val="single" w:sz="8" w:color="007CBA"/>
              <w:right w:val="single" w:sz="8" w:color="007CBA"/>
            </w:tcBorders>
            <w:shd w:val="clear" w:color="auto" w:fill="007CBA"/>
          </w:tcPr>
          <w:p>
            <w:pPr>
              <w:spacing w:after="0"/>
              <w:rPr>
                <w:sz w:val="21"/>
                <w:szCs w:val="21"/>
                <w:color w:val="auto"/>
              </w:rPr>
            </w:pPr>
          </w:p>
        </w:tc>
        <w:tc>
          <w:tcPr>
            <w:tcW w:w="280" w:type="dxa"/>
            <w:vAlign w:val="bottom"/>
            <w:tcBorders>
              <w:bottom w:val="single" w:sz="8" w:color="007CBA"/>
            </w:tcBorders>
            <w:shd w:val="clear" w:color="auto" w:fill="007CBA"/>
          </w:tcPr>
          <w:p>
            <w:pPr>
              <w:spacing w:after="0"/>
              <w:rPr>
                <w:sz w:val="21"/>
                <w:szCs w:val="21"/>
                <w:color w:val="auto"/>
              </w:rPr>
            </w:pPr>
          </w:p>
        </w:tc>
        <w:tc>
          <w:tcPr>
            <w:tcW w:w="1100" w:type="dxa"/>
            <w:vAlign w:val="bottom"/>
            <w:tcBorders>
              <w:bottom w:val="single" w:sz="8" w:color="007CBA"/>
            </w:tcBorders>
            <w:shd w:val="clear" w:color="auto" w:fill="007CBA"/>
          </w:tcPr>
          <w:p>
            <w:pPr>
              <w:jc w:val="right"/>
              <w:ind w:right="230"/>
              <w:spacing w:after="0"/>
              <w:rPr>
                <w:sz w:val="20"/>
                <w:szCs w:val="20"/>
                <w:color w:val="auto"/>
              </w:rPr>
            </w:pPr>
            <w:r>
              <w:rPr>
                <w:rFonts w:ascii="Calibri" w:cs="Calibri" w:eastAsia="Calibri" w:hAnsi="Calibri"/>
                <w:sz w:val="18"/>
                <w:szCs w:val="18"/>
                <w:b w:val="1"/>
                <w:bCs w:val="1"/>
                <w:color w:val="FFFFFF"/>
              </w:rPr>
              <w:t>Net of tax</w:t>
            </w:r>
          </w:p>
        </w:tc>
      </w:tr>
      <w:tr>
        <w:trPr>
          <w:trHeight w:val="243"/>
        </w:trPr>
        <w:tc>
          <w:tcPr>
            <w:tcW w:w="55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Prior service credit</w:t>
            </w:r>
          </w:p>
        </w:tc>
        <w:tc>
          <w:tcPr>
            <w:tcW w:w="120" w:type="dxa"/>
            <w:vAlign w:val="bottom"/>
          </w:tcPr>
          <w:p>
            <w:pPr>
              <w:spacing w:after="0"/>
              <w:rPr>
                <w:sz w:val="21"/>
                <w:szCs w:val="21"/>
                <w:color w:val="auto"/>
              </w:rPr>
            </w:pPr>
          </w:p>
        </w:tc>
        <w:tc>
          <w:tcPr>
            <w:tcW w:w="880" w:type="dxa"/>
            <w:vAlign w:val="bottom"/>
          </w:tcPr>
          <w:p>
            <w:pPr>
              <w:jc w:val="right"/>
              <w:ind w:right="63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w w:val="98"/>
              </w:rPr>
              <w:t>(0.4 )</w:t>
            </w:r>
          </w:p>
        </w:tc>
        <w:tc>
          <w:tcPr>
            <w:tcW w:w="42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460" w:type="dxa"/>
            <w:vAlign w:val="bottom"/>
          </w:tcPr>
          <w:p>
            <w:pPr>
              <w:spacing w:after="0"/>
              <w:rPr>
                <w:sz w:val="21"/>
                <w:szCs w:val="21"/>
                <w:color w:val="auto"/>
              </w:rPr>
            </w:pPr>
          </w:p>
        </w:tc>
        <w:tc>
          <w:tcPr>
            <w:tcW w:w="5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(0.2 )</w:t>
            </w:r>
          </w:p>
        </w:tc>
        <w:tc>
          <w:tcPr>
            <w:tcW w:w="920" w:type="dxa"/>
            <w:vAlign w:val="bottom"/>
          </w:tcPr>
          <w:p>
            <w:pPr>
              <w:jc w:val="right"/>
              <w:ind w:right="570"/>
              <w:spacing w:after="0" w:line="215" w:lineRule="exact"/>
              <w:rPr>
                <w:sz w:val="20"/>
                <w:szCs w:val="20"/>
                <w:color w:val="auto"/>
              </w:rPr>
            </w:pPr>
            <w:r>
              <w:rPr>
                <w:rFonts w:ascii="Calibri" w:cs="Calibri" w:eastAsia="Calibri" w:hAnsi="Calibri"/>
                <w:sz w:val="18"/>
                <w:szCs w:val="18"/>
                <w:color w:val="auto"/>
              </w:rPr>
              <w:t>$</w:t>
            </w:r>
          </w:p>
        </w:tc>
        <w:tc>
          <w:tcPr>
            <w:tcW w:w="40" w:type="dxa"/>
            <w:vAlign w:val="bottom"/>
          </w:tcPr>
          <w:p>
            <w:pPr>
              <w:spacing w:after="0"/>
              <w:rPr>
                <w:sz w:val="21"/>
                <w:szCs w:val="21"/>
                <w:color w:val="auto"/>
              </w:rPr>
            </w:pPr>
          </w:p>
        </w:tc>
        <w:tc>
          <w:tcPr>
            <w:tcW w:w="440" w:type="dxa"/>
            <w:vAlign w:val="bottom"/>
            <w:tcBorders>
              <w:right w:val="single" w:sz="8" w:color="007CBA"/>
            </w:tcBorders>
          </w:tcPr>
          <w:p>
            <w:pPr>
              <w:jc w:val="center"/>
              <w:spacing w:after="0" w:line="215" w:lineRule="exact"/>
              <w:rPr>
                <w:sz w:val="20"/>
                <w:szCs w:val="20"/>
                <w:color w:val="auto"/>
              </w:rPr>
            </w:pPr>
            <w:r>
              <w:rPr>
                <w:rFonts w:ascii="Calibri" w:cs="Calibri" w:eastAsia="Calibri" w:hAnsi="Calibri"/>
                <w:sz w:val="18"/>
                <w:szCs w:val="18"/>
                <w:color w:val="auto"/>
                <w:w w:val="89"/>
              </w:rPr>
              <w:t>(0.7 )</w:t>
            </w:r>
          </w:p>
        </w:tc>
        <w:tc>
          <w:tcPr>
            <w:tcW w:w="2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(0.3 )</w:t>
            </w:r>
          </w:p>
        </w:tc>
      </w:tr>
      <w:tr>
        <w:trPr>
          <w:trHeight w:val="248"/>
        </w:trPr>
        <w:tc>
          <w:tcPr>
            <w:tcW w:w="5700" w:type="dxa"/>
            <w:vAlign w:val="bottom"/>
            <w:tcBorders>
              <w:bottom w:val="single" w:sz="8" w:color="E5F1F8"/>
            </w:tcBorders>
            <w:gridSpan w:val="2"/>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Actuarial gain</w:t>
            </w:r>
          </w:p>
        </w:tc>
        <w:tc>
          <w:tcPr>
            <w:tcW w:w="880" w:type="dxa"/>
            <w:vAlign w:val="bottom"/>
            <w:tcBorders>
              <w:bottom w:val="single" w:sz="8" w:color="E5F1F8"/>
            </w:tcBorders>
            <w:shd w:val="clear" w:color="auto" w:fill="E5F1F8"/>
          </w:tcPr>
          <w:p>
            <w:pPr>
              <w:spacing w:after="0"/>
              <w:rPr>
                <w:sz w:val="21"/>
                <w:szCs w:val="21"/>
                <w:color w:val="auto"/>
              </w:rPr>
            </w:pPr>
          </w:p>
        </w:tc>
        <w:tc>
          <w:tcPr>
            <w:tcW w:w="4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w w:val="98"/>
              </w:rPr>
              <w:t>(3.7 )</w:t>
            </w:r>
          </w:p>
        </w:tc>
        <w:tc>
          <w:tcPr>
            <w:tcW w:w="420" w:type="dxa"/>
            <w:vAlign w:val="bottom"/>
            <w:tcBorders>
              <w:bottom w:val="single" w:sz="8" w:color="E5F1F8"/>
              <w:right w:val="single" w:sz="8" w:color="E5F1F8"/>
            </w:tcBorders>
            <w:shd w:val="clear" w:color="auto" w:fill="E5F1F8"/>
          </w:tcPr>
          <w:p>
            <w:pPr>
              <w:spacing w:after="0"/>
              <w:rPr>
                <w:sz w:val="21"/>
                <w:szCs w:val="21"/>
                <w:color w:val="auto"/>
              </w:rPr>
            </w:pPr>
          </w:p>
        </w:tc>
        <w:tc>
          <w:tcPr>
            <w:tcW w:w="460" w:type="dxa"/>
            <w:vAlign w:val="bottom"/>
            <w:tcBorders>
              <w:bottom w:val="single" w:sz="8" w:color="E5F1F8"/>
            </w:tcBorders>
            <w:shd w:val="clear" w:color="auto" w:fill="E5F1F8"/>
          </w:tcPr>
          <w:p>
            <w:pPr>
              <w:spacing w:after="0"/>
              <w:rPr>
                <w:sz w:val="21"/>
                <w:szCs w:val="21"/>
                <w:color w:val="auto"/>
              </w:rPr>
            </w:pPr>
          </w:p>
        </w:tc>
        <w:tc>
          <w:tcPr>
            <w:tcW w:w="5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(1.7 )</w:t>
            </w:r>
          </w:p>
        </w:tc>
        <w:tc>
          <w:tcPr>
            <w:tcW w:w="920" w:type="dxa"/>
            <w:vAlign w:val="bottom"/>
            <w:tcBorders>
              <w:bottom w:val="single" w:sz="8" w:color="E5F1F8"/>
              <w:right w:val="single" w:sz="8" w:color="E5F1F8"/>
            </w:tcBorders>
            <w:shd w:val="clear" w:color="auto" w:fill="E5F1F8"/>
          </w:tcPr>
          <w:p>
            <w:pPr>
              <w:spacing w:after="0"/>
              <w:rPr>
                <w:sz w:val="21"/>
                <w:szCs w:val="21"/>
                <w:color w:val="auto"/>
              </w:rPr>
            </w:pPr>
          </w:p>
        </w:tc>
        <w:tc>
          <w:tcPr>
            <w:tcW w:w="40" w:type="dxa"/>
            <w:vAlign w:val="bottom"/>
            <w:tcBorders>
              <w:bottom w:val="single" w:sz="8" w:color="E5F1F8"/>
            </w:tcBorders>
            <w:shd w:val="clear" w:color="auto" w:fill="E5F1F8"/>
          </w:tcPr>
          <w:p>
            <w:pPr>
              <w:spacing w:after="0"/>
              <w:rPr>
                <w:sz w:val="21"/>
                <w:szCs w:val="21"/>
                <w:color w:val="auto"/>
              </w:rPr>
            </w:pPr>
          </w:p>
        </w:tc>
        <w:tc>
          <w:tcPr>
            <w:tcW w:w="440" w:type="dxa"/>
            <w:vAlign w:val="bottom"/>
            <w:tcBorders>
              <w:bottom w:val="single" w:sz="8" w:color="E5F1F8"/>
              <w:right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9"/>
              </w:rPr>
              <w:t>(4.1 )</w:t>
            </w:r>
          </w:p>
        </w:tc>
        <w:tc>
          <w:tcPr>
            <w:tcW w:w="280" w:type="dxa"/>
            <w:vAlign w:val="bottom"/>
            <w:tcBorders>
              <w:bottom w:val="single" w:sz="8" w:color="E5F1F8"/>
            </w:tcBorders>
            <w:shd w:val="clear" w:color="auto" w:fill="E5F1F8"/>
          </w:tcPr>
          <w:p>
            <w:pPr>
              <w:spacing w:after="0"/>
              <w:rPr>
                <w:sz w:val="21"/>
                <w:szCs w:val="21"/>
                <w:color w:val="auto"/>
              </w:rPr>
            </w:pPr>
          </w:p>
        </w:tc>
        <w:tc>
          <w:tcPr>
            <w:tcW w:w="11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(1.7 )</w:t>
            </w:r>
          </w:p>
        </w:tc>
      </w:tr>
      <w:tr>
        <w:trPr>
          <w:trHeight w:val="208"/>
        </w:trPr>
        <w:tc>
          <w:tcPr>
            <w:tcW w:w="5700" w:type="dxa"/>
            <w:vAlign w:val="bottom"/>
            <w:tcBorders>
              <w:top w:val="single" w:sz="8" w:color="auto"/>
            </w:tcBorders>
            <w:gridSpan w:val="2"/>
          </w:tcPr>
          <w:p>
            <w:pPr>
              <w:ind w:left="120"/>
              <w:spacing w:after="0" w:line="208" w:lineRule="exact"/>
              <w:rPr>
                <w:sz w:val="20"/>
                <w:szCs w:val="20"/>
                <w:color w:val="auto"/>
              </w:rPr>
            </w:pPr>
            <w:r>
              <w:rPr>
                <w:rFonts w:ascii="Calibri" w:cs="Calibri" w:eastAsia="Calibri" w:hAnsi="Calibri"/>
                <w:sz w:val="18"/>
                <w:szCs w:val="18"/>
                <w:color w:val="auto"/>
              </w:rPr>
              <w:t>Total</w:t>
            </w:r>
          </w:p>
        </w:tc>
        <w:tc>
          <w:tcPr>
            <w:tcW w:w="880" w:type="dxa"/>
            <w:vAlign w:val="bottom"/>
            <w:tcBorders>
              <w:top w:val="single" w:sz="8" w:color="auto"/>
            </w:tcBorders>
          </w:tcPr>
          <w:p>
            <w:pPr>
              <w:jc w:val="right"/>
              <w:ind w:right="630"/>
              <w:spacing w:after="0" w:line="208"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w w:val="98"/>
              </w:rPr>
              <w:t>(4.1 )</w:t>
            </w:r>
          </w:p>
        </w:tc>
        <w:tc>
          <w:tcPr>
            <w:tcW w:w="420" w:type="dxa"/>
            <w:vAlign w:val="bottom"/>
            <w:tcBorders>
              <w:top w:val="single" w:sz="8" w:color="auto"/>
            </w:tcBorders>
          </w:tcPr>
          <w:p>
            <w:pPr>
              <w:jc w:val="right"/>
              <w:ind w:right="70"/>
              <w:spacing w:after="0" w:line="208" w:lineRule="exact"/>
              <w:rPr>
                <w:sz w:val="20"/>
                <w:szCs w:val="20"/>
                <w:color w:val="auto"/>
              </w:rPr>
            </w:pPr>
            <w:r>
              <w:rPr>
                <w:rFonts w:ascii="Calibri" w:cs="Calibri" w:eastAsia="Calibri" w:hAnsi="Calibri"/>
                <w:sz w:val="18"/>
                <w:szCs w:val="18"/>
                <w:b w:val="1"/>
                <w:bCs w:val="1"/>
                <w:color w:val="auto"/>
              </w:rPr>
              <w:t>$</w:t>
            </w:r>
          </w:p>
        </w:tc>
        <w:tc>
          <w:tcPr>
            <w:tcW w:w="4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(1.9 )</w:t>
            </w:r>
          </w:p>
        </w:tc>
        <w:tc>
          <w:tcPr>
            <w:tcW w:w="920" w:type="dxa"/>
            <w:vAlign w:val="bottom"/>
            <w:tcBorders>
              <w:top w:val="single" w:sz="8" w:color="auto"/>
            </w:tcBorders>
          </w:tcPr>
          <w:p>
            <w:pPr>
              <w:jc w:val="right"/>
              <w:ind w:right="570"/>
              <w:spacing w:after="0" w:line="208" w:lineRule="exact"/>
              <w:rPr>
                <w:sz w:val="20"/>
                <w:szCs w:val="20"/>
                <w:color w:val="auto"/>
              </w:rPr>
            </w:pPr>
            <w:r>
              <w:rPr>
                <w:rFonts w:ascii="Calibri" w:cs="Calibri" w:eastAsia="Calibri" w:hAnsi="Calibri"/>
                <w:sz w:val="18"/>
                <w:szCs w:val="18"/>
                <w:color w:val="auto"/>
              </w:rPr>
              <w:t>$</w:t>
            </w:r>
          </w:p>
        </w:tc>
        <w:tc>
          <w:tcPr>
            <w:tcW w:w="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center"/>
              <w:spacing w:after="0" w:line="208" w:lineRule="exact"/>
              <w:rPr>
                <w:sz w:val="20"/>
                <w:szCs w:val="20"/>
                <w:color w:val="auto"/>
              </w:rPr>
            </w:pPr>
            <w:r>
              <w:rPr>
                <w:rFonts w:ascii="Calibri" w:cs="Calibri" w:eastAsia="Calibri" w:hAnsi="Calibri"/>
                <w:sz w:val="18"/>
                <w:szCs w:val="18"/>
                <w:color w:val="auto"/>
                <w:w w:val="89"/>
              </w:rPr>
              <w:t>(4.8 )</w:t>
            </w:r>
          </w:p>
        </w:tc>
        <w:tc>
          <w:tcPr>
            <w:tcW w:w="2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11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(2.0 )</w:t>
            </w:r>
          </w:p>
        </w:tc>
      </w:tr>
      <w:tr>
        <w:trPr>
          <w:trHeight w:val="28"/>
        </w:trPr>
        <w:tc>
          <w:tcPr>
            <w:tcW w:w="57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70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62"/>
        </w:trPr>
        <w:tc>
          <w:tcPr>
            <w:tcW w:w="5700" w:type="dxa"/>
            <w:vAlign w:val="bottom"/>
            <w:gridSpan w:val="2"/>
          </w:tcPr>
          <w:p>
            <w:pPr>
              <w:spacing w:after="0"/>
              <w:rPr>
                <w:sz w:val="20"/>
                <w:szCs w:val="20"/>
                <w:color w:val="auto"/>
              </w:rPr>
            </w:pPr>
            <w:r>
              <w:rPr>
                <w:rFonts w:ascii="Calibri" w:cs="Calibri" w:eastAsia="Calibri" w:hAnsi="Calibri"/>
                <w:sz w:val="18"/>
                <w:szCs w:val="18"/>
                <w:color w:val="auto"/>
                <w:w w:val="99"/>
              </w:rPr>
              <w:t>The postretrement health care plans’ change in beneft obligaton is as follows:</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2"/>
        </w:trPr>
        <w:tc>
          <w:tcPr>
            <w:tcW w:w="570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15"/>
        </w:trPr>
        <w:tc>
          <w:tcPr>
            <w:tcW w:w="5700" w:type="dxa"/>
            <w:vAlign w:val="bottom"/>
            <w:gridSpan w:val="2"/>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years ended December 31</w:t>
            </w:r>
          </w:p>
        </w:tc>
        <w:tc>
          <w:tcPr>
            <w:tcW w:w="880" w:type="dxa"/>
            <w:vAlign w:val="bottom"/>
            <w:shd w:val="clear" w:color="auto" w:fill="007CBA"/>
          </w:tcPr>
          <w:p>
            <w:pPr>
              <w:spacing w:after="0"/>
              <w:rPr>
                <w:sz w:val="18"/>
                <w:szCs w:val="18"/>
                <w:color w:val="auto"/>
              </w:rPr>
            </w:pPr>
          </w:p>
        </w:tc>
        <w:tc>
          <w:tcPr>
            <w:tcW w:w="460" w:type="dxa"/>
            <w:vAlign w:val="bottom"/>
            <w:tcBorders>
              <w:right w:val="single" w:sz="8" w:color="007CBA"/>
            </w:tcBorders>
            <w:shd w:val="clear" w:color="auto" w:fill="007CBA"/>
          </w:tcPr>
          <w:p>
            <w:pPr>
              <w:spacing w:after="0"/>
              <w:rPr>
                <w:sz w:val="18"/>
                <w:szCs w:val="18"/>
                <w:color w:val="auto"/>
              </w:rPr>
            </w:pPr>
          </w:p>
        </w:tc>
        <w:tc>
          <w:tcPr>
            <w:tcW w:w="42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540" w:type="dxa"/>
            <w:vAlign w:val="bottom"/>
            <w:tcBorders>
              <w:right w:val="single" w:sz="8" w:color="007CBA"/>
            </w:tcBorders>
            <w:shd w:val="clear" w:color="auto" w:fill="007CBA"/>
          </w:tcPr>
          <w:p>
            <w:pPr>
              <w:spacing w:after="0"/>
              <w:rPr>
                <w:sz w:val="18"/>
                <w:szCs w:val="18"/>
                <w:color w:val="auto"/>
              </w:rPr>
            </w:pPr>
          </w:p>
        </w:tc>
        <w:tc>
          <w:tcPr>
            <w:tcW w:w="920" w:type="dxa"/>
            <w:vAlign w:val="bottom"/>
            <w:tcBorders>
              <w:right w:val="single" w:sz="8" w:color="007CBA"/>
            </w:tcBorders>
            <w:shd w:val="clear" w:color="auto" w:fill="007CBA"/>
          </w:tcPr>
          <w:p>
            <w:pPr>
              <w:spacing w:after="0"/>
              <w:rPr>
                <w:sz w:val="18"/>
                <w:szCs w:val="18"/>
                <w:color w:val="auto"/>
              </w:rPr>
            </w:pPr>
          </w:p>
        </w:tc>
        <w:tc>
          <w:tcPr>
            <w:tcW w:w="40" w:type="dxa"/>
            <w:vAlign w:val="bottom"/>
            <w:shd w:val="clear" w:color="auto" w:fill="007CBA"/>
          </w:tcPr>
          <w:p>
            <w:pPr>
              <w:spacing w:after="0"/>
              <w:rPr>
                <w:sz w:val="18"/>
                <w:szCs w:val="18"/>
                <w:color w:val="auto"/>
              </w:rPr>
            </w:pPr>
          </w:p>
        </w:tc>
        <w:tc>
          <w:tcPr>
            <w:tcW w:w="44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1100" w:type="dxa"/>
            <w:vAlign w:val="bottom"/>
            <w:shd w:val="clear" w:color="auto" w:fill="007CBA"/>
          </w:tcPr>
          <w:p>
            <w:pPr>
              <w:spacing w:after="0"/>
              <w:rPr>
                <w:sz w:val="18"/>
                <w:szCs w:val="18"/>
                <w:color w:val="auto"/>
              </w:rPr>
            </w:pPr>
          </w:p>
        </w:tc>
      </w:tr>
      <w:tr>
        <w:trPr>
          <w:trHeight w:val="251"/>
        </w:trPr>
        <w:tc>
          <w:tcPr>
            <w:tcW w:w="5700" w:type="dxa"/>
            <w:vAlign w:val="bottom"/>
            <w:tcBorders>
              <w:bottom w:val="single" w:sz="8" w:color="007CBA"/>
            </w:tcBorders>
            <w:gridSpan w:val="2"/>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880" w:type="dxa"/>
            <w:vAlign w:val="bottom"/>
            <w:tcBorders>
              <w:bottom w:val="single" w:sz="8" w:color="007CBA"/>
            </w:tcBorders>
            <w:shd w:val="clear" w:color="auto" w:fill="007CBA"/>
          </w:tcPr>
          <w:p>
            <w:pPr>
              <w:spacing w:after="0"/>
              <w:rPr>
                <w:sz w:val="21"/>
                <w:szCs w:val="21"/>
                <w:color w:val="auto"/>
              </w:rPr>
            </w:pPr>
          </w:p>
        </w:tc>
        <w:tc>
          <w:tcPr>
            <w:tcW w:w="460" w:type="dxa"/>
            <w:vAlign w:val="bottom"/>
            <w:tcBorders>
              <w:bottom w:val="single" w:sz="8" w:color="007CBA"/>
              <w:right w:val="single" w:sz="8" w:color="007CBA"/>
            </w:tcBorders>
            <w:shd w:val="clear" w:color="auto" w:fill="007CBA"/>
          </w:tcPr>
          <w:p>
            <w:pPr>
              <w:spacing w:after="0"/>
              <w:rPr>
                <w:sz w:val="21"/>
                <w:szCs w:val="21"/>
                <w:color w:val="auto"/>
              </w:rPr>
            </w:pPr>
          </w:p>
        </w:tc>
        <w:tc>
          <w:tcPr>
            <w:tcW w:w="420" w:type="dxa"/>
            <w:vAlign w:val="bottom"/>
            <w:tcBorders>
              <w:bottom w:val="single" w:sz="8" w:color="007CBA"/>
              <w:right w:val="single" w:sz="8" w:color="007CBA"/>
            </w:tcBorders>
            <w:shd w:val="clear" w:color="auto" w:fill="007CBA"/>
          </w:tcPr>
          <w:p>
            <w:pPr>
              <w:spacing w:after="0"/>
              <w:rPr>
                <w:sz w:val="21"/>
                <w:szCs w:val="21"/>
                <w:color w:val="auto"/>
              </w:rPr>
            </w:pPr>
          </w:p>
        </w:tc>
        <w:tc>
          <w:tcPr>
            <w:tcW w:w="460" w:type="dxa"/>
            <w:vAlign w:val="bottom"/>
            <w:tcBorders>
              <w:bottom w:val="single" w:sz="8" w:color="007CBA"/>
            </w:tcBorders>
            <w:shd w:val="clear" w:color="auto" w:fill="007CBA"/>
          </w:tcPr>
          <w:p>
            <w:pPr>
              <w:spacing w:after="0"/>
              <w:rPr>
                <w:sz w:val="21"/>
                <w:szCs w:val="21"/>
                <w:color w:val="auto"/>
              </w:rPr>
            </w:pPr>
          </w:p>
        </w:tc>
        <w:tc>
          <w:tcPr>
            <w:tcW w:w="1460" w:type="dxa"/>
            <w:vAlign w:val="bottom"/>
            <w:tcBorders>
              <w:bottom w:val="single" w:sz="8" w:color="007CBA"/>
              <w:right w:val="single" w:sz="8" w:color="007CBA"/>
            </w:tcBorders>
            <w:gridSpan w:val="2"/>
            <w:shd w:val="clear" w:color="auto" w:fill="007CBA"/>
          </w:tcPr>
          <w:p>
            <w:pPr>
              <w:jc w:val="right"/>
              <w:ind w:right="650"/>
              <w:spacing w:after="0"/>
              <w:rPr>
                <w:sz w:val="20"/>
                <w:szCs w:val="20"/>
                <w:color w:val="auto"/>
              </w:rPr>
            </w:pPr>
            <w:r>
              <w:rPr>
                <w:rFonts w:ascii="Calibri" w:cs="Calibri" w:eastAsia="Calibri" w:hAnsi="Calibri"/>
                <w:sz w:val="18"/>
                <w:szCs w:val="18"/>
                <w:b w:val="1"/>
                <w:bCs w:val="1"/>
                <w:color w:val="FFFFFF"/>
              </w:rPr>
              <w:t>2023</w:t>
            </w:r>
          </w:p>
        </w:tc>
        <w:tc>
          <w:tcPr>
            <w:tcW w:w="40" w:type="dxa"/>
            <w:vAlign w:val="bottom"/>
            <w:tcBorders>
              <w:bottom w:val="single" w:sz="8" w:color="007CBA"/>
            </w:tcBorders>
            <w:shd w:val="clear" w:color="auto" w:fill="007CBA"/>
          </w:tcPr>
          <w:p>
            <w:pPr>
              <w:spacing w:after="0"/>
              <w:rPr>
                <w:sz w:val="21"/>
                <w:szCs w:val="21"/>
                <w:color w:val="auto"/>
              </w:rPr>
            </w:pPr>
          </w:p>
        </w:tc>
        <w:tc>
          <w:tcPr>
            <w:tcW w:w="440" w:type="dxa"/>
            <w:vAlign w:val="bottom"/>
            <w:tcBorders>
              <w:bottom w:val="single" w:sz="8" w:color="007CBA"/>
              <w:right w:val="single" w:sz="8" w:color="007CBA"/>
            </w:tcBorders>
            <w:shd w:val="clear" w:color="auto" w:fill="007CBA"/>
          </w:tcPr>
          <w:p>
            <w:pPr>
              <w:spacing w:after="0"/>
              <w:rPr>
                <w:sz w:val="21"/>
                <w:szCs w:val="21"/>
                <w:color w:val="auto"/>
              </w:rPr>
            </w:pPr>
          </w:p>
        </w:tc>
        <w:tc>
          <w:tcPr>
            <w:tcW w:w="280" w:type="dxa"/>
            <w:vAlign w:val="bottom"/>
            <w:tcBorders>
              <w:bottom w:val="single" w:sz="8" w:color="007CBA"/>
            </w:tcBorders>
            <w:shd w:val="clear" w:color="auto" w:fill="007CBA"/>
          </w:tcPr>
          <w:p>
            <w:pPr>
              <w:spacing w:after="0"/>
              <w:rPr>
                <w:sz w:val="21"/>
                <w:szCs w:val="21"/>
                <w:color w:val="auto"/>
              </w:rPr>
            </w:pPr>
          </w:p>
        </w:tc>
        <w:tc>
          <w:tcPr>
            <w:tcW w:w="1100" w:type="dxa"/>
            <w:vAlign w:val="bottom"/>
            <w:tcBorders>
              <w:bottom w:val="single" w:sz="8" w:color="007CBA"/>
            </w:tcBorders>
            <w:shd w:val="clear" w:color="auto" w:fill="007CBA"/>
          </w:tcPr>
          <w:p>
            <w:pPr>
              <w:jc w:val="right"/>
              <w:ind w:right="610"/>
              <w:spacing w:after="0"/>
              <w:rPr>
                <w:sz w:val="20"/>
                <w:szCs w:val="20"/>
                <w:color w:val="auto"/>
              </w:rPr>
            </w:pPr>
            <w:r>
              <w:rPr>
                <w:rFonts w:ascii="Calibri" w:cs="Calibri" w:eastAsia="Calibri" w:hAnsi="Calibri"/>
                <w:sz w:val="18"/>
                <w:szCs w:val="18"/>
                <w:color w:val="FFFFFF"/>
              </w:rPr>
              <w:t>2022</w:t>
            </w:r>
          </w:p>
        </w:tc>
      </w:tr>
      <w:tr>
        <w:trPr>
          <w:trHeight w:val="223"/>
        </w:trPr>
        <w:tc>
          <w:tcPr>
            <w:tcW w:w="5700" w:type="dxa"/>
            <w:vAlign w:val="bottom"/>
            <w:tcBorders>
              <w:bottom w:val="single" w:sz="8" w:color="E5F1F8"/>
            </w:tcBorders>
            <w:gridSpan w:val="2"/>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Net beneft obligaton at beginning of year</w:t>
            </w:r>
          </w:p>
        </w:tc>
        <w:tc>
          <w:tcPr>
            <w:tcW w:w="880" w:type="dxa"/>
            <w:vAlign w:val="bottom"/>
            <w:tcBorders>
              <w:bottom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E5F1F8"/>
            </w:tcBorders>
            <w:shd w:val="clear" w:color="auto" w:fill="E5F1F8"/>
          </w:tcPr>
          <w:p>
            <w:pPr>
              <w:spacing w:after="0"/>
              <w:rPr>
                <w:sz w:val="19"/>
                <w:szCs w:val="19"/>
                <w:color w:val="auto"/>
              </w:rPr>
            </w:pPr>
          </w:p>
        </w:tc>
        <w:tc>
          <w:tcPr>
            <w:tcW w:w="420" w:type="dxa"/>
            <w:vAlign w:val="bottom"/>
            <w:tcBorders>
              <w:bottom w:val="single" w:sz="8" w:color="E5F1F8"/>
              <w:right w:val="single" w:sz="8" w:color="007CBA"/>
            </w:tcBorders>
            <w:shd w:val="clear" w:color="auto" w:fill="E5F1F8"/>
          </w:tcPr>
          <w:p>
            <w:pPr>
              <w:spacing w:after="0"/>
              <w:rPr>
                <w:sz w:val="19"/>
                <w:szCs w:val="19"/>
                <w:color w:val="auto"/>
              </w:rPr>
            </w:pPr>
          </w:p>
        </w:tc>
        <w:tc>
          <w:tcPr>
            <w:tcW w:w="46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540" w:type="dxa"/>
            <w:vAlign w:val="bottom"/>
            <w:tcBorders>
              <w:bottom w:val="single" w:sz="8" w:color="E5F1F8"/>
              <w:right w:val="single" w:sz="8" w:color="E5F1F8"/>
            </w:tcBorders>
            <w:shd w:val="clear" w:color="auto" w:fill="E5F1F8"/>
          </w:tcPr>
          <w:p>
            <w:pPr>
              <w:spacing w:after="0"/>
              <w:rPr>
                <w:sz w:val="19"/>
                <w:szCs w:val="19"/>
                <w:color w:val="auto"/>
              </w:rPr>
            </w:pPr>
          </w:p>
        </w:tc>
        <w:tc>
          <w:tcPr>
            <w:tcW w:w="9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8.9</w:t>
            </w:r>
          </w:p>
        </w:tc>
        <w:tc>
          <w:tcPr>
            <w:tcW w:w="40" w:type="dxa"/>
            <w:vAlign w:val="bottom"/>
            <w:tcBorders>
              <w:bottom w:val="single" w:sz="8" w:color="E5F1F8"/>
            </w:tcBorders>
            <w:shd w:val="clear" w:color="auto" w:fill="E5F1F8"/>
          </w:tcPr>
          <w:p>
            <w:pPr>
              <w:spacing w:after="0"/>
              <w:rPr>
                <w:sz w:val="19"/>
                <w:szCs w:val="19"/>
                <w:color w:val="auto"/>
              </w:rPr>
            </w:pPr>
          </w:p>
        </w:tc>
        <w:tc>
          <w:tcPr>
            <w:tcW w:w="440" w:type="dxa"/>
            <w:vAlign w:val="bottom"/>
            <w:tcBorders>
              <w:bottom w:val="single" w:sz="8" w:color="E5F1F8"/>
              <w:right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w:t>
            </w:r>
          </w:p>
        </w:tc>
        <w:tc>
          <w:tcPr>
            <w:tcW w:w="280" w:type="dxa"/>
            <w:vAlign w:val="bottom"/>
            <w:tcBorders>
              <w:bottom w:val="single" w:sz="8" w:color="E5F1F8"/>
            </w:tcBorders>
            <w:shd w:val="clear" w:color="auto" w:fill="E5F1F8"/>
          </w:tcPr>
          <w:p>
            <w:pPr>
              <w:spacing w:after="0"/>
              <w:rPr>
                <w:sz w:val="19"/>
                <w:szCs w:val="19"/>
                <w:color w:val="auto"/>
              </w:rPr>
            </w:pPr>
          </w:p>
        </w:tc>
        <w:tc>
          <w:tcPr>
            <w:tcW w:w="11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11.4</w:t>
            </w:r>
          </w:p>
        </w:tc>
      </w:tr>
      <w:tr>
        <w:trPr>
          <w:trHeight w:val="215"/>
        </w:trPr>
        <w:tc>
          <w:tcPr>
            <w:tcW w:w="570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Interest cost</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0.5</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0.4</w:t>
            </w:r>
          </w:p>
        </w:tc>
      </w:tr>
      <w:tr>
        <w:trPr>
          <w:trHeight w:val="28"/>
        </w:trPr>
        <w:tc>
          <w:tcPr>
            <w:tcW w:w="57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Borders>
              <w:right w:val="single" w:sz="8" w:color="007CBA"/>
            </w:tcBorders>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5700" w:type="dxa"/>
            <w:vAlign w:val="bottom"/>
            <w:tcBorders>
              <w:bottom w:val="single" w:sz="8" w:color="E5F1F8"/>
            </w:tcBorders>
            <w:gridSpan w:val="2"/>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Partcipants’ contributons</w:t>
            </w:r>
          </w:p>
        </w:tc>
        <w:tc>
          <w:tcPr>
            <w:tcW w:w="880" w:type="dxa"/>
            <w:vAlign w:val="bottom"/>
            <w:tcBorders>
              <w:bottom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E5F1F8"/>
            </w:tcBorders>
            <w:shd w:val="clear" w:color="auto" w:fill="E5F1F8"/>
          </w:tcPr>
          <w:p>
            <w:pPr>
              <w:spacing w:after="0"/>
              <w:rPr>
                <w:sz w:val="19"/>
                <w:szCs w:val="19"/>
                <w:color w:val="auto"/>
              </w:rPr>
            </w:pPr>
          </w:p>
        </w:tc>
        <w:tc>
          <w:tcPr>
            <w:tcW w:w="420" w:type="dxa"/>
            <w:vAlign w:val="bottom"/>
            <w:tcBorders>
              <w:bottom w:val="single" w:sz="8" w:color="E5F1F8"/>
              <w:right w:val="single" w:sz="8" w:color="007CBA"/>
            </w:tcBorders>
            <w:shd w:val="clear" w:color="auto" w:fill="E5F1F8"/>
          </w:tcPr>
          <w:p>
            <w:pPr>
              <w:spacing w:after="0"/>
              <w:rPr>
                <w:sz w:val="19"/>
                <w:szCs w:val="19"/>
                <w:color w:val="auto"/>
              </w:rPr>
            </w:pPr>
          </w:p>
        </w:tc>
        <w:tc>
          <w:tcPr>
            <w:tcW w:w="460" w:type="dxa"/>
            <w:vAlign w:val="bottom"/>
            <w:tcBorders>
              <w:bottom w:val="single" w:sz="8" w:color="E5F1F8"/>
            </w:tcBorders>
            <w:shd w:val="clear" w:color="auto" w:fill="E5F1F8"/>
          </w:tcPr>
          <w:p>
            <w:pPr>
              <w:spacing w:after="0"/>
              <w:rPr>
                <w:sz w:val="19"/>
                <w:szCs w:val="19"/>
                <w:color w:val="auto"/>
              </w:rPr>
            </w:pPr>
          </w:p>
        </w:tc>
        <w:tc>
          <w:tcPr>
            <w:tcW w:w="540" w:type="dxa"/>
            <w:vAlign w:val="bottom"/>
            <w:tcBorders>
              <w:bottom w:val="single" w:sz="8" w:color="E5F1F8"/>
              <w:right w:val="single" w:sz="8" w:color="E5F1F8"/>
            </w:tcBorders>
            <w:shd w:val="clear" w:color="auto" w:fill="E5F1F8"/>
          </w:tcPr>
          <w:p>
            <w:pPr>
              <w:spacing w:after="0"/>
              <w:rPr>
                <w:sz w:val="19"/>
                <w:szCs w:val="19"/>
                <w:color w:val="auto"/>
              </w:rPr>
            </w:pPr>
          </w:p>
        </w:tc>
        <w:tc>
          <w:tcPr>
            <w:tcW w:w="92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0.7</w:t>
            </w:r>
          </w:p>
        </w:tc>
        <w:tc>
          <w:tcPr>
            <w:tcW w:w="40" w:type="dxa"/>
            <w:vAlign w:val="bottom"/>
            <w:tcBorders>
              <w:bottom w:val="single" w:sz="8" w:color="E5F1F8"/>
            </w:tcBorders>
            <w:shd w:val="clear" w:color="auto" w:fill="E5F1F8"/>
          </w:tcPr>
          <w:p>
            <w:pPr>
              <w:spacing w:after="0"/>
              <w:rPr>
                <w:sz w:val="19"/>
                <w:szCs w:val="19"/>
                <w:color w:val="auto"/>
              </w:rPr>
            </w:pPr>
          </w:p>
        </w:tc>
        <w:tc>
          <w:tcPr>
            <w:tcW w:w="440" w:type="dxa"/>
            <w:vAlign w:val="bottom"/>
            <w:tcBorders>
              <w:bottom w:val="single" w:sz="8" w:color="E5F1F8"/>
              <w:right w:val="single" w:sz="8" w:color="E5F1F8"/>
            </w:tcBorders>
            <w:shd w:val="clear" w:color="auto" w:fill="E5F1F8"/>
          </w:tcPr>
          <w:p>
            <w:pPr>
              <w:spacing w:after="0"/>
              <w:rPr>
                <w:sz w:val="19"/>
                <w:szCs w:val="19"/>
                <w:color w:val="auto"/>
              </w:rPr>
            </w:pPr>
          </w:p>
        </w:tc>
        <w:tc>
          <w:tcPr>
            <w:tcW w:w="280" w:type="dxa"/>
            <w:vAlign w:val="bottom"/>
            <w:tcBorders>
              <w:bottom w:val="single" w:sz="8" w:color="E5F1F8"/>
            </w:tcBorders>
            <w:shd w:val="clear" w:color="auto" w:fill="E5F1F8"/>
          </w:tcPr>
          <w:p>
            <w:pPr>
              <w:spacing w:after="0"/>
              <w:rPr>
                <w:sz w:val="19"/>
                <w:szCs w:val="19"/>
                <w:color w:val="auto"/>
              </w:rPr>
            </w:pPr>
          </w:p>
        </w:tc>
        <w:tc>
          <w:tcPr>
            <w:tcW w:w="11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0.6</w:t>
            </w:r>
          </w:p>
        </w:tc>
      </w:tr>
      <w:tr>
        <w:trPr>
          <w:trHeight w:val="243"/>
        </w:trPr>
        <w:tc>
          <w:tcPr>
            <w:tcW w:w="570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Actuarial gain</w:t>
            </w: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Borders>
              <w:right w:val="single" w:sz="8" w:color="007CBA"/>
            </w:tcBorders>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(0.1 )</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line="215" w:lineRule="exact"/>
              <w:rPr>
                <w:sz w:val="20"/>
                <w:szCs w:val="20"/>
                <w:color w:val="auto"/>
              </w:rPr>
            </w:pPr>
            <w:r>
              <w:rPr>
                <w:rFonts w:ascii="Calibri" w:cs="Calibri" w:eastAsia="Calibri" w:hAnsi="Calibri"/>
                <w:sz w:val="18"/>
                <w:szCs w:val="18"/>
                <w:color w:val="auto"/>
              </w:rPr>
              <w:t>(1.9 )</w:t>
            </w:r>
          </w:p>
        </w:tc>
      </w:tr>
      <w:tr>
        <w:trPr>
          <w:trHeight w:val="248"/>
        </w:trPr>
        <w:tc>
          <w:tcPr>
            <w:tcW w:w="5700" w:type="dxa"/>
            <w:vAlign w:val="bottom"/>
            <w:tcBorders>
              <w:bottom w:val="single" w:sz="8" w:color="E5F1F8"/>
            </w:tcBorders>
            <w:gridSpan w:val="2"/>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Gross benefts paid</w:t>
            </w:r>
          </w:p>
        </w:tc>
        <w:tc>
          <w:tcPr>
            <w:tcW w:w="880" w:type="dxa"/>
            <w:vAlign w:val="bottom"/>
            <w:tcBorders>
              <w:bottom w:val="single" w:sz="8" w:color="E5F1F8"/>
            </w:tcBorders>
            <w:shd w:val="clear" w:color="auto" w:fill="E5F1F8"/>
          </w:tcPr>
          <w:p>
            <w:pPr>
              <w:spacing w:after="0"/>
              <w:rPr>
                <w:sz w:val="21"/>
                <w:szCs w:val="21"/>
                <w:color w:val="auto"/>
              </w:rPr>
            </w:pPr>
          </w:p>
        </w:tc>
        <w:tc>
          <w:tcPr>
            <w:tcW w:w="460" w:type="dxa"/>
            <w:vAlign w:val="bottom"/>
            <w:tcBorders>
              <w:bottom w:val="single" w:sz="8" w:color="E5F1F8"/>
              <w:right w:val="single" w:sz="8" w:color="E5F1F8"/>
            </w:tcBorders>
            <w:shd w:val="clear" w:color="auto" w:fill="E5F1F8"/>
          </w:tcPr>
          <w:p>
            <w:pPr>
              <w:spacing w:after="0"/>
              <w:rPr>
                <w:sz w:val="21"/>
                <w:szCs w:val="21"/>
                <w:color w:val="auto"/>
              </w:rPr>
            </w:pPr>
          </w:p>
        </w:tc>
        <w:tc>
          <w:tcPr>
            <w:tcW w:w="420" w:type="dxa"/>
            <w:vAlign w:val="bottom"/>
            <w:tcBorders>
              <w:bottom w:val="single" w:sz="8" w:color="E5F1F8"/>
              <w:right w:val="single" w:sz="8" w:color="E5F1F8"/>
            </w:tcBorders>
            <w:shd w:val="clear" w:color="auto" w:fill="E5F1F8"/>
          </w:tcPr>
          <w:p>
            <w:pPr>
              <w:spacing w:after="0"/>
              <w:rPr>
                <w:sz w:val="21"/>
                <w:szCs w:val="21"/>
                <w:color w:val="auto"/>
              </w:rPr>
            </w:pPr>
          </w:p>
        </w:tc>
        <w:tc>
          <w:tcPr>
            <w:tcW w:w="460" w:type="dxa"/>
            <w:vAlign w:val="bottom"/>
            <w:tcBorders>
              <w:bottom w:val="single" w:sz="8" w:color="E5F1F8"/>
            </w:tcBorders>
            <w:shd w:val="clear" w:color="auto" w:fill="E5F1F8"/>
          </w:tcPr>
          <w:p>
            <w:pPr>
              <w:spacing w:after="0"/>
              <w:rPr>
                <w:sz w:val="21"/>
                <w:szCs w:val="21"/>
                <w:color w:val="auto"/>
              </w:rPr>
            </w:pPr>
          </w:p>
        </w:tc>
        <w:tc>
          <w:tcPr>
            <w:tcW w:w="540" w:type="dxa"/>
            <w:vAlign w:val="bottom"/>
            <w:tcBorders>
              <w:bottom w:val="single" w:sz="8" w:color="E5F1F8"/>
              <w:right w:val="single" w:sz="8" w:color="E5F1F8"/>
            </w:tcBorders>
            <w:shd w:val="clear" w:color="auto" w:fill="E5F1F8"/>
          </w:tcPr>
          <w:p>
            <w:pPr>
              <w:spacing w:after="0"/>
              <w:rPr>
                <w:sz w:val="21"/>
                <w:szCs w:val="21"/>
                <w:color w:val="auto"/>
              </w:rPr>
            </w:pPr>
          </w:p>
        </w:tc>
        <w:tc>
          <w:tcPr>
            <w:tcW w:w="92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(1.7 )</w:t>
            </w:r>
          </w:p>
        </w:tc>
        <w:tc>
          <w:tcPr>
            <w:tcW w:w="40" w:type="dxa"/>
            <w:vAlign w:val="bottom"/>
            <w:tcBorders>
              <w:bottom w:val="single" w:sz="8" w:color="E5F1F8"/>
            </w:tcBorders>
            <w:shd w:val="clear" w:color="auto" w:fill="E5F1F8"/>
          </w:tcPr>
          <w:p>
            <w:pPr>
              <w:spacing w:after="0"/>
              <w:rPr>
                <w:sz w:val="21"/>
                <w:szCs w:val="21"/>
                <w:color w:val="auto"/>
              </w:rPr>
            </w:pPr>
          </w:p>
        </w:tc>
        <w:tc>
          <w:tcPr>
            <w:tcW w:w="440" w:type="dxa"/>
            <w:vAlign w:val="bottom"/>
            <w:tcBorders>
              <w:bottom w:val="single" w:sz="8" w:color="E5F1F8"/>
              <w:right w:val="single" w:sz="8" w:color="E5F1F8"/>
            </w:tcBorders>
            <w:shd w:val="clear" w:color="auto" w:fill="E5F1F8"/>
          </w:tcPr>
          <w:p>
            <w:pPr>
              <w:spacing w:after="0"/>
              <w:rPr>
                <w:sz w:val="21"/>
                <w:szCs w:val="21"/>
                <w:color w:val="auto"/>
              </w:rPr>
            </w:pPr>
          </w:p>
        </w:tc>
        <w:tc>
          <w:tcPr>
            <w:tcW w:w="280" w:type="dxa"/>
            <w:vAlign w:val="bottom"/>
            <w:tcBorders>
              <w:bottom w:val="single" w:sz="8" w:color="E5F1F8"/>
            </w:tcBorders>
            <w:shd w:val="clear" w:color="auto" w:fill="E5F1F8"/>
          </w:tcPr>
          <w:p>
            <w:pPr>
              <w:spacing w:after="0"/>
              <w:rPr>
                <w:sz w:val="21"/>
                <w:szCs w:val="21"/>
                <w:color w:val="auto"/>
              </w:rPr>
            </w:pPr>
          </w:p>
        </w:tc>
        <w:tc>
          <w:tcPr>
            <w:tcW w:w="11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(1.6 )</w:t>
            </w:r>
          </w:p>
        </w:tc>
      </w:tr>
      <w:tr>
        <w:trPr>
          <w:trHeight w:val="208"/>
        </w:trPr>
        <w:tc>
          <w:tcPr>
            <w:tcW w:w="5700" w:type="dxa"/>
            <w:vAlign w:val="bottom"/>
            <w:tcBorders>
              <w:top w:val="single" w:sz="8" w:color="auto"/>
            </w:tcBorders>
            <w:gridSpan w:val="2"/>
          </w:tcPr>
          <w:p>
            <w:pPr>
              <w:ind w:left="120"/>
              <w:spacing w:after="0" w:line="208" w:lineRule="exact"/>
              <w:rPr>
                <w:sz w:val="20"/>
                <w:szCs w:val="20"/>
                <w:color w:val="auto"/>
              </w:rPr>
            </w:pPr>
            <w:r>
              <w:rPr>
                <w:rFonts w:ascii="Calibri" w:cs="Calibri" w:eastAsia="Calibri" w:hAnsi="Calibri"/>
                <w:sz w:val="18"/>
                <w:szCs w:val="18"/>
                <w:color w:val="auto"/>
              </w:rPr>
              <w:t>Net beneft obligaton at end of year</w:t>
            </w: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50"/>
              <w:spacing w:after="0" w:line="208" w:lineRule="exact"/>
              <w:rPr>
                <w:sz w:val="20"/>
                <w:szCs w:val="20"/>
                <w:color w:val="auto"/>
              </w:rPr>
            </w:pPr>
            <w:r>
              <w:rPr>
                <w:rFonts w:ascii="Calibri" w:cs="Calibri" w:eastAsia="Calibri" w:hAnsi="Calibri"/>
                <w:sz w:val="18"/>
                <w:szCs w:val="18"/>
                <w:b w:val="1"/>
                <w:bCs w:val="1"/>
                <w:color w:val="auto"/>
              </w:rPr>
              <w:t>$</w:t>
            </w: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8.3</w:t>
            </w:r>
          </w:p>
        </w:tc>
        <w:tc>
          <w:tcPr>
            <w:tcW w:w="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center"/>
              <w:spacing w:after="0" w:line="208" w:lineRule="exact"/>
              <w:rPr>
                <w:sz w:val="20"/>
                <w:szCs w:val="20"/>
                <w:color w:val="auto"/>
              </w:rPr>
            </w:pPr>
            <w:r>
              <w:rPr>
                <w:rFonts w:ascii="Calibri" w:cs="Calibri" w:eastAsia="Calibri" w:hAnsi="Calibri"/>
                <w:sz w:val="18"/>
                <w:szCs w:val="18"/>
                <w:color w:val="auto"/>
                <w:w w:val="87"/>
              </w:rPr>
              <w:t>$</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8.9</w:t>
            </w:r>
          </w:p>
        </w:tc>
      </w:tr>
      <w:tr>
        <w:trPr>
          <w:trHeight w:val="28"/>
        </w:trPr>
        <w:tc>
          <w:tcPr>
            <w:tcW w:w="5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-2253615</wp:posOffset>
            </wp:positionV>
            <wp:extent cx="34886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-1949450</wp:posOffset>
            </wp:positionV>
            <wp:extent cx="33655" cy="3683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-1949450</wp:posOffset>
            </wp:positionV>
            <wp:extent cx="34290" cy="3683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5349875</wp:posOffset>
            </wp:positionH>
            <wp:positionV relativeFrom="paragraph">
              <wp:posOffset>-1949450</wp:posOffset>
            </wp:positionV>
            <wp:extent cx="33655" cy="3683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6233160</wp:posOffset>
            </wp:positionH>
            <wp:positionV relativeFrom="paragraph">
              <wp:posOffset>-1949450</wp:posOffset>
            </wp:positionV>
            <wp:extent cx="33655" cy="3683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-354965</wp:posOffset>
            </wp:positionV>
            <wp:extent cx="34290" cy="3683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-354965</wp:posOffset>
            </wp:positionV>
            <wp:extent cx="33655" cy="3683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213995</wp:posOffset>
            </wp:positionV>
            <wp:extent cx="325755" cy="1974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0" w:name="page101"/>
    <w:bookmarkEnd w:id="100"/>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postretrement health care plans’ change in plan assets, funded status and amounts recognized on the Company’s consolidated balance sheets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40" w:type="dxa"/>
            <w:vAlign w:val="bottom"/>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1620" w:type="dxa"/>
            <w:vAlign w:val="bottom"/>
            <w:tcBorders>
              <w:right w:val="single" w:sz="8" w:color="007CBA"/>
            </w:tcBorders>
            <w:shd w:val="clear" w:color="auto" w:fill="007CBA"/>
          </w:tcPr>
          <w:p>
            <w:pPr>
              <w:spacing w:after="0"/>
              <w:rPr>
                <w:sz w:val="20"/>
                <w:szCs w:val="20"/>
                <w:color w:val="auto"/>
              </w:rPr>
            </w:pPr>
          </w:p>
        </w:tc>
        <w:tc>
          <w:tcPr>
            <w:tcW w:w="680" w:type="dxa"/>
            <w:vAlign w:val="bottom"/>
            <w:shd w:val="clear" w:color="auto" w:fill="007CBA"/>
          </w:tcPr>
          <w:p>
            <w:pPr>
              <w:spacing w:after="0"/>
              <w:rPr>
                <w:sz w:val="20"/>
                <w:szCs w:val="20"/>
                <w:color w:val="auto"/>
              </w:rPr>
            </w:pPr>
          </w:p>
        </w:tc>
        <w:tc>
          <w:tcPr>
            <w:tcW w:w="1240" w:type="dxa"/>
            <w:vAlign w:val="bottom"/>
            <w:tcBorders>
              <w:right w:val="single" w:sz="8" w:color="007CBA"/>
            </w:tcBorders>
            <w:shd w:val="clear" w:color="auto" w:fill="007CBA"/>
          </w:tcPr>
          <w:p>
            <w:pPr>
              <w:spacing w:after="0"/>
              <w:rPr>
                <w:sz w:val="20"/>
                <w:szCs w:val="20"/>
                <w:color w:val="auto"/>
              </w:rPr>
            </w:pPr>
          </w:p>
        </w:tc>
        <w:tc>
          <w:tcPr>
            <w:tcW w:w="560" w:type="dxa"/>
            <w:vAlign w:val="bottom"/>
            <w:shd w:val="clear" w:color="auto" w:fill="007CBA"/>
          </w:tcPr>
          <w:p>
            <w:pPr>
              <w:spacing w:after="0"/>
              <w:rPr>
                <w:sz w:val="20"/>
                <w:szCs w:val="20"/>
                <w:color w:val="auto"/>
              </w:rPr>
            </w:pPr>
          </w:p>
        </w:tc>
        <w:tc>
          <w:tcPr>
            <w:tcW w:w="1300" w:type="dxa"/>
            <w:vAlign w:val="bottom"/>
            <w:shd w:val="clear" w:color="auto" w:fill="007CBA"/>
          </w:tcPr>
          <w:p>
            <w:pPr>
              <w:spacing w:after="0"/>
              <w:rPr>
                <w:sz w:val="20"/>
                <w:szCs w:val="20"/>
                <w:color w:val="auto"/>
              </w:rPr>
            </w:pPr>
          </w:p>
        </w:tc>
      </w:tr>
      <w:tr>
        <w:trPr>
          <w:trHeight w:val="231"/>
        </w:trPr>
        <w:tc>
          <w:tcPr>
            <w:tcW w:w="5840" w:type="dxa"/>
            <w:vAlign w:val="bottom"/>
            <w:tcBorders>
              <w:bottom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620" w:type="dxa"/>
            <w:vAlign w:val="bottom"/>
            <w:tcBorders>
              <w:bottom w:val="single" w:sz="8" w:color="007CBA"/>
              <w:right w:val="single" w:sz="8" w:color="007CBA"/>
            </w:tcBorders>
            <w:shd w:val="clear" w:color="auto" w:fill="007CBA"/>
          </w:tcPr>
          <w:p>
            <w:pPr>
              <w:spacing w:after="0"/>
              <w:rPr>
                <w:sz w:val="20"/>
                <w:szCs w:val="20"/>
                <w:color w:val="auto"/>
              </w:rPr>
            </w:pPr>
          </w:p>
        </w:tc>
        <w:tc>
          <w:tcPr>
            <w:tcW w:w="680" w:type="dxa"/>
            <w:vAlign w:val="bottom"/>
            <w:tcBorders>
              <w:bottom w:val="single" w:sz="8" w:color="007CBA"/>
            </w:tcBorders>
            <w:shd w:val="clear" w:color="auto" w:fill="007CBA"/>
          </w:tcPr>
          <w:p>
            <w:pPr>
              <w:spacing w:after="0"/>
              <w:rPr>
                <w:sz w:val="20"/>
                <w:szCs w:val="20"/>
                <w:color w:val="auto"/>
              </w:rPr>
            </w:pPr>
          </w:p>
        </w:tc>
        <w:tc>
          <w:tcPr>
            <w:tcW w:w="1240" w:type="dxa"/>
            <w:vAlign w:val="bottom"/>
            <w:tcBorders>
              <w:bottom w:val="single" w:sz="8" w:color="007CBA"/>
              <w:right w:val="single" w:sz="8" w:color="007CBA"/>
            </w:tcBorders>
            <w:shd w:val="clear" w:color="auto" w:fill="007CBA"/>
          </w:tcPr>
          <w:p>
            <w:pPr>
              <w:ind w:left="140"/>
              <w:spacing w:after="0" w:line="215" w:lineRule="exact"/>
              <w:rPr>
                <w:sz w:val="20"/>
                <w:szCs w:val="20"/>
                <w:color w:val="auto"/>
              </w:rPr>
            </w:pPr>
            <w:r>
              <w:rPr>
                <w:rFonts w:ascii="Calibri" w:cs="Calibri" w:eastAsia="Calibri" w:hAnsi="Calibri"/>
                <w:sz w:val="18"/>
                <w:szCs w:val="18"/>
                <w:b w:val="1"/>
                <w:bCs w:val="1"/>
                <w:color w:val="FFFFFF"/>
              </w:rPr>
              <w:t>2023</w:t>
            </w:r>
          </w:p>
        </w:tc>
        <w:tc>
          <w:tcPr>
            <w:tcW w:w="560" w:type="dxa"/>
            <w:vAlign w:val="bottom"/>
            <w:tcBorders>
              <w:bottom w:val="single" w:sz="8" w:color="007CBA"/>
            </w:tcBorders>
            <w:shd w:val="clear" w:color="auto" w:fill="007CBA"/>
          </w:tcPr>
          <w:p>
            <w:pPr>
              <w:spacing w:after="0"/>
              <w:rPr>
                <w:sz w:val="20"/>
                <w:szCs w:val="20"/>
                <w:color w:val="auto"/>
              </w:rPr>
            </w:pPr>
          </w:p>
        </w:tc>
        <w:tc>
          <w:tcPr>
            <w:tcW w:w="1300" w:type="dxa"/>
            <w:vAlign w:val="bottom"/>
            <w:tcBorders>
              <w:bottom w:val="single" w:sz="8" w:color="007CBA"/>
            </w:tcBorders>
            <w:shd w:val="clear" w:color="auto" w:fill="007CBA"/>
          </w:tcPr>
          <w:p>
            <w:pPr>
              <w:ind w:left="240"/>
              <w:spacing w:after="0" w:line="215" w:lineRule="exact"/>
              <w:rPr>
                <w:sz w:val="20"/>
                <w:szCs w:val="20"/>
                <w:color w:val="auto"/>
              </w:rPr>
            </w:pPr>
            <w:r>
              <w:rPr>
                <w:rFonts w:ascii="Calibri" w:cs="Calibri" w:eastAsia="Calibri" w:hAnsi="Calibri"/>
                <w:sz w:val="18"/>
                <w:szCs w:val="18"/>
                <w:color w:val="FFFFFF"/>
              </w:rPr>
              <w:t>2022</w:t>
            </w:r>
          </w:p>
        </w:tc>
      </w:tr>
      <w:tr>
        <w:trPr>
          <w:trHeight w:val="215"/>
        </w:trPr>
        <w:tc>
          <w:tcPr>
            <w:tcW w:w="5840" w:type="dxa"/>
            <w:vAlign w:val="bottom"/>
          </w:tcPr>
          <w:p>
            <w:pPr>
              <w:ind w:left="120"/>
              <w:spacing w:after="0" w:line="215" w:lineRule="exact"/>
              <w:rPr>
                <w:sz w:val="20"/>
                <w:szCs w:val="20"/>
                <w:color w:val="auto"/>
              </w:rPr>
            </w:pPr>
            <w:r>
              <w:rPr>
                <w:rFonts w:ascii="Calibri" w:cs="Calibri" w:eastAsia="Calibri" w:hAnsi="Calibri"/>
                <w:sz w:val="18"/>
                <w:szCs w:val="18"/>
                <w:color w:val="auto"/>
              </w:rPr>
              <w:t>Fair value of plan assets at beginning of year</w:t>
            </w:r>
          </w:p>
        </w:tc>
        <w:tc>
          <w:tcPr>
            <w:tcW w:w="1620" w:type="dxa"/>
            <w:vAlign w:val="bottom"/>
            <w:tcBorders>
              <w:right w:val="single" w:sz="8" w:color="007CBA"/>
            </w:tcBorders>
          </w:tcPr>
          <w:p>
            <w:pPr>
              <w:spacing w:after="0"/>
              <w:rPr>
                <w:sz w:val="18"/>
                <w:szCs w:val="18"/>
                <w:color w:val="auto"/>
              </w:rPr>
            </w:pPr>
          </w:p>
        </w:tc>
        <w:tc>
          <w:tcPr>
            <w:tcW w:w="680" w:type="dxa"/>
            <w:vAlign w:val="bottom"/>
          </w:tcPr>
          <w:p>
            <w:pPr>
              <w:jc w:val="right"/>
              <w:ind w:right="270"/>
              <w:spacing w:after="0" w:line="215"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840" w:type="dxa"/>
            <w:vAlign w:val="bottom"/>
          </w:tcPr>
          <w:p>
            <w:pPr>
              <w:spacing w:after="0"/>
              <w:rPr>
                <w:sz w:val="2"/>
                <w:szCs w:val="2"/>
                <w:color w:val="auto"/>
              </w:rPr>
            </w:pPr>
          </w:p>
        </w:tc>
        <w:tc>
          <w:tcPr>
            <w:tcW w:w="1620" w:type="dxa"/>
            <w:vAlign w:val="bottom"/>
            <w:tcBorders>
              <w:right w:val="single" w:sz="8" w:color="007CBA"/>
            </w:tcBorders>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584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Employer contributons</w:t>
            </w:r>
          </w:p>
        </w:tc>
        <w:tc>
          <w:tcPr>
            <w:tcW w:w="1620" w:type="dxa"/>
            <w:vAlign w:val="bottom"/>
            <w:tcBorders>
              <w:bottom w:val="single" w:sz="8" w:color="E5F1F8"/>
              <w:right w:val="single" w:sz="8" w:color="007CBA"/>
            </w:tcBorders>
            <w:shd w:val="clear" w:color="auto" w:fill="E5F1F8"/>
          </w:tcPr>
          <w:p>
            <w:pPr>
              <w:spacing w:after="0"/>
              <w:rPr>
                <w:sz w:val="19"/>
                <w:szCs w:val="19"/>
                <w:color w:val="auto"/>
              </w:rPr>
            </w:pPr>
          </w:p>
        </w:tc>
        <w:tc>
          <w:tcPr>
            <w:tcW w:w="680" w:type="dxa"/>
            <w:vAlign w:val="bottom"/>
            <w:tcBorders>
              <w:bottom w:val="single" w:sz="8" w:color="E5F1F8"/>
            </w:tcBorders>
            <w:shd w:val="clear" w:color="auto" w:fill="E5F1F8"/>
          </w:tcPr>
          <w:p>
            <w:pPr>
              <w:spacing w:after="0"/>
              <w:rPr>
                <w:sz w:val="19"/>
                <w:szCs w:val="19"/>
                <w:color w:val="auto"/>
              </w:rPr>
            </w:pPr>
          </w:p>
        </w:tc>
        <w:tc>
          <w:tcPr>
            <w:tcW w:w="12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1.0</w:t>
            </w:r>
          </w:p>
        </w:tc>
        <w:tc>
          <w:tcPr>
            <w:tcW w:w="560" w:type="dxa"/>
            <w:vAlign w:val="bottom"/>
            <w:tcBorders>
              <w:bottom w:val="single" w:sz="8" w:color="E5F1F8"/>
            </w:tcBorders>
            <w:shd w:val="clear" w:color="auto" w:fill="E5F1F8"/>
          </w:tcPr>
          <w:p>
            <w:pPr>
              <w:spacing w:after="0"/>
              <w:rPr>
                <w:sz w:val="19"/>
                <w:szCs w:val="19"/>
                <w:color w:val="auto"/>
              </w:rPr>
            </w:pPr>
          </w:p>
        </w:tc>
        <w:tc>
          <w:tcPr>
            <w:tcW w:w="13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1.0</w:t>
            </w:r>
          </w:p>
        </w:tc>
      </w:tr>
      <w:tr>
        <w:trPr>
          <w:trHeight w:val="243"/>
        </w:trPr>
        <w:tc>
          <w:tcPr>
            <w:tcW w:w="5840" w:type="dxa"/>
            <w:vAlign w:val="bottom"/>
          </w:tcPr>
          <w:p>
            <w:pPr>
              <w:ind w:left="120"/>
              <w:spacing w:after="0" w:line="215" w:lineRule="exact"/>
              <w:rPr>
                <w:sz w:val="20"/>
                <w:szCs w:val="20"/>
                <w:color w:val="auto"/>
              </w:rPr>
            </w:pPr>
            <w:r>
              <w:rPr>
                <w:rFonts w:ascii="Calibri" w:cs="Calibri" w:eastAsia="Calibri" w:hAnsi="Calibri"/>
                <w:sz w:val="18"/>
                <w:szCs w:val="18"/>
                <w:color w:val="auto"/>
              </w:rPr>
              <w:t>Partcipants’ contributons</w:t>
            </w:r>
          </w:p>
        </w:tc>
        <w:tc>
          <w:tcPr>
            <w:tcW w:w="1620" w:type="dxa"/>
            <w:vAlign w:val="bottom"/>
            <w:tcBorders>
              <w:right w:val="single" w:sz="8" w:color="007CBA"/>
            </w:tcBorders>
          </w:tcPr>
          <w:p>
            <w:pPr>
              <w:spacing w:after="0"/>
              <w:rPr>
                <w:sz w:val="21"/>
                <w:szCs w:val="21"/>
                <w:color w:val="auto"/>
              </w:rPr>
            </w:pPr>
          </w:p>
        </w:tc>
        <w:tc>
          <w:tcPr>
            <w:tcW w:w="680" w:type="dxa"/>
            <w:vAlign w:val="bottom"/>
          </w:tcPr>
          <w:p>
            <w:pPr>
              <w:spacing w:after="0"/>
              <w:rPr>
                <w:sz w:val="21"/>
                <w:szCs w:val="21"/>
                <w:color w:val="auto"/>
              </w:rPr>
            </w:pPr>
          </w:p>
        </w:tc>
        <w:tc>
          <w:tcPr>
            <w:tcW w:w="12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0.7</w:t>
            </w:r>
          </w:p>
        </w:tc>
        <w:tc>
          <w:tcPr>
            <w:tcW w:w="560" w:type="dxa"/>
            <w:vAlign w:val="bottom"/>
          </w:tcPr>
          <w:p>
            <w:pPr>
              <w:spacing w:after="0"/>
              <w:rPr>
                <w:sz w:val="21"/>
                <w:szCs w:val="21"/>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0.6</w:t>
            </w:r>
          </w:p>
        </w:tc>
      </w:tr>
      <w:tr>
        <w:trPr>
          <w:trHeight w:val="248"/>
        </w:trPr>
        <w:tc>
          <w:tcPr>
            <w:tcW w:w="584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Gross benefts paid</w:t>
            </w:r>
          </w:p>
        </w:tc>
        <w:tc>
          <w:tcPr>
            <w:tcW w:w="1620" w:type="dxa"/>
            <w:vAlign w:val="bottom"/>
            <w:tcBorders>
              <w:bottom w:val="single" w:sz="8" w:color="E5F1F8"/>
              <w:right w:val="single" w:sz="8" w:color="E5F1F8"/>
            </w:tcBorders>
            <w:shd w:val="clear" w:color="auto" w:fill="E5F1F8"/>
          </w:tcPr>
          <w:p>
            <w:pPr>
              <w:spacing w:after="0"/>
              <w:rPr>
                <w:sz w:val="21"/>
                <w:szCs w:val="21"/>
                <w:color w:val="auto"/>
              </w:rPr>
            </w:pPr>
          </w:p>
        </w:tc>
        <w:tc>
          <w:tcPr>
            <w:tcW w:w="680" w:type="dxa"/>
            <w:vAlign w:val="bottom"/>
            <w:tcBorders>
              <w:bottom w:val="single" w:sz="8" w:color="E5F1F8"/>
            </w:tcBorders>
            <w:shd w:val="clear" w:color="auto" w:fill="E5F1F8"/>
          </w:tcPr>
          <w:p>
            <w:pPr>
              <w:spacing w:after="0"/>
              <w:rPr>
                <w:sz w:val="21"/>
                <w:szCs w:val="21"/>
                <w:color w:val="auto"/>
              </w:rPr>
            </w:pPr>
          </w:p>
        </w:tc>
        <w:tc>
          <w:tcPr>
            <w:tcW w:w="12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(1.7 )</w:t>
            </w:r>
          </w:p>
        </w:tc>
        <w:tc>
          <w:tcPr>
            <w:tcW w:w="560" w:type="dxa"/>
            <w:vAlign w:val="bottom"/>
            <w:tcBorders>
              <w:bottom w:val="single" w:sz="8" w:color="E5F1F8"/>
            </w:tcBorders>
            <w:shd w:val="clear" w:color="auto" w:fill="E5F1F8"/>
          </w:tcPr>
          <w:p>
            <w:pPr>
              <w:spacing w:after="0"/>
              <w:rPr>
                <w:sz w:val="21"/>
                <w:szCs w:val="21"/>
                <w:color w:val="auto"/>
              </w:rPr>
            </w:pPr>
          </w:p>
        </w:tc>
        <w:tc>
          <w:tcPr>
            <w:tcW w:w="13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(1.6 )</w:t>
            </w:r>
          </w:p>
        </w:tc>
      </w:tr>
      <w:tr>
        <w:trPr>
          <w:trHeight w:val="208"/>
        </w:trPr>
        <w:tc>
          <w:tcPr>
            <w:tcW w:w="58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Fair value of plan assets at end of year</w:t>
            </w:r>
          </w:p>
        </w:tc>
        <w:tc>
          <w:tcPr>
            <w:tcW w:w="2300" w:type="dxa"/>
            <w:vAlign w:val="bottom"/>
            <w:tcBorders>
              <w:top w:val="single" w:sz="8" w:color="auto"/>
            </w:tcBorders>
            <w:gridSpan w:val="2"/>
          </w:tcPr>
          <w:p>
            <w:pPr>
              <w:jc w:val="right"/>
              <w:ind w:right="270"/>
              <w:spacing w:after="0" w:line="208"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3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w:t>
            </w:r>
          </w:p>
        </w:tc>
      </w:tr>
      <w:tr>
        <w:trPr>
          <w:trHeight w:val="28"/>
        </w:trPr>
        <w:tc>
          <w:tcPr>
            <w:tcW w:w="5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5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5"/>
        </w:trPr>
        <w:tc>
          <w:tcPr>
            <w:tcW w:w="5840" w:type="dxa"/>
            <w:vAlign w:val="bottom"/>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December 31</w:t>
            </w:r>
          </w:p>
        </w:tc>
        <w:tc>
          <w:tcPr>
            <w:tcW w:w="1620" w:type="dxa"/>
            <w:vAlign w:val="bottom"/>
            <w:tcBorders>
              <w:right w:val="single" w:sz="8" w:color="007CBA"/>
            </w:tcBorders>
            <w:shd w:val="clear" w:color="auto" w:fill="007CBA"/>
          </w:tcPr>
          <w:p>
            <w:pPr>
              <w:spacing w:after="0"/>
              <w:rPr>
                <w:sz w:val="18"/>
                <w:szCs w:val="18"/>
                <w:color w:val="auto"/>
              </w:rPr>
            </w:pPr>
          </w:p>
        </w:tc>
        <w:tc>
          <w:tcPr>
            <w:tcW w:w="68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spacing w:after="0"/>
              <w:rPr>
                <w:sz w:val="18"/>
                <w:szCs w:val="18"/>
                <w:color w:val="auto"/>
              </w:rPr>
            </w:pPr>
          </w:p>
        </w:tc>
        <w:tc>
          <w:tcPr>
            <w:tcW w:w="560" w:type="dxa"/>
            <w:vAlign w:val="bottom"/>
            <w:shd w:val="clear" w:color="auto" w:fill="007CBA"/>
          </w:tcPr>
          <w:p>
            <w:pPr>
              <w:spacing w:after="0"/>
              <w:rPr>
                <w:sz w:val="18"/>
                <w:szCs w:val="18"/>
                <w:color w:val="auto"/>
              </w:rPr>
            </w:pPr>
          </w:p>
        </w:tc>
        <w:tc>
          <w:tcPr>
            <w:tcW w:w="1300" w:type="dxa"/>
            <w:vAlign w:val="bottom"/>
            <w:shd w:val="clear" w:color="auto" w:fill="007CBA"/>
          </w:tcPr>
          <w:p>
            <w:pPr>
              <w:spacing w:after="0"/>
              <w:rPr>
                <w:sz w:val="18"/>
                <w:szCs w:val="18"/>
                <w:color w:val="auto"/>
              </w:rPr>
            </w:pPr>
          </w:p>
        </w:tc>
      </w:tr>
      <w:tr>
        <w:trPr>
          <w:trHeight w:val="251"/>
        </w:trPr>
        <w:tc>
          <w:tcPr>
            <w:tcW w:w="5840" w:type="dxa"/>
            <w:vAlign w:val="bottom"/>
            <w:tcBorders>
              <w:bottom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620" w:type="dxa"/>
            <w:vAlign w:val="bottom"/>
            <w:tcBorders>
              <w:bottom w:val="single" w:sz="8" w:color="007CBA"/>
              <w:right w:val="single" w:sz="8" w:color="007CBA"/>
            </w:tcBorders>
            <w:shd w:val="clear" w:color="auto" w:fill="007CBA"/>
          </w:tcPr>
          <w:p>
            <w:pPr>
              <w:spacing w:after="0"/>
              <w:rPr>
                <w:sz w:val="21"/>
                <w:szCs w:val="21"/>
                <w:color w:val="auto"/>
              </w:rPr>
            </w:pPr>
          </w:p>
        </w:tc>
        <w:tc>
          <w:tcPr>
            <w:tcW w:w="680" w:type="dxa"/>
            <w:vAlign w:val="bottom"/>
            <w:tcBorders>
              <w:bottom w:val="single" w:sz="8" w:color="007CBA"/>
            </w:tcBorders>
            <w:shd w:val="clear" w:color="auto" w:fill="007CBA"/>
          </w:tcPr>
          <w:p>
            <w:pPr>
              <w:spacing w:after="0"/>
              <w:rPr>
                <w:sz w:val="21"/>
                <w:szCs w:val="21"/>
                <w:color w:val="auto"/>
              </w:rPr>
            </w:pPr>
          </w:p>
        </w:tc>
        <w:tc>
          <w:tcPr>
            <w:tcW w:w="1240" w:type="dxa"/>
            <w:vAlign w:val="bottom"/>
            <w:tcBorders>
              <w:bottom w:val="single" w:sz="8" w:color="007CBA"/>
              <w:right w:val="single" w:sz="8" w:color="007CBA"/>
            </w:tcBorders>
            <w:shd w:val="clear" w:color="auto" w:fill="007CBA"/>
          </w:tcPr>
          <w:p>
            <w:pPr>
              <w:ind w:left="140"/>
              <w:spacing w:after="0"/>
              <w:rPr>
                <w:sz w:val="20"/>
                <w:szCs w:val="20"/>
                <w:color w:val="auto"/>
              </w:rPr>
            </w:pPr>
            <w:r>
              <w:rPr>
                <w:rFonts w:ascii="Calibri" w:cs="Calibri" w:eastAsia="Calibri" w:hAnsi="Calibri"/>
                <w:sz w:val="18"/>
                <w:szCs w:val="18"/>
                <w:b w:val="1"/>
                <w:bCs w:val="1"/>
                <w:color w:val="FFFFFF"/>
              </w:rPr>
              <w:t>2023</w:t>
            </w:r>
          </w:p>
        </w:tc>
        <w:tc>
          <w:tcPr>
            <w:tcW w:w="560" w:type="dxa"/>
            <w:vAlign w:val="bottom"/>
            <w:tcBorders>
              <w:bottom w:val="single" w:sz="8" w:color="007CBA"/>
            </w:tcBorders>
            <w:shd w:val="clear" w:color="auto" w:fill="007CBA"/>
          </w:tcPr>
          <w:p>
            <w:pPr>
              <w:spacing w:after="0"/>
              <w:rPr>
                <w:sz w:val="21"/>
                <w:szCs w:val="21"/>
                <w:color w:val="auto"/>
              </w:rPr>
            </w:pPr>
          </w:p>
        </w:tc>
        <w:tc>
          <w:tcPr>
            <w:tcW w:w="1300" w:type="dxa"/>
            <w:vAlign w:val="bottom"/>
            <w:tcBorders>
              <w:bottom w:val="single" w:sz="8" w:color="007CBA"/>
            </w:tcBorders>
            <w:shd w:val="clear" w:color="auto" w:fill="007CBA"/>
          </w:tcPr>
          <w:p>
            <w:pPr>
              <w:ind w:left="240"/>
              <w:spacing w:after="0"/>
              <w:rPr>
                <w:sz w:val="20"/>
                <w:szCs w:val="20"/>
                <w:color w:val="auto"/>
              </w:rPr>
            </w:pPr>
            <w:r>
              <w:rPr>
                <w:rFonts w:ascii="Calibri" w:cs="Calibri" w:eastAsia="Calibri" w:hAnsi="Calibri"/>
                <w:sz w:val="18"/>
                <w:szCs w:val="18"/>
                <w:color w:val="FFFFFF"/>
              </w:rPr>
              <w:t>2022</w:t>
            </w:r>
          </w:p>
        </w:tc>
      </w:tr>
      <w:tr>
        <w:trPr>
          <w:trHeight w:val="243"/>
        </w:trPr>
        <w:tc>
          <w:tcPr>
            <w:tcW w:w="5840" w:type="dxa"/>
            <w:vAlign w:val="bottom"/>
          </w:tcPr>
          <w:p>
            <w:pPr>
              <w:ind w:left="120"/>
              <w:spacing w:after="0" w:line="215" w:lineRule="exact"/>
              <w:rPr>
                <w:sz w:val="20"/>
                <w:szCs w:val="20"/>
                <w:color w:val="auto"/>
              </w:rPr>
            </w:pPr>
            <w:r>
              <w:rPr>
                <w:rFonts w:ascii="Calibri" w:cs="Calibri" w:eastAsia="Calibri" w:hAnsi="Calibri"/>
                <w:sz w:val="18"/>
                <w:szCs w:val="18"/>
                <w:color w:val="auto"/>
              </w:rPr>
              <w:t>Funded status of the plan at end of year</w:t>
            </w:r>
          </w:p>
        </w:tc>
        <w:tc>
          <w:tcPr>
            <w:tcW w:w="1620" w:type="dxa"/>
            <w:vAlign w:val="bottom"/>
            <w:tcBorders>
              <w:right w:val="single" w:sz="8" w:color="007CBA"/>
            </w:tcBorders>
          </w:tcPr>
          <w:p>
            <w:pPr>
              <w:spacing w:after="0"/>
              <w:rPr>
                <w:sz w:val="21"/>
                <w:szCs w:val="21"/>
                <w:color w:val="auto"/>
              </w:rPr>
            </w:pPr>
          </w:p>
        </w:tc>
        <w:tc>
          <w:tcPr>
            <w:tcW w:w="680" w:type="dxa"/>
            <w:vAlign w:val="bottom"/>
          </w:tcPr>
          <w:p>
            <w:pPr>
              <w:jc w:val="right"/>
              <w:ind w:right="270"/>
              <w:spacing w:after="0" w:line="215"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(8.3 )</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(8.9 )</w:t>
            </w:r>
          </w:p>
        </w:tc>
      </w:tr>
      <w:tr>
        <w:trPr>
          <w:trHeight w:val="248"/>
        </w:trPr>
        <w:tc>
          <w:tcPr>
            <w:tcW w:w="584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Accrued beneft cost</w:t>
            </w:r>
          </w:p>
        </w:tc>
        <w:tc>
          <w:tcPr>
            <w:tcW w:w="2300" w:type="dxa"/>
            <w:vAlign w:val="bottom"/>
            <w:tcBorders>
              <w:bottom w:val="single" w:sz="8" w:color="E5F1F8"/>
            </w:tcBorders>
            <w:gridSpan w:val="2"/>
            <w:shd w:val="clear" w:color="auto" w:fill="E5F1F8"/>
          </w:tcPr>
          <w:p>
            <w:pPr>
              <w:jc w:val="right"/>
              <w:ind w:right="270"/>
              <w:spacing w:after="0" w:line="215"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(8.3 )</w:t>
            </w:r>
          </w:p>
        </w:tc>
        <w:tc>
          <w:tcPr>
            <w:tcW w:w="56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(8.9 )</w:t>
            </w:r>
          </w:p>
        </w:tc>
      </w:tr>
      <w:tr>
        <w:trPr>
          <w:trHeight w:val="209"/>
        </w:trPr>
        <w:tc>
          <w:tcPr>
            <w:tcW w:w="58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15"/>
        </w:trPr>
        <w:tc>
          <w:tcPr>
            <w:tcW w:w="5840" w:type="dxa"/>
            <w:vAlign w:val="bottom"/>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December 31</w:t>
            </w:r>
          </w:p>
        </w:tc>
        <w:tc>
          <w:tcPr>
            <w:tcW w:w="1620" w:type="dxa"/>
            <w:vAlign w:val="bottom"/>
            <w:tcBorders>
              <w:right w:val="single" w:sz="8" w:color="007CBA"/>
            </w:tcBorders>
            <w:shd w:val="clear" w:color="auto" w:fill="007CBA"/>
          </w:tcPr>
          <w:p>
            <w:pPr>
              <w:spacing w:after="0"/>
              <w:rPr>
                <w:sz w:val="18"/>
                <w:szCs w:val="18"/>
                <w:color w:val="auto"/>
              </w:rPr>
            </w:pPr>
          </w:p>
        </w:tc>
        <w:tc>
          <w:tcPr>
            <w:tcW w:w="68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spacing w:after="0"/>
              <w:rPr>
                <w:sz w:val="18"/>
                <w:szCs w:val="18"/>
                <w:color w:val="auto"/>
              </w:rPr>
            </w:pPr>
          </w:p>
        </w:tc>
        <w:tc>
          <w:tcPr>
            <w:tcW w:w="560" w:type="dxa"/>
            <w:vAlign w:val="bottom"/>
            <w:shd w:val="clear" w:color="auto" w:fill="007CBA"/>
          </w:tcPr>
          <w:p>
            <w:pPr>
              <w:spacing w:after="0"/>
              <w:rPr>
                <w:sz w:val="18"/>
                <w:szCs w:val="18"/>
                <w:color w:val="auto"/>
              </w:rPr>
            </w:pPr>
          </w:p>
        </w:tc>
        <w:tc>
          <w:tcPr>
            <w:tcW w:w="1300" w:type="dxa"/>
            <w:vAlign w:val="bottom"/>
            <w:shd w:val="clear" w:color="auto" w:fill="007CBA"/>
          </w:tcPr>
          <w:p>
            <w:pPr>
              <w:spacing w:after="0"/>
              <w:rPr>
                <w:sz w:val="18"/>
                <w:szCs w:val="18"/>
                <w:color w:val="auto"/>
              </w:rPr>
            </w:pPr>
          </w:p>
        </w:tc>
      </w:tr>
      <w:tr>
        <w:trPr>
          <w:trHeight w:val="251"/>
        </w:trPr>
        <w:tc>
          <w:tcPr>
            <w:tcW w:w="5840" w:type="dxa"/>
            <w:vAlign w:val="bottom"/>
            <w:tcBorders>
              <w:bottom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620" w:type="dxa"/>
            <w:vAlign w:val="bottom"/>
            <w:tcBorders>
              <w:bottom w:val="single" w:sz="8" w:color="007CBA"/>
              <w:right w:val="single" w:sz="8" w:color="007CBA"/>
            </w:tcBorders>
            <w:shd w:val="clear" w:color="auto" w:fill="007CBA"/>
          </w:tcPr>
          <w:p>
            <w:pPr>
              <w:spacing w:after="0"/>
              <w:rPr>
                <w:sz w:val="21"/>
                <w:szCs w:val="21"/>
                <w:color w:val="auto"/>
              </w:rPr>
            </w:pPr>
          </w:p>
        </w:tc>
        <w:tc>
          <w:tcPr>
            <w:tcW w:w="680" w:type="dxa"/>
            <w:vAlign w:val="bottom"/>
            <w:tcBorders>
              <w:bottom w:val="single" w:sz="8" w:color="007CBA"/>
            </w:tcBorders>
            <w:shd w:val="clear" w:color="auto" w:fill="007CBA"/>
          </w:tcPr>
          <w:p>
            <w:pPr>
              <w:spacing w:after="0"/>
              <w:rPr>
                <w:sz w:val="21"/>
                <w:szCs w:val="21"/>
                <w:color w:val="auto"/>
              </w:rPr>
            </w:pPr>
          </w:p>
        </w:tc>
        <w:tc>
          <w:tcPr>
            <w:tcW w:w="1240" w:type="dxa"/>
            <w:vAlign w:val="bottom"/>
            <w:tcBorders>
              <w:bottom w:val="single" w:sz="8" w:color="007CBA"/>
              <w:right w:val="single" w:sz="8" w:color="007CBA"/>
            </w:tcBorders>
            <w:shd w:val="clear" w:color="auto" w:fill="007CBA"/>
          </w:tcPr>
          <w:p>
            <w:pPr>
              <w:ind w:left="140"/>
              <w:spacing w:after="0"/>
              <w:rPr>
                <w:sz w:val="20"/>
                <w:szCs w:val="20"/>
                <w:color w:val="auto"/>
              </w:rPr>
            </w:pPr>
            <w:r>
              <w:rPr>
                <w:rFonts w:ascii="Calibri" w:cs="Calibri" w:eastAsia="Calibri" w:hAnsi="Calibri"/>
                <w:sz w:val="18"/>
                <w:szCs w:val="18"/>
                <w:b w:val="1"/>
                <w:bCs w:val="1"/>
                <w:color w:val="FFFFFF"/>
              </w:rPr>
              <w:t>2023</w:t>
            </w:r>
          </w:p>
        </w:tc>
        <w:tc>
          <w:tcPr>
            <w:tcW w:w="560" w:type="dxa"/>
            <w:vAlign w:val="bottom"/>
            <w:tcBorders>
              <w:bottom w:val="single" w:sz="8" w:color="007CBA"/>
            </w:tcBorders>
            <w:shd w:val="clear" w:color="auto" w:fill="007CBA"/>
          </w:tcPr>
          <w:p>
            <w:pPr>
              <w:spacing w:after="0"/>
              <w:rPr>
                <w:sz w:val="21"/>
                <w:szCs w:val="21"/>
                <w:color w:val="auto"/>
              </w:rPr>
            </w:pPr>
          </w:p>
        </w:tc>
        <w:tc>
          <w:tcPr>
            <w:tcW w:w="1300" w:type="dxa"/>
            <w:vAlign w:val="bottom"/>
            <w:tcBorders>
              <w:bottom w:val="single" w:sz="8" w:color="007CBA"/>
            </w:tcBorders>
            <w:shd w:val="clear" w:color="auto" w:fill="007CBA"/>
          </w:tcPr>
          <w:p>
            <w:pPr>
              <w:ind w:left="240"/>
              <w:spacing w:after="0"/>
              <w:rPr>
                <w:sz w:val="20"/>
                <w:szCs w:val="20"/>
                <w:color w:val="auto"/>
              </w:rPr>
            </w:pPr>
            <w:r>
              <w:rPr>
                <w:rFonts w:ascii="Calibri" w:cs="Calibri" w:eastAsia="Calibri" w:hAnsi="Calibri"/>
                <w:sz w:val="18"/>
                <w:szCs w:val="18"/>
                <w:color w:val="FFFFFF"/>
              </w:rPr>
              <w:t>2022</w:t>
            </w:r>
          </w:p>
        </w:tc>
      </w:tr>
      <w:tr>
        <w:trPr>
          <w:trHeight w:val="215"/>
        </w:trPr>
        <w:tc>
          <w:tcPr>
            <w:tcW w:w="5840" w:type="dxa"/>
            <w:vAlign w:val="bottom"/>
          </w:tcPr>
          <w:p>
            <w:pPr>
              <w:ind w:left="120"/>
              <w:spacing w:after="0" w:line="215" w:lineRule="exact"/>
              <w:rPr>
                <w:sz w:val="20"/>
                <w:szCs w:val="20"/>
                <w:color w:val="auto"/>
              </w:rPr>
            </w:pPr>
            <w:r>
              <w:rPr>
                <w:rFonts w:ascii="Calibri" w:cs="Calibri" w:eastAsia="Calibri" w:hAnsi="Calibri"/>
                <w:sz w:val="18"/>
                <w:szCs w:val="18"/>
                <w:color w:val="auto"/>
              </w:rPr>
              <w:t>Amounts recognized on consolidated balance sheets consist of:</w:t>
            </w:r>
          </w:p>
        </w:tc>
        <w:tc>
          <w:tcPr>
            <w:tcW w:w="1620" w:type="dxa"/>
            <w:vAlign w:val="bottom"/>
            <w:tcBorders>
              <w:right w:val="single" w:sz="8" w:color="007CBA"/>
            </w:tcBorders>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Borders>
              <w:right w:val="single" w:sz="8" w:color="007CBA"/>
            </w:tcBorders>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8"/>
        </w:trPr>
        <w:tc>
          <w:tcPr>
            <w:tcW w:w="5840" w:type="dxa"/>
            <w:vAlign w:val="bottom"/>
          </w:tcPr>
          <w:p>
            <w:pPr>
              <w:spacing w:after="0"/>
              <w:rPr>
                <w:sz w:val="2"/>
                <w:szCs w:val="2"/>
                <w:color w:val="auto"/>
              </w:rPr>
            </w:pPr>
          </w:p>
        </w:tc>
        <w:tc>
          <w:tcPr>
            <w:tcW w:w="1620" w:type="dxa"/>
            <w:vAlign w:val="bottom"/>
            <w:tcBorders>
              <w:right w:val="single" w:sz="8" w:color="007CBA"/>
            </w:tcBorders>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Borders>
              <w:right w:val="single" w:sz="8" w:color="007CBA"/>
            </w:tcBorders>
          </w:tcPr>
          <w:p>
            <w:pPr>
              <w:spacing w:after="0"/>
              <w:rPr>
                <w:sz w:val="2"/>
                <w:szCs w:val="2"/>
                <w:color w:val="auto"/>
              </w:rPr>
            </w:pPr>
          </w:p>
        </w:tc>
        <w:tc>
          <w:tcPr>
            <w:tcW w:w="5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584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Current liability</w:t>
            </w:r>
          </w:p>
        </w:tc>
        <w:tc>
          <w:tcPr>
            <w:tcW w:w="1620" w:type="dxa"/>
            <w:vAlign w:val="bottom"/>
            <w:tcBorders>
              <w:bottom w:val="single" w:sz="8" w:color="E5F1F8"/>
              <w:right w:val="single" w:sz="8" w:color="007CBA"/>
            </w:tcBorders>
            <w:shd w:val="clear" w:color="auto" w:fill="E5F1F8"/>
          </w:tcPr>
          <w:p>
            <w:pPr>
              <w:spacing w:after="0"/>
              <w:rPr>
                <w:sz w:val="19"/>
                <w:szCs w:val="19"/>
                <w:color w:val="auto"/>
              </w:rPr>
            </w:pPr>
          </w:p>
        </w:tc>
        <w:tc>
          <w:tcPr>
            <w:tcW w:w="680" w:type="dxa"/>
            <w:vAlign w:val="bottom"/>
            <w:tcBorders>
              <w:bottom w:val="single" w:sz="8" w:color="E5F1F8"/>
            </w:tcBorders>
            <w:shd w:val="clear" w:color="auto" w:fill="E5F1F8"/>
          </w:tcPr>
          <w:p>
            <w:pPr>
              <w:jc w:val="right"/>
              <w:ind w:right="270"/>
              <w:spacing w:after="0" w:line="215"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(1.0 )</w:t>
            </w:r>
          </w:p>
        </w:tc>
        <w:tc>
          <w:tcPr>
            <w:tcW w:w="56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(1.0 )</w:t>
            </w:r>
          </w:p>
        </w:tc>
      </w:tr>
      <w:tr>
        <w:trPr>
          <w:trHeight w:val="215"/>
        </w:trPr>
        <w:tc>
          <w:tcPr>
            <w:tcW w:w="5840" w:type="dxa"/>
            <w:vAlign w:val="bottom"/>
          </w:tcPr>
          <w:p>
            <w:pPr>
              <w:ind w:left="120"/>
              <w:spacing w:after="0" w:line="215" w:lineRule="exact"/>
              <w:rPr>
                <w:sz w:val="20"/>
                <w:szCs w:val="20"/>
                <w:color w:val="auto"/>
              </w:rPr>
            </w:pPr>
            <w:r>
              <w:rPr>
                <w:rFonts w:ascii="Calibri" w:cs="Calibri" w:eastAsia="Calibri" w:hAnsi="Calibri"/>
                <w:sz w:val="18"/>
                <w:szCs w:val="18"/>
                <w:color w:val="auto"/>
              </w:rPr>
              <w:t>Noncurrent liability</w:t>
            </w: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(7.3 )</w:t>
            </w:r>
          </w:p>
        </w:tc>
        <w:tc>
          <w:tcPr>
            <w:tcW w:w="56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(7.9 )</w:t>
            </w:r>
          </w:p>
        </w:tc>
      </w:tr>
      <w:tr>
        <w:trPr>
          <w:trHeight w:val="28"/>
        </w:trPr>
        <w:tc>
          <w:tcPr>
            <w:tcW w:w="58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1"/>
        </w:trPr>
        <w:tc>
          <w:tcPr>
            <w:tcW w:w="5840" w:type="dxa"/>
            <w:vAlign w:val="bottom"/>
            <w:tcBorders>
              <w:bottom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Net amount recognized at end of year</w:t>
            </w:r>
          </w:p>
        </w:tc>
        <w:tc>
          <w:tcPr>
            <w:tcW w:w="2300" w:type="dxa"/>
            <w:vAlign w:val="bottom"/>
            <w:tcBorders>
              <w:bottom w:val="single" w:sz="8" w:color="E5F1F8"/>
            </w:tcBorders>
            <w:gridSpan w:val="2"/>
            <w:shd w:val="clear" w:color="auto" w:fill="E5F1F8"/>
          </w:tcPr>
          <w:p>
            <w:pPr>
              <w:jc w:val="right"/>
              <w:ind w:right="270"/>
              <w:spacing w:after="0" w:line="208" w:lineRule="exact"/>
              <w:rPr>
                <w:sz w:val="20"/>
                <w:szCs w:val="20"/>
                <w:color w:val="auto"/>
              </w:rPr>
            </w:pPr>
            <w:r>
              <w:rPr>
                <w:rFonts w:ascii="Calibri" w:cs="Calibri" w:eastAsia="Calibri" w:hAnsi="Calibri"/>
                <w:sz w:val="18"/>
                <w:szCs w:val="18"/>
                <w:b w:val="1"/>
                <w:bCs w:val="1"/>
                <w:color w:val="auto"/>
              </w:rPr>
              <w:t>$</w:t>
            </w:r>
          </w:p>
        </w:tc>
        <w:tc>
          <w:tcPr>
            <w:tcW w:w="1240" w:type="dxa"/>
            <w:vAlign w:val="bottom"/>
            <w:tcBorders>
              <w:bottom w:val="single" w:sz="8" w:color="E5F1F8"/>
              <w:right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(8.3 )</w:t>
            </w:r>
          </w:p>
        </w:tc>
        <w:tc>
          <w:tcPr>
            <w:tcW w:w="56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300" w:type="dxa"/>
            <w:vAlign w:val="bottom"/>
            <w:tcBorders>
              <w:bottom w:val="single" w:sz="8" w:color="E5F1F8"/>
            </w:tcBorders>
            <w:shd w:val="clear" w:color="auto" w:fill="E5F1F8"/>
          </w:tcPr>
          <w:p>
            <w:pPr>
              <w:jc w:val="right"/>
              <w:spacing w:after="0" w:line="208" w:lineRule="exact"/>
              <w:rPr>
                <w:sz w:val="20"/>
                <w:szCs w:val="20"/>
                <w:color w:val="auto"/>
              </w:rPr>
            </w:pPr>
            <w:r>
              <w:rPr>
                <w:rFonts w:ascii="Calibri" w:cs="Calibri" w:eastAsia="Calibri" w:hAnsi="Calibri"/>
                <w:sz w:val="18"/>
                <w:szCs w:val="18"/>
                <w:color w:val="auto"/>
              </w:rPr>
              <w:t>(8.9 )</w:t>
            </w:r>
          </w:p>
        </w:tc>
      </w:tr>
      <w:tr>
        <w:trPr>
          <w:trHeight w:val="362"/>
        </w:trPr>
        <w:tc>
          <w:tcPr>
            <w:tcW w:w="8140" w:type="dxa"/>
            <w:vAlign w:val="bottom"/>
            <w:tcBorders>
              <w:top w:val="single" w:sz="8" w:color="auto"/>
            </w:tcBorders>
            <w:gridSpan w:val="3"/>
          </w:tcPr>
          <w:p>
            <w:pPr>
              <w:spacing w:after="0"/>
              <w:rPr>
                <w:sz w:val="20"/>
                <w:szCs w:val="20"/>
                <w:color w:val="auto"/>
              </w:rPr>
            </w:pPr>
            <w:r>
              <w:rPr>
                <w:rFonts w:ascii="Calibri" w:cs="Calibri" w:eastAsia="Calibri" w:hAnsi="Calibri"/>
                <w:sz w:val="18"/>
                <w:szCs w:val="18"/>
                <w:color w:val="auto"/>
              </w:rPr>
              <w:t>Weighted-average assumptons used to determine the postretrement beneft obligaton as of December 31 are:</w:t>
            </w:r>
          </w:p>
        </w:tc>
        <w:tc>
          <w:tcPr>
            <w:tcW w:w="1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131"/>
        </w:trPr>
        <w:tc>
          <w:tcPr>
            <w:tcW w:w="58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23"/>
        </w:trPr>
        <w:tc>
          <w:tcPr>
            <w:tcW w:w="5840" w:type="dxa"/>
            <w:vAlign w:val="bottom"/>
            <w:tcBorders>
              <w:bottom w:val="single" w:sz="8" w:color="007CBA"/>
            </w:tcBorders>
            <w:shd w:val="clear" w:color="auto" w:fill="007CBA"/>
          </w:tcPr>
          <w:p>
            <w:pPr>
              <w:spacing w:after="0"/>
              <w:rPr>
                <w:sz w:val="19"/>
                <w:szCs w:val="19"/>
                <w:color w:val="auto"/>
              </w:rPr>
            </w:pPr>
          </w:p>
        </w:tc>
        <w:tc>
          <w:tcPr>
            <w:tcW w:w="1620" w:type="dxa"/>
            <w:vAlign w:val="bottom"/>
            <w:tcBorders>
              <w:bottom w:val="single" w:sz="8" w:color="007CBA"/>
              <w:right w:val="single" w:sz="8" w:color="007CBA"/>
            </w:tcBorders>
            <w:shd w:val="clear" w:color="auto" w:fill="007CBA"/>
          </w:tcPr>
          <w:p>
            <w:pPr>
              <w:spacing w:after="0"/>
              <w:rPr>
                <w:sz w:val="19"/>
                <w:szCs w:val="19"/>
                <w:color w:val="auto"/>
              </w:rPr>
            </w:pPr>
          </w:p>
        </w:tc>
        <w:tc>
          <w:tcPr>
            <w:tcW w:w="680" w:type="dxa"/>
            <w:vAlign w:val="bottom"/>
            <w:tcBorders>
              <w:bottom w:val="single" w:sz="8" w:color="007CBA"/>
            </w:tcBorders>
            <w:shd w:val="clear" w:color="auto" w:fill="007CBA"/>
          </w:tcPr>
          <w:p>
            <w:pPr>
              <w:spacing w:after="0"/>
              <w:rPr>
                <w:sz w:val="19"/>
                <w:szCs w:val="19"/>
                <w:color w:val="auto"/>
              </w:rPr>
            </w:pPr>
          </w:p>
        </w:tc>
        <w:tc>
          <w:tcPr>
            <w:tcW w:w="1240" w:type="dxa"/>
            <w:vAlign w:val="bottom"/>
            <w:tcBorders>
              <w:bottom w:val="single" w:sz="8" w:color="007CBA"/>
              <w:right w:val="single" w:sz="8" w:color="007CBA"/>
            </w:tcBorders>
            <w:shd w:val="clear" w:color="auto" w:fill="007CBA"/>
          </w:tcPr>
          <w:p>
            <w:pPr>
              <w:jc w:val="right"/>
              <w:ind w:right="590"/>
              <w:spacing w:after="0" w:line="215" w:lineRule="exact"/>
              <w:rPr>
                <w:sz w:val="20"/>
                <w:szCs w:val="20"/>
                <w:color w:val="auto"/>
              </w:rPr>
            </w:pPr>
            <w:r>
              <w:rPr>
                <w:rFonts w:ascii="Calibri" w:cs="Calibri" w:eastAsia="Calibri" w:hAnsi="Calibri"/>
                <w:sz w:val="18"/>
                <w:szCs w:val="18"/>
                <w:b w:val="1"/>
                <w:bCs w:val="1"/>
                <w:color w:val="FFFFFF"/>
              </w:rPr>
              <w:t>2023</w:t>
            </w:r>
          </w:p>
        </w:tc>
        <w:tc>
          <w:tcPr>
            <w:tcW w:w="560" w:type="dxa"/>
            <w:vAlign w:val="bottom"/>
            <w:tcBorders>
              <w:bottom w:val="single" w:sz="8" w:color="007CBA"/>
            </w:tcBorders>
            <w:shd w:val="clear" w:color="auto" w:fill="007CBA"/>
          </w:tcPr>
          <w:p>
            <w:pPr>
              <w:spacing w:after="0"/>
              <w:rPr>
                <w:sz w:val="19"/>
                <w:szCs w:val="19"/>
                <w:color w:val="auto"/>
              </w:rPr>
            </w:pPr>
          </w:p>
        </w:tc>
        <w:tc>
          <w:tcPr>
            <w:tcW w:w="1300" w:type="dxa"/>
            <w:vAlign w:val="bottom"/>
            <w:tcBorders>
              <w:bottom w:val="single" w:sz="8" w:color="007CBA"/>
            </w:tcBorders>
            <w:shd w:val="clear" w:color="auto" w:fill="007CBA"/>
          </w:tcPr>
          <w:p>
            <w:pPr>
              <w:jc w:val="right"/>
              <w:ind w:right="570"/>
              <w:spacing w:after="0" w:line="215" w:lineRule="exact"/>
              <w:rPr>
                <w:sz w:val="20"/>
                <w:szCs w:val="20"/>
                <w:color w:val="auto"/>
              </w:rPr>
            </w:pPr>
            <w:r>
              <w:rPr>
                <w:rFonts w:ascii="Calibri" w:cs="Calibri" w:eastAsia="Calibri" w:hAnsi="Calibri"/>
                <w:sz w:val="18"/>
                <w:szCs w:val="18"/>
                <w:color w:val="FFFFFF"/>
              </w:rPr>
              <w:t>2022</w:t>
            </w:r>
          </w:p>
        </w:tc>
      </w:tr>
      <w:tr>
        <w:trPr>
          <w:trHeight w:val="215"/>
        </w:trPr>
        <w:tc>
          <w:tcPr>
            <w:tcW w:w="5840" w:type="dxa"/>
            <w:vAlign w:val="bottom"/>
          </w:tcPr>
          <w:p>
            <w:pPr>
              <w:ind w:left="120"/>
              <w:spacing w:after="0" w:line="215" w:lineRule="exact"/>
              <w:rPr>
                <w:sz w:val="20"/>
                <w:szCs w:val="20"/>
                <w:color w:val="auto"/>
              </w:rPr>
            </w:pPr>
            <w:r>
              <w:rPr>
                <w:rFonts w:ascii="Calibri" w:cs="Calibri" w:eastAsia="Calibri" w:hAnsi="Calibri"/>
                <w:sz w:val="18"/>
                <w:szCs w:val="18"/>
                <w:color w:val="auto"/>
              </w:rPr>
              <w:t>Discount rate</w:t>
            </w:r>
          </w:p>
        </w:tc>
        <w:tc>
          <w:tcPr>
            <w:tcW w:w="1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ind w:left="160"/>
              <w:spacing w:after="0" w:line="215" w:lineRule="exact"/>
              <w:rPr>
                <w:sz w:val="20"/>
                <w:szCs w:val="20"/>
                <w:color w:val="auto"/>
              </w:rPr>
            </w:pPr>
            <w:r>
              <w:rPr>
                <w:rFonts w:ascii="Calibri" w:cs="Calibri" w:eastAsia="Calibri" w:hAnsi="Calibri"/>
                <w:sz w:val="18"/>
                <w:szCs w:val="18"/>
                <w:b w:val="1"/>
                <w:bCs w:val="1"/>
                <w:color w:val="auto"/>
              </w:rPr>
              <w:t>5.79%</w:t>
            </w:r>
          </w:p>
        </w:tc>
        <w:tc>
          <w:tcPr>
            <w:tcW w:w="560" w:type="dxa"/>
            <w:vAlign w:val="bottom"/>
          </w:tcPr>
          <w:p>
            <w:pPr>
              <w:spacing w:after="0"/>
              <w:rPr>
                <w:sz w:val="18"/>
                <w:szCs w:val="18"/>
                <w:color w:val="auto"/>
              </w:rPr>
            </w:pPr>
          </w:p>
        </w:tc>
        <w:tc>
          <w:tcPr>
            <w:tcW w:w="1300" w:type="dxa"/>
            <w:vAlign w:val="bottom"/>
          </w:tcPr>
          <w:p>
            <w:pPr>
              <w:ind w:left="240"/>
              <w:spacing w:after="0" w:line="215" w:lineRule="exact"/>
              <w:rPr>
                <w:sz w:val="20"/>
                <w:szCs w:val="20"/>
                <w:color w:val="auto"/>
              </w:rPr>
            </w:pPr>
            <w:r>
              <w:rPr>
                <w:rFonts w:ascii="Calibri" w:cs="Calibri" w:eastAsia="Calibri" w:hAnsi="Calibri"/>
                <w:sz w:val="18"/>
                <w:szCs w:val="18"/>
                <w:color w:val="auto"/>
              </w:rPr>
              <w:t>6.02%</w:t>
            </w:r>
          </w:p>
        </w:tc>
      </w:tr>
      <w:tr>
        <w:trPr>
          <w:trHeight w:val="28"/>
        </w:trPr>
        <w:tc>
          <w:tcPr>
            <w:tcW w:w="9380" w:type="dxa"/>
            <w:vAlign w:val="bottom"/>
            <w:tcBorders>
              <w:bottom w:val="single" w:sz="8" w:color="auto"/>
            </w:tcBorders>
            <w:gridSpan w:val="4"/>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62"/>
        </w:trPr>
        <w:tc>
          <w:tcPr>
            <w:tcW w:w="9380" w:type="dxa"/>
            <w:vAlign w:val="bottom"/>
            <w:gridSpan w:val="4"/>
          </w:tcPr>
          <w:p>
            <w:pPr>
              <w:spacing w:after="0"/>
              <w:rPr>
                <w:sz w:val="20"/>
                <w:szCs w:val="20"/>
                <w:color w:val="auto"/>
              </w:rPr>
            </w:pPr>
            <w:r>
              <w:rPr>
                <w:rFonts w:ascii="Calibri" w:cs="Calibri" w:eastAsia="Calibri" w:hAnsi="Calibri"/>
                <w:sz w:val="18"/>
                <w:szCs w:val="18"/>
                <w:color w:val="auto"/>
              </w:rPr>
              <w:t>Weighted-average assumptons used to determine net postretrement beneft credit for the years ended December 31 are:</w:t>
            </w: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1"/>
        </w:trPr>
        <w:tc>
          <w:tcPr>
            <w:tcW w:w="5840" w:type="dxa"/>
            <w:vAlign w:val="bottom"/>
          </w:tcPr>
          <w:p>
            <w:pPr>
              <w:spacing w:after="0"/>
              <w:rPr>
                <w:sz w:val="11"/>
                <w:szCs w:val="11"/>
                <w:color w:val="auto"/>
              </w:rPr>
            </w:pPr>
          </w:p>
        </w:tc>
        <w:tc>
          <w:tcPr>
            <w:tcW w:w="2300" w:type="dxa"/>
            <w:vAlign w:val="bottom"/>
            <w:gridSpan w:val="2"/>
          </w:tcPr>
          <w:p>
            <w:pPr>
              <w:spacing w:after="0"/>
              <w:rPr>
                <w:sz w:val="11"/>
                <w:szCs w:val="11"/>
                <w:color w:val="auto"/>
              </w:rPr>
            </w:pPr>
          </w:p>
        </w:tc>
        <w:tc>
          <w:tcPr>
            <w:tcW w:w="1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23"/>
        </w:trPr>
        <w:tc>
          <w:tcPr>
            <w:tcW w:w="5840" w:type="dxa"/>
            <w:vAlign w:val="bottom"/>
            <w:tcBorders>
              <w:bottom w:val="single" w:sz="8" w:color="007CBA"/>
            </w:tcBorders>
            <w:shd w:val="clear" w:color="auto" w:fill="007CBA"/>
          </w:tcPr>
          <w:p>
            <w:pPr>
              <w:spacing w:after="0"/>
              <w:rPr>
                <w:sz w:val="19"/>
                <w:szCs w:val="19"/>
                <w:color w:val="auto"/>
              </w:rPr>
            </w:pPr>
          </w:p>
        </w:tc>
        <w:tc>
          <w:tcPr>
            <w:tcW w:w="2300" w:type="dxa"/>
            <w:vAlign w:val="bottom"/>
            <w:tcBorders>
              <w:bottom w:val="single" w:sz="8" w:color="007CBA"/>
            </w:tcBorders>
            <w:gridSpan w:val="2"/>
            <w:shd w:val="clear" w:color="auto" w:fill="007CBA"/>
          </w:tcPr>
          <w:p>
            <w:pPr>
              <w:jc w:val="right"/>
              <w:ind w:right="570"/>
              <w:spacing w:after="0" w:line="215" w:lineRule="exact"/>
              <w:rPr>
                <w:sz w:val="20"/>
                <w:szCs w:val="20"/>
                <w:color w:val="auto"/>
              </w:rPr>
            </w:pPr>
            <w:r>
              <w:rPr>
                <w:rFonts w:ascii="Calibri" w:cs="Calibri" w:eastAsia="Calibri" w:hAnsi="Calibri"/>
                <w:sz w:val="18"/>
                <w:szCs w:val="18"/>
                <w:b w:val="1"/>
                <w:bCs w:val="1"/>
                <w:color w:val="FFFFFF"/>
              </w:rPr>
              <w:t>2023</w:t>
            </w:r>
          </w:p>
        </w:tc>
        <w:tc>
          <w:tcPr>
            <w:tcW w:w="1240" w:type="dxa"/>
            <w:vAlign w:val="bottom"/>
            <w:tcBorders>
              <w:bottom w:val="single" w:sz="8" w:color="007CBA"/>
              <w:right w:val="single" w:sz="8" w:color="007CBA"/>
            </w:tcBorders>
            <w:shd w:val="clear" w:color="auto" w:fill="007CBA"/>
          </w:tcPr>
          <w:p>
            <w:pPr>
              <w:jc w:val="right"/>
              <w:ind w:right="190"/>
              <w:spacing w:after="0" w:line="215" w:lineRule="exact"/>
              <w:rPr>
                <w:sz w:val="20"/>
                <w:szCs w:val="20"/>
                <w:color w:val="auto"/>
              </w:rPr>
            </w:pPr>
            <w:r>
              <w:rPr>
                <w:rFonts w:ascii="Calibri" w:cs="Calibri" w:eastAsia="Calibri" w:hAnsi="Calibri"/>
                <w:sz w:val="18"/>
                <w:szCs w:val="18"/>
                <w:color w:val="FFFFFF"/>
              </w:rPr>
              <w:t>2022</w:t>
            </w:r>
          </w:p>
        </w:tc>
        <w:tc>
          <w:tcPr>
            <w:tcW w:w="560" w:type="dxa"/>
            <w:vAlign w:val="bottom"/>
            <w:tcBorders>
              <w:bottom w:val="single" w:sz="8" w:color="007CBA"/>
            </w:tcBorders>
            <w:shd w:val="clear" w:color="auto" w:fill="007CBA"/>
          </w:tcPr>
          <w:p>
            <w:pPr>
              <w:spacing w:after="0"/>
              <w:rPr>
                <w:sz w:val="19"/>
                <w:szCs w:val="19"/>
                <w:color w:val="auto"/>
              </w:rPr>
            </w:pPr>
          </w:p>
        </w:tc>
        <w:tc>
          <w:tcPr>
            <w:tcW w:w="1300" w:type="dxa"/>
            <w:vAlign w:val="bottom"/>
            <w:tcBorders>
              <w:bottom w:val="single" w:sz="8" w:color="007CBA"/>
            </w:tcBorders>
            <w:shd w:val="clear" w:color="auto" w:fill="007CBA"/>
          </w:tcPr>
          <w:p>
            <w:pPr>
              <w:jc w:val="right"/>
              <w:ind w:right="450"/>
              <w:spacing w:after="0" w:line="215" w:lineRule="exact"/>
              <w:rPr>
                <w:sz w:val="20"/>
                <w:szCs w:val="20"/>
                <w:color w:val="auto"/>
              </w:rPr>
            </w:pPr>
            <w:r>
              <w:rPr>
                <w:rFonts w:ascii="Calibri" w:cs="Calibri" w:eastAsia="Calibri" w:hAnsi="Calibri"/>
                <w:sz w:val="18"/>
                <w:szCs w:val="18"/>
                <w:color w:val="FFFFFF"/>
              </w:rPr>
              <w:t>2021</w:t>
            </w:r>
          </w:p>
        </w:tc>
      </w:tr>
      <w:tr>
        <w:trPr>
          <w:trHeight w:val="215"/>
        </w:trPr>
        <w:tc>
          <w:tcPr>
            <w:tcW w:w="5840" w:type="dxa"/>
            <w:vAlign w:val="bottom"/>
          </w:tcPr>
          <w:p>
            <w:pPr>
              <w:ind w:left="120"/>
              <w:spacing w:after="0" w:line="215" w:lineRule="exact"/>
              <w:rPr>
                <w:sz w:val="20"/>
                <w:szCs w:val="20"/>
                <w:color w:val="auto"/>
              </w:rPr>
            </w:pPr>
            <w:r>
              <w:rPr>
                <w:rFonts w:ascii="Calibri" w:cs="Calibri" w:eastAsia="Calibri" w:hAnsi="Calibri"/>
                <w:sz w:val="18"/>
                <w:szCs w:val="18"/>
                <w:color w:val="auto"/>
              </w:rPr>
              <w:t>Discount rate</w:t>
            </w:r>
          </w:p>
        </w:tc>
        <w:tc>
          <w:tcPr>
            <w:tcW w:w="2300" w:type="dxa"/>
            <w:vAlign w:val="bottom"/>
            <w:gridSpan w:val="2"/>
          </w:tcPr>
          <w:p>
            <w:pPr>
              <w:jc w:val="right"/>
              <w:ind w:right="530"/>
              <w:spacing w:after="0" w:line="215" w:lineRule="exact"/>
              <w:rPr>
                <w:sz w:val="20"/>
                <w:szCs w:val="20"/>
                <w:color w:val="auto"/>
              </w:rPr>
            </w:pPr>
            <w:r>
              <w:rPr>
                <w:rFonts w:ascii="Calibri" w:cs="Calibri" w:eastAsia="Calibri" w:hAnsi="Calibri"/>
                <w:sz w:val="18"/>
                <w:szCs w:val="18"/>
                <w:b w:val="1"/>
                <w:bCs w:val="1"/>
                <w:color w:val="auto"/>
              </w:rPr>
              <w:t>6.02%</w:t>
            </w:r>
          </w:p>
        </w:tc>
        <w:tc>
          <w:tcPr>
            <w:tcW w:w="12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3.02%</w:t>
            </w:r>
          </w:p>
        </w:tc>
        <w:tc>
          <w:tcPr>
            <w:tcW w:w="560" w:type="dxa"/>
            <w:vAlign w:val="bottom"/>
          </w:tcPr>
          <w:p>
            <w:pPr>
              <w:spacing w:after="0"/>
              <w:rPr>
                <w:sz w:val="18"/>
                <w:szCs w:val="18"/>
                <w:color w:val="auto"/>
              </w:rPr>
            </w:pPr>
          </w:p>
        </w:tc>
        <w:tc>
          <w:tcPr>
            <w:tcW w:w="1300" w:type="dxa"/>
            <w:vAlign w:val="bottom"/>
          </w:tcPr>
          <w:p>
            <w:pPr>
              <w:jc w:val="right"/>
              <w:ind w:right="410"/>
              <w:spacing w:after="0" w:line="215" w:lineRule="exact"/>
              <w:rPr>
                <w:sz w:val="20"/>
                <w:szCs w:val="20"/>
                <w:color w:val="auto"/>
              </w:rPr>
            </w:pPr>
            <w:r>
              <w:rPr>
                <w:rFonts w:ascii="Calibri" w:cs="Calibri" w:eastAsia="Calibri" w:hAnsi="Calibri"/>
                <w:sz w:val="18"/>
                <w:szCs w:val="18"/>
                <w:color w:val="auto"/>
              </w:rPr>
              <w:t>2.48%</w:t>
            </w:r>
          </w:p>
        </w:tc>
      </w:tr>
      <w:tr>
        <w:trPr>
          <w:trHeight w:val="28"/>
        </w:trPr>
        <w:tc>
          <w:tcPr>
            <w:tcW w:w="5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-3492500</wp:posOffset>
            </wp:positionV>
            <wp:extent cx="34290" cy="3683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-3492500</wp:posOffset>
            </wp:positionV>
            <wp:extent cx="33655" cy="3683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-2549525</wp:posOffset>
            </wp:positionV>
            <wp:extent cx="34290" cy="18859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-2549525</wp:posOffset>
            </wp:positionV>
            <wp:extent cx="33655" cy="18859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-1632585</wp:posOffset>
            </wp:positionV>
            <wp:extent cx="34290" cy="3683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-1632585</wp:posOffset>
            </wp:positionV>
            <wp:extent cx="33655" cy="3683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-808990</wp:posOffset>
            </wp:positionV>
            <wp:extent cx="34290" cy="18859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-808990</wp:posOffset>
            </wp:positionV>
            <wp:extent cx="34290" cy="18859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-174625</wp:posOffset>
            </wp:positionV>
            <wp:extent cx="33655" cy="18796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-174625</wp:posOffset>
            </wp:positionV>
            <wp:extent cx="33655" cy="1879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-174625</wp:posOffset>
            </wp:positionV>
            <wp:extent cx="34290" cy="18796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34290" cy="18796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2023 and 2022, the Company estmated the remaining lives of partcipants in the postretrement beneft plans using the Pri-2012 Base tables. The no-collar table was used for salaried partcipants and the blue-collar table was used for hourly partcipants; both tables were adjusted to refect the experience of the Company’s partcipants. The Company used the MP-2020 mortality improvement scale for 2023 and 2022.</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Assumed health care cost trend rates at December 31 are: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60" w:type="dxa"/>
            <w:vAlign w:val="bottom"/>
            <w:tcBorders>
              <w:right w:val="single" w:sz="8" w:color="007CBA"/>
            </w:tcBorders>
            <w:shd w:val="clear" w:color="auto" w:fill="007CBA"/>
          </w:tcPr>
          <w:p>
            <w:pPr>
              <w:spacing w:after="0"/>
              <w:rPr>
                <w:sz w:val="21"/>
                <w:szCs w:val="21"/>
                <w:color w:val="auto"/>
              </w:rPr>
            </w:pPr>
          </w:p>
        </w:tc>
        <w:tc>
          <w:tcPr>
            <w:tcW w:w="1900" w:type="dxa"/>
            <w:vAlign w:val="bottom"/>
            <w:tcBorders>
              <w:right w:val="single" w:sz="8" w:color="007CBA"/>
            </w:tcBorders>
            <w:shd w:val="clear" w:color="auto" w:fill="007CBA"/>
          </w:tcPr>
          <w:p>
            <w:pPr>
              <w:jc w:val="center"/>
              <w:ind w:left="130"/>
              <w:spacing w:after="0"/>
              <w:rPr>
                <w:sz w:val="20"/>
                <w:szCs w:val="20"/>
                <w:color w:val="auto"/>
              </w:rPr>
            </w:pPr>
            <w:r>
              <w:rPr>
                <w:rFonts w:ascii="Calibri" w:cs="Calibri" w:eastAsia="Calibri" w:hAnsi="Calibri"/>
                <w:sz w:val="18"/>
                <w:szCs w:val="18"/>
                <w:b w:val="1"/>
                <w:bCs w:val="1"/>
                <w:color w:val="FFFFFF"/>
                <w:w w:val="98"/>
              </w:rPr>
              <w:t>2023</w:t>
            </w:r>
          </w:p>
        </w:tc>
        <w:tc>
          <w:tcPr>
            <w:tcW w:w="1880" w:type="dxa"/>
            <w:vAlign w:val="bottom"/>
            <w:shd w:val="clear" w:color="auto" w:fill="007CBA"/>
          </w:tcPr>
          <w:p>
            <w:pPr>
              <w:jc w:val="center"/>
              <w:ind w:left="110"/>
              <w:spacing w:after="0"/>
              <w:rPr>
                <w:sz w:val="20"/>
                <w:szCs w:val="20"/>
                <w:color w:val="auto"/>
              </w:rPr>
            </w:pPr>
            <w:r>
              <w:rPr>
                <w:rFonts w:ascii="Calibri" w:cs="Calibri" w:eastAsia="Calibri" w:hAnsi="Calibri"/>
                <w:sz w:val="18"/>
                <w:szCs w:val="18"/>
                <w:color w:val="FFFFFF"/>
                <w:w w:val="98"/>
              </w:rPr>
              <w:t>2022</w:t>
            </w: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Health care cost trend rate assumed for next year</w:t>
            </w:r>
          </w:p>
        </w:tc>
        <w:tc>
          <w:tcPr>
            <w:tcW w:w="1900" w:type="dxa"/>
            <w:vAlign w:val="bottom"/>
            <w:tcBorders>
              <w:right w:val="single" w:sz="8" w:color="007CBA"/>
            </w:tcBorders>
          </w:tcPr>
          <w:p>
            <w:pPr>
              <w:jc w:val="center"/>
              <w:ind w:left="130"/>
              <w:spacing w:after="0" w:line="215" w:lineRule="exact"/>
              <w:rPr>
                <w:sz w:val="20"/>
                <w:szCs w:val="20"/>
                <w:color w:val="auto"/>
              </w:rPr>
            </w:pPr>
            <w:r>
              <w:rPr>
                <w:rFonts w:ascii="Calibri" w:cs="Calibri" w:eastAsia="Calibri" w:hAnsi="Calibri"/>
                <w:sz w:val="18"/>
                <w:szCs w:val="18"/>
                <w:b w:val="1"/>
                <w:bCs w:val="1"/>
                <w:color w:val="auto"/>
                <w:w w:val="97"/>
              </w:rPr>
              <w:t>6.50%</w:t>
            </w:r>
          </w:p>
        </w:tc>
        <w:tc>
          <w:tcPr>
            <w:tcW w:w="1880" w:type="dxa"/>
            <w:vAlign w:val="bottom"/>
          </w:tcPr>
          <w:p>
            <w:pPr>
              <w:jc w:val="center"/>
              <w:ind w:left="110"/>
              <w:spacing w:after="0" w:line="215" w:lineRule="exact"/>
              <w:rPr>
                <w:sz w:val="20"/>
                <w:szCs w:val="20"/>
                <w:color w:val="auto"/>
              </w:rPr>
            </w:pPr>
            <w:r>
              <w:rPr>
                <w:rFonts w:ascii="Calibri" w:cs="Calibri" w:eastAsia="Calibri" w:hAnsi="Calibri"/>
                <w:sz w:val="18"/>
                <w:szCs w:val="18"/>
                <w:color w:val="auto"/>
                <w:w w:val="98"/>
              </w:rPr>
              <w:t>6.75%</w:t>
            </w:r>
          </w:p>
        </w:tc>
      </w:tr>
      <w:tr>
        <w:trPr>
          <w:trHeight w:val="28"/>
        </w:trPr>
        <w:tc>
          <w:tcPr>
            <w:tcW w:w="7460" w:type="dxa"/>
            <w:vAlign w:val="bottom"/>
            <w:tcBorders>
              <w:right w:val="single" w:sz="8" w:color="007CBA"/>
            </w:tcBorders>
          </w:tcPr>
          <w:p>
            <w:pPr>
              <w:spacing w:after="0"/>
              <w:rPr>
                <w:sz w:val="2"/>
                <w:szCs w:val="2"/>
                <w:color w:val="auto"/>
              </w:rPr>
            </w:pPr>
          </w:p>
        </w:tc>
        <w:tc>
          <w:tcPr>
            <w:tcW w:w="1900" w:type="dxa"/>
            <w:vAlign w:val="bottom"/>
            <w:tcBorders>
              <w:right w:val="single" w:sz="8" w:color="007CBA"/>
            </w:tcBorders>
          </w:tcPr>
          <w:p>
            <w:pPr>
              <w:spacing w:after="0"/>
              <w:rPr>
                <w:sz w:val="2"/>
                <w:szCs w:val="2"/>
                <w:color w:val="auto"/>
              </w:rPr>
            </w:pPr>
          </w:p>
        </w:tc>
        <w:tc>
          <w:tcPr>
            <w:tcW w:w="1880" w:type="dxa"/>
            <w:vAlign w:val="bottom"/>
          </w:tcPr>
          <w:p>
            <w:pPr>
              <w:spacing w:after="0"/>
              <w:rPr>
                <w:sz w:val="2"/>
                <w:szCs w:val="2"/>
                <w:color w:val="auto"/>
              </w:rPr>
            </w:pPr>
          </w:p>
        </w:tc>
      </w:tr>
      <w:tr>
        <w:trPr>
          <w:trHeight w:val="223"/>
        </w:trPr>
        <w:tc>
          <w:tcPr>
            <w:tcW w:w="74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Rate to which the cost trend rate gradually declines</w:t>
            </w:r>
          </w:p>
        </w:tc>
        <w:tc>
          <w:tcPr>
            <w:tcW w:w="1900" w:type="dxa"/>
            <w:vAlign w:val="bottom"/>
            <w:tcBorders>
              <w:bottom w:val="single" w:sz="8" w:color="E5F1F8"/>
              <w:right w:val="single" w:sz="8" w:color="007CBA"/>
            </w:tcBorders>
            <w:shd w:val="clear" w:color="auto" w:fill="E5F1F8"/>
          </w:tcPr>
          <w:p>
            <w:pPr>
              <w:jc w:val="center"/>
              <w:ind w:left="130"/>
              <w:spacing w:after="0" w:line="215" w:lineRule="exact"/>
              <w:rPr>
                <w:sz w:val="20"/>
                <w:szCs w:val="20"/>
                <w:color w:val="auto"/>
              </w:rPr>
            </w:pPr>
            <w:r>
              <w:rPr>
                <w:rFonts w:ascii="Calibri" w:cs="Calibri" w:eastAsia="Calibri" w:hAnsi="Calibri"/>
                <w:sz w:val="18"/>
                <w:szCs w:val="18"/>
                <w:b w:val="1"/>
                <w:bCs w:val="1"/>
                <w:color w:val="auto"/>
                <w:w w:val="97"/>
              </w:rPr>
              <w:t>4.75%</w:t>
            </w:r>
          </w:p>
        </w:tc>
        <w:tc>
          <w:tcPr>
            <w:tcW w:w="1880" w:type="dxa"/>
            <w:vAlign w:val="bottom"/>
            <w:tcBorders>
              <w:bottom w:val="single" w:sz="8" w:color="E5F1F8"/>
            </w:tcBorders>
            <w:shd w:val="clear" w:color="auto" w:fill="E5F1F8"/>
          </w:tcPr>
          <w:p>
            <w:pPr>
              <w:jc w:val="center"/>
              <w:ind w:left="110"/>
              <w:spacing w:after="0" w:line="215" w:lineRule="exact"/>
              <w:rPr>
                <w:sz w:val="20"/>
                <w:szCs w:val="20"/>
                <w:color w:val="auto"/>
              </w:rPr>
            </w:pPr>
            <w:r>
              <w:rPr>
                <w:rFonts w:ascii="Calibri" w:cs="Calibri" w:eastAsia="Calibri" w:hAnsi="Calibri"/>
                <w:sz w:val="18"/>
                <w:szCs w:val="18"/>
                <w:color w:val="auto"/>
                <w:w w:val="98"/>
              </w:rPr>
              <w:t>4.75%</w:t>
            </w:r>
          </w:p>
        </w:tc>
      </w:tr>
      <w:tr>
        <w:trPr>
          <w:trHeight w:val="215"/>
        </w:trPr>
        <w:tc>
          <w:tcPr>
            <w:tcW w:w="7460" w:type="dxa"/>
            <w:vAlign w:val="bottom"/>
          </w:tcPr>
          <w:p>
            <w:pPr>
              <w:ind w:left="120"/>
              <w:spacing w:after="0" w:line="215" w:lineRule="exact"/>
              <w:rPr>
                <w:sz w:val="20"/>
                <w:szCs w:val="20"/>
                <w:color w:val="auto"/>
              </w:rPr>
            </w:pPr>
            <w:r>
              <w:rPr>
                <w:rFonts w:ascii="Calibri" w:cs="Calibri" w:eastAsia="Calibri" w:hAnsi="Calibri"/>
                <w:sz w:val="18"/>
                <w:szCs w:val="18"/>
                <w:color w:val="auto"/>
              </w:rPr>
              <w:t>Year the rate reaches the ultmate rate</w:t>
            </w:r>
          </w:p>
        </w:tc>
        <w:tc>
          <w:tcPr>
            <w:tcW w:w="1900" w:type="dxa"/>
            <w:vAlign w:val="bottom"/>
          </w:tcPr>
          <w:p>
            <w:pPr>
              <w:jc w:val="center"/>
              <w:ind w:left="130"/>
              <w:spacing w:after="0" w:line="215" w:lineRule="exact"/>
              <w:rPr>
                <w:sz w:val="20"/>
                <w:szCs w:val="20"/>
                <w:color w:val="auto"/>
              </w:rPr>
            </w:pPr>
            <w:r>
              <w:rPr>
                <w:rFonts w:ascii="Calibri" w:cs="Calibri" w:eastAsia="Calibri" w:hAnsi="Calibri"/>
                <w:sz w:val="18"/>
                <w:szCs w:val="18"/>
                <w:b w:val="1"/>
                <w:bCs w:val="1"/>
                <w:color w:val="auto"/>
                <w:w w:val="98"/>
              </w:rPr>
              <w:t>2031</w:t>
            </w:r>
          </w:p>
        </w:tc>
        <w:tc>
          <w:tcPr>
            <w:tcW w:w="1880" w:type="dxa"/>
            <w:vAlign w:val="bottom"/>
          </w:tcPr>
          <w:p>
            <w:pPr>
              <w:jc w:val="center"/>
              <w:ind w:left="110"/>
              <w:spacing w:after="0" w:line="215" w:lineRule="exact"/>
              <w:rPr>
                <w:sz w:val="20"/>
                <w:szCs w:val="20"/>
                <w:color w:val="auto"/>
              </w:rPr>
            </w:pPr>
            <w:r>
              <w:rPr>
                <w:rFonts w:ascii="Calibri" w:cs="Calibri" w:eastAsia="Calibri" w:hAnsi="Calibri"/>
                <w:sz w:val="18"/>
                <w:szCs w:val="18"/>
                <w:color w:val="auto"/>
                <w:w w:val="98"/>
              </w:rPr>
              <w:t>2031</w:t>
            </w:r>
          </w:p>
        </w:tc>
      </w:tr>
      <w:tr>
        <w:trPr>
          <w:trHeight w:val="28"/>
        </w:trPr>
        <w:tc>
          <w:tcPr>
            <w:tcW w:w="7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-174625</wp:posOffset>
            </wp:positionV>
            <wp:extent cx="34290" cy="18796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-174625</wp:posOffset>
            </wp:positionV>
            <wp:extent cx="34290" cy="18796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34290" cy="18796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 estmates that it will contribute $1.0 million to its postretrement health care plans in 2024.</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total expected beneft payments to be paid by the Company, net of partcipant contributons, for each of the next fve years and the fve-year period thereafer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9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140" w:type="dxa"/>
            <w:vAlign w:val="bottom"/>
            <w:shd w:val="clear" w:color="auto" w:fill="007CBA"/>
          </w:tcPr>
          <w:p>
            <w:pPr>
              <w:spacing w:after="0"/>
              <w:rPr>
                <w:sz w:val="21"/>
                <w:szCs w:val="21"/>
                <w:color w:val="auto"/>
              </w:rPr>
            </w:pPr>
          </w:p>
        </w:tc>
        <w:tc>
          <w:tcPr>
            <w:tcW w:w="1120" w:type="dxa"/>
            <w:vAlign w:val="bottom"/>
            <w:shd w:val="clear" w:color="auto" w:fill="007CBA"/>
          </w:tcPr>
          <w:p>
            <w:pPr>
              <w:spacing w:after="0"/>
              <w:rPr>
                <w:sz w:val="21"/>
                <w:szCs w:val="21"/>
                <w:color w:val="auto"/>
              </w:rPr>
            </w:pPr>
          </w:p>
        </w:tc>
      </w:tr>
      <w:tr>
        <w:trPr>
          <w:trHeight w:val="215"/>
        </w:trPr>
        <w:tc>
          <w:tcPr>
            <w:tcW w:w="89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2024</w:t>
            </w:r>
          </w:p>
        </w:tc>
        <w:tc>
          <w:tcPr>
            <w:tcW w:w="1140" w:type="dxa"/>
            <w:vAlign w:val="bottom"/>
          </w:tcPr>
          <w:p>
            <w:pPr>
              <w:jc w:val="right"/>
              <w:ind w:right="69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w:t>
            </w:r>
          </w:p>
        </w:tc>
      </w:tr>
      <w:tr>
        <w:trPr>
          <w:trHeight w:val="28"/>
        </w:trPr>
        <w:tc>
          <w:tcPr>
            <w:tcW w:w="8980" w:type="dxa"/>
            <w:vAlign w:val="bottom"/>
            <w:tcBorders>
              <w:right w:val="single" w:sz="8" w:color="007CBA"/>
            </w:tcBorders>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89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2025</w:t>
            </w:r>
          </w:p>
        </w:tc>
        <w:tc>
          <w:tcPr>
            <w:tcW w:w="1140" w:type="dxa"/>
            <w:vAlign w:val="bottom"/>
            <w:tcBorders>
              <w:bottom w:val="single" w:sz="8" w:color="E5F1F8"/>
            </w:tcBorders>
            <w:shd w:val="clear" w:color="auto" w:fill="E5F1F8"/>
          </w:tcPr>
          <w:p>
            <w:pPr>
              <w:jc w:val="right"/>
              <w:ind w:right="69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w:t>
            </w:r>
          </w:p>
        </w:tc>
      </w:tr>
      <w:tr>
        <w:trPr>
          <w:trHeight w:val="215"/>
        </w:trPr>
        <w:tc>
          <w:tcPr>
            <w:tcW w:w="89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2026</w:t>
            </w:r>
          </w:p>
        </w:tc>
        <w:tc>
          <w:tcPr>
            <w:tcW w:w="1140" w:type="dxa"/>
            <w:vAlign w:val="bottom"/>
          </w:tcPr>
          <w:p>
            <w:pPr>
              <w:jc w:val="right"/>
              <w:ind w:right="69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1.1</w:t>
            </w:r>
          </w:p>
        </w:tc>
      </w:tr>
      <w:tr>
        <w:trPr>
          <w:trHeight w:val="28"/>
        </w:trPr>
        <w:tc>
          <w:tcPr>
            <w:tcW w:w="8980" w:type="dxa"/>
            <w:vAlign w:val="bottom"/>
            <w:tcBorders>
              <w:right w:val="single" w:sz="8" w:color="007CBA"/>
            </w:tcBorders>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89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2027</w:t>
            </w:r>
          </w:p>
        </w:tc>
        <w:tc>
          <w:tcPr>
            <w:tcW w:w="1140" w:type="dxa"/>
            <w:vAlign w:val="bottom"/>
            <w:tcBorders>
              <w:bottom w:val="single" w:sz="8" w:color="E5F1F8"/>
            </w:tcBorders>
            <w:shd w:val="clear" w:color="auto" w:fill="E5F1F8"/>
          </w:tcPr>
          <w:p>
            <w:pPr>
              <w:jc w:val="right"/>
              <w:ind w:right="69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1.0</w:t>
            </w:r>
          </w:p>
        </w:tc>
      </w:tr>
      <w:tr>
        <w:trPr>
          <w:trHeight w:val="243"/>
        </w:trPr>
        <w:tc>
          <w:tcPr>
            <w:tcW w:w="89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2028</w:t>
            </w:r>
          </w:p>
        </w:tc>
        <w:tc>
          <w:tcPr>
            <w:tcW w:w="1140" w:type="dxa"/>
            <w:vAlign w:val="bottom"/>
          </w:tcPr>
          <w:p>
            <w:pPr>
              <w:jc w:val="right"/>
              <w:ind w:right="69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0.9</w:t>
            </w:r>
          </w:p>
        </w:tc>
      </w:tr>
      <w:tr>
        <w:trPr>
          <w:trHeight w:val="223"/>
        </w:trPr>
        <w:tc>
          <w:tcPr>
            <w:tcW w:w="89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Years 2029 - 2033</w:t>
            </w:r>
          </w:p>
        </w:tc>
        <w:tc>
          <w:tcPr>
            <w:tcW w:w="1140" w:type="dxa"/>
            <w:vAlign w:val="bottom"/>
            <w:tcBorders>
              <w:bottom w:val="single" w:sz="8" w:color="E5F1F8"/>
            </w:tcBorders>
            <w:shd w:val="clear" w:color="auto" w:fill="E5F1F8"/>
          </w:tcPr>
          <w:p>
            <w:pPr>
              <w:jc w:val="right"/>
              <w:ind w:right="69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3.8</w:t>
            </w:r>
          </w:p>
        </w:tc>
      </w:tr>
      <w:tr>
        <w:trPr>
          <w:trHeight w:val="20"/>
        </w:trPr>
        <w:tc>
          <w:tcPr>
            <w:tcW w:w="898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5675630</wp:posOffset>
            </wp:positionH>
            <wp:positionV relativeFrom="paragraph">
              <wp:posOffset>-174625</wp:posOffset>
            </wp:positionV>
            <wp:extent cx="33655" cy="18796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213995</wp:posOffset>
            </wp:positionV>
            <wp:extent cx="325755" cy="1968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1" w:name="page102"/>
    <w:bookmarkEnd w:id="101"/>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Defned Contributon Plan</w:t>
      </w:r>
      <w:r>
        <w:rPr>
          <w:rFonts w:ascii="Calibri" w:cs="Calibri" w:eastAsia="Calibri" w:hAnsi="Calibri"/>
          <w:sz w:val="18"/>
          <w:szCs w:val="18"/>
          <w:i w:val="1"/>
          <w:iCs w:val="1"/>
          <w:color w:val="4EAD8A"/>
        </w:rPr>
        <w:t>.</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Company maintains a defned contributon plan that covers substantally all employees. This plan, qualifed under Secton</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401(a) of the Internal Revenue Code, is a retrement savings and investment plan for the Company’s salaried and hourly employees</w:t>
      </w:r>
      <w:r>
        <w:rPr>
          <w:rFonts w:ascii="Calibri" w:cs="Calibri" w:eastAsia="Calibri" w:hAnsi="Calibri"/>
          <w:sz w:val="18"/>
          <w:szCs w:val="18"/>
          <w:b w:val="1"/>
          <w:bCs w:val="1"/>
          <w:i w:val="1"/>
          <w:iCs w:val="1"/>
          <w:color w:val="000000"/>
        </w:rPr>
        <w:t>.</w:t>
      </w:r>
      <w:r>
        <w:rPr>
          <w:rFonts w:ascii="Calibri" w:cs="Calibri" w:eastAsia="Calibri" w:hAnsi="Calibri"/>
          <w:sz w:val="18"/>
          <w:szCs w:val="18"/>
          <w:color w:val="000000"/>
        </w:rPr>
        <w:t xml:space="preserve"> Under certain provisions of the plan, the Company matches employees’ eligible contributons at established rates. The Company’s matching obligatons were $22.3 million in 2023, $23.1 million in 2022 and $20.5 million in 2021.</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K: Stock-Based Compensaton</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May 19, 2016, the Company’s shareholders approved the Martn Marieta Amended and Restated Stock-Based Award Plan. The Martn Marieta Materials, Inc. Stock-Based Award Plan, as amended from tme to tme, along with the Amended Omnibus Securites Award Plan, originally approved in 1994 (collectvely, the Plans), are stll efectve for awards made prior to 2017. The Company has been authorized by the Board of Directors to repurchase shares of the Company’s common stock for issuance under the stock-based award plans (see Note M).</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grants restricted stock awards under the Plans to a group of executve ofcers, key personnel and nonemployee members of the Board of Directors. The vestng of certain restricted stock awards is based on certain performance criteria over a specifed period of tme. The number of shares may be increased to the maximum or reduced to the minimum threshold based on the results of those criteria. In additon, certain awards are granted to individuals to encourage retenton and motvate key employees. These awards generally vest if the employee is contnuously employed over a specifed period of tme and require no payment from the employee. Awards granted to nonemployee members of the Board of Directors vest immediately.</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fair value of stock-based award grants is expensed over the vestng period. Awards to employees eligible for retrement prior to the award becoming fully vested are expensed over the period through the date that the employee frst becomes eligible to retre and is no longer required to provide service to earn the award. Awards granted to nonemployee members of the Board of Directors are expensed immediately.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Additonally, an incentve compensaton stock plan has been adopted under the Plans whereby certain partcipants may elect to use up to 50% of their annual incentve compensaton to acquire units representng shares of the Company’s common stock at a 20% discount to the market value on the date of the incentve compensaton award. Partcipants receive unrestricted shares of common stock in an amount equal to their respectve units generally at the end of a 34-month period of additonal employment from the date of award or at retrement beginning at age 62. All rights of ownership of the common stock convey to the partcipants upon the issuance of their respectve shares at the end of the ownership-vestng period.</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informaton for restricted stock awards and incentve compensaton stock awards for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560" w:type="dxa"/>
            <w:vAlign w:val="bottom"/>
            <w:tcBorders>
              <w:right w:val="single" w:sz="8" w:color="007CBA"/>
            </w:tcBorders>
            <w:shd w:val="clear" w:color="auto" w:fill="007CBA"/>
          </w:tcPr>
          <w:p>
            <w:pPr>
              <w:spacing w:after="0"/>
              <w:rPr>
                <w:sz w:val="17"/>
                <w:szCs w:val="17"/>
                <w:color w:val="auto"/>
              </w:rPr>
            </w:pPr>
          </w:p>
        </w:tc>
        <w:tc>
          <w:tcPr>
            <w:tcW w:w="2960" w:type="dxa"/>
            <w:vAlign w:val="bottom"/>
            <w:tcBorders>
              <w:right w:val="single" w:sz="8" w:color="007CBA"/>
            </w:tcBorders>
            <w:gridSpan w:val="4"/>
            <w:shd w:val="clear" w:color="auto" w:fill="007CBA"/>
          </w:tcPr>
          <w:p>
            <w:pPr>
              <w:jc w:val="right"/>
              <w:ind w:right="839"/>
              <w:spacing w:after="0"/>
              <w:rPr>
                <w:sz w:val="20"/>
                <w:szCs w:val="20"/>
                <w:color w:val="auto"/>
              </w:rPr>
            </w:pPr>
            <w:r>
              <w:rPr>
                <w:rFonts w:ascii="Calibri" w:cs="Calibri" w:eastAsia="Calibri" w:hAnsi="Calibri"/>
                <w:sz w:val="16"/>
                <w:szCs w:val="16"/>
                <w:b w:val="1"/>
                <w:bCs w:val="1"/>
                <w:color w:val="FFFFFF"/>
              </w:rPr>
              <w:t>Restricted Stock -</w:t>
            </w:r>
          </w:p>
        </w:tc>
        <w:tc>
          <w:tcPr>
            <w:tcW w:w="140" w:type="dxa"/>
            <w:vAlign w:val="bottom"/>
            <w:shd w:val="clear" w:color="auto" w:fill="007CBA"/>
          </w:tcPr>
          <w:p>
            <w:pPr>
              <w:spacing w:after="0"/>
              <w:rPr>
                <w:sz w:val="17"/>
                <w:szCs w:val="17"/>
                <w:color w:val="auto"/>
              </w:rPr>
            </w:pPr>
          </w:p>
        </w:tc>
        <w:tc>
          <w:tcPr>
            <w:tcW w:w="2740" w:type="dxa"/>
            <w:vAlign w:val="bottom"/>
            <w:tcBorders>
              <w:right w:val="single" w:sz="8" w:color="007CBA"/>
            </w:tcBorders>
            <w:gridSpan w:val="4"/>
            <w:shd w:val="clear" w:color="auto" w:fill="007CBA"/>
          </w:tcPr>
          <w:p>
            <w:pPr>
              <w:jc w:val="right"/>
              <w:ind w:right="779"/>
              <w:spacing w:after="0"/>
              <w:rPr>
                <w:sz w:val="20"/>
                <w:szCs w:val="20"/>
                <w:color w:val="auto"/>
              </w:rPr>
            </w:pPr>
            <w:r>
              <w:rPr>
                <w:rFonts w:ascii="Calibri" w:cs="Calibri" w:eastAsia="Calibri" w:hAnsi="Calibri"/>
                <w:sz w:val="16"/>
                <w:szCs w:val="16"/>
                <w:b w:val="1"/>
                <w:bCs w:val="1"/>
                <w:color w:val="FFFFFF"/>
              </w:rPr>
              <w:t>Restricted Stock -</w:t>
            </w:r>
          </w:p>
        </w:tc>
        <w:tc>
          <w:tcPr>
            <w:tcW w:w="120" w:type="dxa"/>
            <w:vAlign w:val="bottom"/>
            <w:shd w:val="clear" w:color="auto" w:fill="007CBA"/>
          </w:tcPr>
          <w:p>
            <w:pPr>
              <w:spacing w:after="0"/>
              <w:rPr>
                <w:sz w:val="17"/>
                <w:szCs w:val="17"/>
                <w:color w:val="auto"/>
              </w:rPr>
            </w:pPr>
          </w:p>
        </w:tc>
        <w:tc>
          <w:tcPr>
            <w:tcW w:w="1280" w:type="dxa"/>
            <w:vAlign w:val="bottom"/>
            <w:shd w:val="clear" w:color="auto" w:fill="007CBA"/>
          </w:tcPr>
          <w:p>
            <w:pPr>
              <w:spacing w:after="0"/>
              <w:rPr>
                <w:sz w:val="17"/>
                <w:szCs w:val="17"/>
                <w:color w:val="auto"/>
              </w:rPr>
            </w:pPr>
          </w:p>
        </w:tc>
        <w:tc>
          <w:tcPr>
            <w:tcW w:w="18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20" w:type="dxa"/>
            <w:vAlign w:val="bottom"/>
            <w:shd w:val="clear" w:color="auto" w:fill="007CBA"/>
          </w:tcPr>
          <w:p>
            <w:pPr>
              <w:spacing w:after="0"/>
              <w:rPr>
                <w:sz w:val="17"/>
                <w:szCs w:val="17"/>
                <w:color w:val="auto"/>
              </w:rPr>
            </w:pPr>
          </w:p>
        </w:tc>
      </w:tr>
      <w:tr>
        <w:trPr>
          <w:trHeight w:val="193"/>
        </w:trPr>
        <w:tc>
          <w:tcPr>
            <w:tcW w:w="2560" w:type="dxa"/>
            <w:vAlign w:val="bottom"/>
            <w:tcBorders>
              <w:right w:val="single" w:sz="8" w:color="007CBA"/>
            </w:tcBorders>
            <w:shd w:val="clear" w:color="auto" w:fill="007CBA"/>
          </w:tcPr>
          <w:p>
            <w:pPr>
              <w:spacing w:after="0"/>
              <w:rPr>
                <w:sz w:val="16"/>
                <w:szCs w:val="16"/>
                <w:color w:val="auto"/>
              </w:rPr>
            </w:pPr>
          </w:p>
        </w:tc>
        <w:tc>
          <w:tcPr>
            <w:tcW w:w="2960" w:type="dxa"/>
            <w:vAlign w:val="bottom"/>
            <w:tcBorders>
              <w:right w:val="single" w:sz="8" w:color="007CBA"/>
            </w:tcBorders>
            <w:gridSpan w:val="4"/>
            <w:shd w:val="clear" w:color="auto" w:fill="007CBA"/>
          </w:tcPr>
          <w:p>
            <w:pPr>
              <w:jc w:val="right"/>
              <w:ind w:right="939"/>
              <w:spacing w:after="0" w:line="193" w:lineRule="exact"/>
              <w:rPr>
                <w:sz w:val="20"/>
                <w:szCs w:val="20"/>
                <w:color w:val="auto"/>
              </w:rPr>
            </w:pPr>
            <w:r>
              <w:rPr>
                <w:rFonts w:ascii="Calibri" w:cs="Calibri" w:eastAsia="Calibri" w:hAnsi="Calibri"/>
                <w:sz w:val="16"/>
                <w:szCs w:val="16"/>
                <w:b w:val="1"/>
                <w:bCs w:val="1"/>
                <w:color w:val="FFFFFF"/>
              </w:rPr>
              <w:t>Service Based</w:t>
            </w:r>
          </w:p>
        </w:tc>
        <w:tc>
          <w:tcPr>
            <w:tcW w:w="140" w:type="dxa"/>
            <w:vAlign w:val="bottom"/>
            <w:shd w:val="clear" w:color="auto" w:fill="007CBA"/>
          </w:tcPr>
          <w:p>
            <w:pPr>
              <w:spacing w:after="0"/>
              <w:rPr>
                <w:sz w:val="16"/>
                <w:szCs w:val="16"/>
                <w:color w:val="auto"/>
              </w:rPr>
            </w:pPr>
          </w:p>
        </w:tc>
        <w:tc>
          <w:tcPr>
            <w:tcW w:w="2740" w:type="dxa"/>
            <w:vAlign w:val="bottom"/>
            <w:tcBorders>
              <w:right w:val="single" w:sz="8" w:color="007CBA"/>
            </w:tcBorders>
            <w:gridSpan w:val="4"/>
            <w:shd w:val="clear" w:color="auto" w:fill="007CBA"/>
          </w:tcPr>
          <w:p>
            <w:pPr>
              <w:jc w:val="right"/>
              <w:ind w:right="699"/>
              <w:spacing w:after="0" w:line="193" w:lineRule="exact"/>
              <w:rPr>
                <w:sz w:val="20"/>
                <w:szCs w:val="20"/>
                <w:color w:val="auto"/>
              </w:rPr>
            </w:pPr>
            <w:r>
              <w:rPr>
                <w:rFonts w:ascii="Calibri" w:cs="Calibri" w:eastAsia="Calibri" w:hAnsi="Calibri"/>
                <w:sz w:val="16"/>
                <w:szCs w:val="16"/>
                <w:b w:val="1"/>
                <w:bCs w:val="1"/>
                <w:color w:val="FFFFFF"/>
              </w:rPr>
              <w:t>Performance Based</w:t>
            </w:r>
          </w:p>
        </w:tc>
        <w:tc>
          <w:tcPr>
            <w:tcW w:w="120" w:type="dxa"/>
            <w:vAlign w:val="bottom"/>
            <w:shd w:val="clear" w:color="auto" w:fill="007CBA"/>
          </w:tcPr>
          <w:p>
            <w:pPr>
              <w:spacing w:after="0"/>
              <w:rPr>
                <w:sz w:val="16"/>
                <w:szCs w:val="16"/>
                <w:color w:val="auto"/>
              </w:rPr>
            </w:pPr>
          </w:p>
        </w:tc>
        <w:tc>
          <w:tcPr>
            <w:tcW w:w="2720" w:type="dxa"/>
            <w:vAlign w:val="bottom"/>
            <w:gridSpan w:val="4"/>
            <w:shd w:val="clear" w:color="auto" w:fill="007CBA"/>
          </w:tcPr>
          <w:p>
            <w:pPr>
              <w:jc w:val="right"/>
              <w:ind w:right="319"/>
              <w:spacing w:after="0" w:line="193" w:lineRule="exact"/>
              <w:rPr>
                <w:sz w:val="20"/>
                <w:szCs w:val="20"/>
                <w:color w:val="auto"/>
              </w:rPr>
            </w:pPr>
            <w:r>
              <w:rPr>
                <w:rFonts w:ascii="Calibri" w:cs="Calibri" w:eastAsia="Calibri" w:hAnsi="Calibri"/>
                <w:sz w:val="16"/>
                <w:szCs w:val="16"/>
                <w:b w:val="1"/>
                <w:bCs w:val="1"/>
                <w:color w:val="FFFFFF"/>
              </w:rPr>
              <w:t>Incentve Compensaton Stock</w:t>
            </w:r>
          </w:p>
        </w:tc>
      </w:tr>
      <w:tr>
        <w:trPr>
          <w:trHeight w:val="243"/>
        </w:trPr>
        <w:tc>
          <w:tcPr>
            <w:tcW w:w="2560" w:type="dxa"/>
            <w:vAlign w:val="bottom"/>
            <w:tcBorders>
              <w:right w:val="single" w:sz="8" w:color="007CBA"/>
            </w:tcBorders>
            <w:shd w:val="clear" w:color="auto" w:fill="007CBA"/>
          </w:tcPr>
          <w:p>
            <w:pPr>
              <w:spacing w:after="0"/>
              <w:rPr>
                <w:sz w:val="21"/>
                <w:szCs w:val="21"/>
                <w:color w:val="auto"/>
              </w:rPr>
            </w:pPr>
          </w:p>
        </w:tc>
        <w:tc>
          <w:tcPr>
            <w:tcW w:w="1480" w:type="dxa"/>
            <w:vAlign w:val="bottom"/>
            <w:shd w:val="clear" w:color="auto" w:fill="007CBA"/>
          </w:tcPr>
          <w:p>
            <w:pPr>
              <w:spacing w:after="0"/>
              <w:rPr>
                <w:sz w:val="21"/>
                <w:szCs w:val="21"/>
                <w:color w:val="auto"/>
              </w:rPr>
            </w:pPr>
          </w:p>
        </w:tc>
        <w:tc>
          <w:tcPr>
            <w:tcW w:w="180" w:type="dxa"/>
            <w:vAlign w:val="bottom"/>
            <w:shd w:val="clear" w:color="auto" w:fill="007CBA"/>
          </w:tcPr>
          <w:p>
            <w:pPr>
              <w:spacing w:after="0"/>
              <w:rPr>
                <w:sz w:val="21"/>
                <w:szCs w:val="21"/>
                <w:color w:val="auto"/>
              </w:rPr>
            </w:pPr>
          </w:p>
        </w:tc>
        <w:tc>
          <w:tcPr>
            <w:tcW w:w="140" w:type="dxa"/>
            <w:vAlign w:val="bottom"/>
            <w:shd w:val="clear" w:color="auto" w:fill="007CBA"/>
          </w:tcPr>
          <w:p>
            <w:pPr>
              <w:spacing w:after="0"/>
              <w:rPr>
                <w:sz w:val="21"/>
                <w:szCs w:val="21"/>
                <w:color w:val="auto"/>
              </w:rPr>
            </w:pPr>
          </w:p>
        </w:tc>
        <w:tc>
          <w:tcPr>
            <w:tcW w:w="1160" w:type="dxa"/>
            <w:vAlign w:val="bottom"/>
            <w:tcBorders>
              <w:right w:val="single" w:sz="8" w:color="007CBA"/>
            </w:tcBorders>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rPr>
              <w:t>Weighted-</w:t>
            </w:r>
          </w:p>
        </w:tc>
        <w:tc>
          <w:tcPr>
            <w:tcW w:w="140" w:type="dxa"/>
            <w:vAlign w:val="bottom"/>
            <w:shd w:val="clear" w:color="auto" w:fill="007CBA"/>
          </w:tcPr>
          <w:p>
            <w:pPr>
              <w:spacing w:after="0"/>
              <w:rPr>
                <w:sz w:val="21"/>
                <w:szCs w:val="21"/>
                <w:color w:val="auto"/>
              </w:rPr>
            </w:pPr>
          </w:p>
        </w:tc>
        <w:tc>
          <w:tcPr>
            <w:tcW w:w="1300" w:type="dxa"/>
            <w:vAlign w:val="bottom"/>
            <w:shd w:val="clear" w:color="auto" w:fill="007CBA"/>
          </w:tcPr>
          <w:p>
            <w:pPr>
              <w:spacing w:after="0"/>
              <w:rPr>
                <w:sz w:val="21"/>
                <w:szCs w:val="21"/>
                <w:color w:val="auto"/>
              </w:rPr>
            </w:pPr>
          </w:p>
        </w:tc>
        <w:tc>
          <w:tcPr>
            <w:tcW w:w="180" w:type="dxa"/>
            <w:vAlign w:val="bottom"/>
            <w:shd w:val="clear" w:color="auto" w:fill="007CBA"/>
          </w:tcPr>
          <w:p>
            <w:pPr>
              <w:spacing w:after="0"/>
              <w:rPr>
                <w:sz w:val="21"/>
                <w:szCs w:val="21"/>
                <w:color w:val="auto"/>
              </w:rPr>
            </w:pPr>
          </w:p>
        </w:tc>
        <w:tc>
          <w:tcPr>
            <w:tcW w:w="140" w:type="dxa"/>
            <w:vAlign w:val="bottom"/>
            <w:shd w:val="clear" w:color="auto" w:fill="007CBA"/>
          </w:tcPr>
          <w:p>
            <w:pPr>
              <w:spacing w:after="0"/>
              <w:rPr>
                <w:sz w:val="21"/>
                <w:szCs w:val="21"/>
                <w:color w:val="auto"/>
              </w:rPr>
            </w:pPr>
          </w:p>
        </w:tc>
        <w:tc>
          <w:tcPr>
            <w:tcW w:w="1120" w:type="dxa"/>
            <w:vAlign w:val="bottom"/>
            <w:tcBorders>
              <w:right w:val="single" w:sz="8" w:color="007CBA"/>
            </w:tcBorders>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rPr>
              <w:t>Weighted-</w:t>
            </w:r>
          </w:p>
        </w:tc>
        <w:tc>
          <w:tcPr>
            <w:tcW w:w="120" w:type="dxa"/>
            <w:vAlign w:val="bottom"/>
            <w:shd w:val="clear" w:color="auto" w:fill="007CBA"/>
          </w:tcPr>
          <w:p>
            <w:pPr>
              <w:spacing w:after="0"/>
              <w:rPr>
                <w:sz w:val="21"/>
                <w:szCs w:val="21"/>
                <w:color w:val="auto"/>
              </w:rPr>
            </w:pPr>
          </w:p>
        </w:tc>
        <w:tc>
          <w:tcPr>
            <w:tcW w:w="1280" w:type="dxa"/>
            <w:vAlign w:val="bottom"/>
            <w:shd w:val="clear" w:color="auto" w:fill="007CBA"/>
          </w:tcPr>
          <w:p>
            <w:pPr>
              <w:spacing w:after="0"/>
              <w:rPr>
                <w:sz w:val="21"/>
                <w:szCs w:val="21"/>
                <w:color w:val="auto"/>
              </w:rPr>
            </w:pPr>
          </w:p>
        </w:tc>
        <w:tc>
          <w:tcPr>
            <w:tcW w:w="180" w:type="dxa"/>
            <w:vAlign w:val="bottom"/>
            <w:shd w:val="clear" w:color="auto" w:fill="007CBA"/>
          </w:tcPr>
          <w:p>
            <w:pPr>
              <w:spacing w:after="0"/>
              <w:rPr>
                <w:sz w:val="21"/>
                <w:szCs w:val="21"/>
                <w:color w:val="auto"/>
              </w:rPr>
            </w:pPr>
          </w:p>
        </w:tc>
        <w:tc>
          <w:tcPr>
            <w:tcW w:w="140" w:type="dxa"/>
            <w:vAlign w:val="bottom"/>
            <w:shd w:val="clear" w:color="auto" w:fill="007CBA"/>
          </w:tcPr>
          <w:p>
            <w:pPr>
              <w:spacing w:after="0"/>
              <w:rPr>
                <w:sz w:val="21"/>
                <w:szCs w:val="21"/>
                <w:color w:val="auto"/>
              </w:rPr>
            </w:pPr>
          </w:p>
        </w:tc>
        <w:tc>
          <w:tcPr>
            <w:tcW w:w="1120" w:type="dxa"/>
            <w:vAlign w:val="bottom"/>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rPr>
              <w:t>Weighted-</w:t>
            </w:r>
          </w:p>
        </w:tc>
      </w:tr>
      <w:tr>
        <w:trPr>
          <w:trHeight w:val="203"/>
        </w:trPr>
        <w:tc>
          <w:tcPr>
            <w:tcW w:w="2560" w:type="dxa"/>
            <w:vAlign w:val="bottom"/>
            <w:tcBorders>
              <w:right w:val="single" w:sz="8" w:color="007CBA"/>
            </w:tcBorders>
            <w:shd w:val="clear" w:color="auto" w:fill="007CBA"/>
          </w:tcPr>
          <w:p>
            <w:pPr>
              <w:spacing w:after="0"/>
              <w:rPr>
                <w:sz w:val="17"/>
                <w:szCs w:val="17"/>
                <w:color w:val="auto"/>
              </w:rPr>
            </w:pPr>
          </w:p>
        </w:tc>
        <w:tc>
          <w:tcPr>
            <w:tcW w:w="1480" w:type="dxa"/>
            <w:vAlign w:val="bottom"/>
            <w:shd w:val="clear" w:color="auto" w:fill="007CBA"/>
          </w:tcPr>
          <w:p>
            <w:pPr>
              <w:spacing w:after="0"/>
              <w:rPr>
                <w:sz w:val="17"/>
                <w:szCs w:val="17"/>
                <w:color w:val="auto"/>
              </w:rPr>
            </w:pPr>
          </w:p>
        </w:tc>
        <w:tc>
          <w:tcPr>
            <w:tcW w:w="18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60" w:type="dxa"/>
            <w:vAlign w:val="bottom"/>
            <w:tcBorders>
              <w:right w:val="single" w:sz="8" w:color="007CBA"/>
            </w:tcBorders>
            <w:shd w:val="clear" w:color="auto" w:fill="007CBA"/>
          </w:tcPr>
          <w:p>
            <w:pPr>
              <w:jc w:val="center"/>
              <w:ind w:right="219"/>
              <w:spacing w:after="0"/>
              <w:rPr>
                <w:sz w:val="20"/>
                <w:szCs w:val="20"/>
                <w:color w:val="auto"/>
              </w:rPr>
            </w:pPr>
            <w:r>
              <w:rPr>
                <w:rFonts w:ascii="Calibri" w:cs="Calibri" w:eastAsia="Calibri" w:hAnsi="Calibri"/>
                <w:sz w:val="16"/>
                <w:szCs w:val="16"/>
                <w:b w:val="1"/>
                <w:bCs w:val="1"/>
                <w:color w:val="FFFFFF"/>
                <w:w w:val="98"/>
              </w:rPr>
              <w:t>Average</w:t>
            </w:r>
          </w:p>
        </w:tc>
        <w:tc>
          <w:tcPr>
            <w:tcW w:w="140" w:type="dxa"/>
            <w:vAlign w:val="bottom"/>
            <w:shd w:val="clear" w:color="auto" w:fill="007CBA"/>
          </w:tcPr>
          <w:p>
            <w:pPr>
              <w:spacing w:after="0"/>
              <w:rPr>
                <w:sz w:val="17"/>
                <w:szCs w:val="17"/>
                <w:color w:val="auto"/>
              </w:rPr>
            </w:pPr>
          </w:p>
        </w:tc>
        <w:tc>
          <w:tcPr>
            <w:tcW w:w="1300" w:type="dxa"/>
            <w:vAlign w:val="bottom"/>
            <w:shd w:val="clear" w:color="auto" w:fill="007CBA"/>
          </w:tcPr>
          <w:p>
            <w:pPr>
              <w:spacing w:after="0"/>
              <w:rPr>
                <w:sz w:val="17"/>
                <w:szCs w:val="17"/>
                <w:color w:val="auto"/>
              </w:rPr>
            </w:pPr>
          </w:p>
        </w:tc>
        <w:tc>
          <w:tcPr>
            <w:tcW w:w="18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20" w:type="dxa"/>
            <w:vAlign w:val="bottom"/>
            <w:tcBorders>
              <w:right w:val="single" w:sz="8" w:color="007CBA"/>
            </w:tcBorders>
            <w:shd w:val="clear" w:color="auto" w:fill="007CBA"/>
          </w:tcPr>
          <w:p>
            <w:pPr>
              <w:jc w:val="center"/>
              <w:ind w:right="219"/>
              <w:spacing w:after="0"/>
              <w:rPr>
                <w:sz w:val="20"/>
                <w:szCs w:val="20"/>
                <w:color w:val="auto"/>
              </w:rPr>
            </w:pPr>
            <w:r>
              <w:rPr>
                <w:rFonts w:ascii="Calibri" w:cs="Calibri" w:eastAsia="Calibri" w:hAnsi="Calibri"/>
                <w:sz w:val="16"/>
                <w:szCs w:val="16"/>
                <w:b w:val="1"/>
                <w:bCs w:val="1"/>
                <w:color w:val="FFFFFF"/>
                <w:w w:val="98"/>
              </w:rPr>
              <w:t>Average</w:t>
            </w:r>
          </w:p>
        </w:tc>
        <w:tc>
          <w:tcPr>
            <w:tcW w:w="120" w:type="dxa"/>
            <w:vAlign w:val="bottom"/>
            <w:shd w:val="clear" w:color="auto" w:fill="007CBA"/>
          </w:tcPr>
          <w:p>
            <w:pPr>
              <w:spacing w:after="0"/>
              <w:rPr>
                <w:sz w:val="17"/>
                <w:szCs w:val="17"/>
                <w:color w:val="auto"/>
              </w:rPr>
            </w:pPr>
          </w:p>
        </w:tc>
        <w:tc>
          <w:tcPr>
            <w:tcW w:w="1280" w:type="dxa"/>
            <w:vAlign w:val="bottom"/>
            <w:shd w:val="clear" w:color="auto" w:fill="007CBA"/>
          </w:tcPr>
          <w:p>
            <w:pPr>
              <w:spacing w:after="0"/>
              <w:rPr>
                <w:sz w:val="17"/>
                <w:szCs w:val="17"/>
                <w:color w:val="auto"/>
              </w:rPr>
            </w:pPr>
          </w:p>
        </w:tc>
        <w:tc>
          <w:tcPr>
            <w:tcW w:w="18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20" w:type="dxa"/>
            <w:vAlign w:val="bottom"/>
            <w:shd w:val="clear" w:color="auto" w:fill="007CBA"/>
          </w:tcPr>
          <w:p>
            <w:pPr>
              <w:jc w:val="center"/>
              <w:ind w:right="199"/>
              <w:spacing w:after="0"/>
              <w:rPr>
                <w:sz w:val="20"/>
                <w:szCs w:val="20"/>
                <w:color w:val="auto"/>
              </w:rPr>
            </w:pPr>
            <w:r>
              <w:rPr>
                <w:rFonts w:ascii="Calibri" w:cs="Calibri" w:eastAsia="Calibri" w:hAnsi="Calibri"/>
                <w:sz w:val="16"/>
                <w:szCs w:val="16"/>
                <w:b w:val="1"/>
                <w:bCs w:val="1"/>
                <w:color w:val="FFFFFF"/>
              </w:rPr>
              <w:t>Average</w:t>
            </w:r>
          </w:p>
        </w:tc>
      </w:tr>
      <w:tr>
        <w:trPr>
          <w:trHeight w:val="203"/>
        </w:trPr>
        <w:tc>
          <w:tcPr>
            <w:tcW w:w="2560" w:type="dxa"/>
            <w:vAlign w:val="bottom"/>
            <w:tcBorders>
              <w:right w:val="single" w:sz="8" w:color="007CBA"/>
            </w:tcBorders>
            <w:shd w:val="clear" w:color="auto" w:fill="007CBA"/>
          </w:tcPr>
          <w:p>
            <w:pPr>
              <w:spacing w:after="0"/>
              <w:rPr>
                <w:sz w:val="17"/>
                <w:szCs w:val="17"/>
                <w:color w:val="auto"/>
              </w:rPr>
            </w:pPr>
          </w:p>
        </w:tc>
        <w:tc>
          <w:tcPr>
            <w:tcW w:w="1480" w:type="dxa"/>
            <w:vAlign w:val="bottom"/>
            <w:shd w:val="clear" w:color="auto" w:fill="007CBA"/>
          </w:tcPr>
          <w:p>
            <w:pPr>
              <w:jc w:val="right"/>
              <w:ind w:right="319"/>
              <w:spacing w:after="0"/>
              <w:rPr>
                <w:sz w:val="20"/>
                <w:szCs w:val="20"/>
                <w:color w:val="auto"/>
              </w:rPr>
            </w:pPr>
            <w:r>
              <w:rPr>
                <w:rFonts w:ascii="Calibri" w:cs="Calibri" w:eastAsia="Calibri" w:hAnsi="Calibri"/>
                <w:sz w:val="16"/>
                <w:szCs w:val="16"/>
                <w:b w:val="1"/>
                <w:bCs w:val="1"/>
                <w:color w:val="FFFFFF"/>
              </w:rPr>
              <w:t>Number of</w:t>
            </w:r>
          </w:p>
        </w:tc>
        <w:tc>
          <w:tcPr>
            <w:tcW w:w="18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60" w:type="dxa"/>
            <w:vAlign w:val="bottom"/>
            <w:tcBorders>
              <w:right w:val="single" w:sz="8" w:color="007CBA"/>
            </w:tcBorders>
            <w:shd w:val="clear" w:color="auto" w:fill="007CBA"/>
          </w:tcPr>
          <w:p>
            <w:pPr>
              <w:jc w:val="center"/>
              <w:ind w:right="219"/>
              <w:spacing w:after="0"/>
              <w:rPr>
                <w:sz w:val="20"/>
                <w:szCs w:val="20"/>
                <w:color w:val="auto"/>
              </w:rPr>
            </w:pPr>
            <w:r>
              <w:rPr>
                <w:rFonts w:ascii="Calibri" w:cs="Calibri" w:eastAsia="Calibri" w:hAnsi="Calibri"/>
                <w:sz w:val="16"/>
                <w:szCs w:val="16"/>
                <w:b w:val="1"/>
                <w:bCs w:val="1"/>
                <w:color w:val="FFFFFF"/>
                <w:w w:val="99"/>
              </w:rPr>
              <w:t>Grant-Date</w:t>
            </w:r>
          </w:p>
        </w:tc>
        <w:tc>
          <w:tcPr>
            <w:tcW w:w="140" w:type="dxa"/>
            <w:vAlign w:val="bottom"/>
            <w:shd w:val="clear" w:color="auto" w:fill="007CBA"/>
          </w:tcPr>
          <w:p>
            <w:pPr>
              <w:spacing w:after="0"/>
              <w:rPr>
                <w:sz w:val="17"/>
                <w:szCs w:val="17"/>
                <w:color w:val="auto"/>
              </w:rPr>
            </w:pPr>
          </w:p>
        </w:tc>
        <w:tc>
          <w:tcPr>
            <w:tcW w:w="1300" w:type="dxa"/>
            <w:vAlign w:val="bottom"/>
            <w:shd w:val="clear" w:color="auto" w:fill="007CBA"/>
          </w:tcPr>
          <w:p>
            <w:pPr>
              <w:jc w:val="right"/>
              <w:ind w:right="279"/>
              <w:spacing w:after="0"/>
              <w:rPr>
                <w:sz w:val="20"/>
                <w:szCs w:val="20"/>
                <w:color w:val="auto"/>
              </w:rPr>
            </w:pPr>
            <w:r>
              <w:rPr>
                <w:rFonts w:ascii="Calibri" w:cs="Calibri" w:eastAsia="Calibri" w:hAnsi="Calibri"/>
                <w:sz w:val="16"/>
                <w:szCs w:val="16"/>
                <w:b w:val="1"/>
                <w:bCs w:val="1"/>
                <w:color w:val="FFFFFF"/>
              </w:rPr>
              <w:t>Number of</w:t>
            </w:r>
          </w:p>
        </w:tc>
        <w:tc>
          <w:tcPr>
            <w:tcW w:w="18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20" w:type="dxa"/>
            <w:vAlign w:val="bottom"/>
            <w:tcBorders>
              <w:right w:val="single" w:sz="8" w:color="007CBA"/>
            </w:tcBorders>
            <w:shd w:val="clear" w:color="auto" w:fill="007CBA"/>
          </w:tcPr>
          <w:p>
            <w:pPr>
              <w:jc w:val="center"/>
              <w:ind w:right="219"/>
              <w:spacing w:after="0"/>
              <w:rPr>
                <w:sz w:val="20"/>
                <w:szCs w:val="20"/>
                <w:color w:val="auto"/>
              </w:rPr>
            </w:pPr>
            <w:r>
              <w:rPr>
                <w:rFonts w:ascii="Calibri" w:cs="Calibri" w:eastAsia="Calibri" w:hAnsi="Calibri"/>
                <w:sz w:val="16"/>
                <w:szCs w:val="16"/>
                <w:b w:val="1"/>
                <w:bCs w:val="1"/>
                <w:color w:val="FFFFFF"/>
                <w:w w:val="99"/>
              </w:rPr>
              <w:t>Grant-Date</w:t>
            </w:r>
          </w:p>
        </w:tc>
        <w:tc>
          <w:tcPr>
            <w:tcW w:w="120" w:type="dxa"/>
            <w:vAlign w:val="bottom"/>
            <w:shd w:val="clear" w:color="auto" w:fill="007CBA"/>
          </w:tcPr>
          <w:p>
            <w:pPr>
              <w:spacing w:after="0"/>
              <w:rPr>
                <w:sz w:val="17"/>
                <w:szCs w:val="17"/>
                <w:color w:val="auto"/>
              </w:rPr>
            </w:pPr>
          </w:p>
        </w:tc>
        <w:tc>
          <w:tcPr>
            <w:tcW w:w="1280" w:type="dxa"/>
            <w:vAlign w:val="bottom"/>
            <w:shd w:val="clear" w:color="auto" w:fill="007CBA"/>
          </w:tcPr>
          <w:p>
            <w:pPr>
              <w:jc w:val="right"/>
              <w:ind w:right="259"/>
              <w:spacing w:after="0"/>
              <w:rPr>
                <w:sz w:val="20"/>
                <w:szCs w:val="20"/>
                <w:color w:val="auto"/>
              </w:rPr>
            </w:pPr>
            <w:r>
              <w:rPr>
                <w:rFonts w:ascii="Calibri" w:cs="Calibri" w:eastAsia="Calibri" w:hAnsi="Calibri"/>
                <w:sz w:val="16"/>
                <w:szCs w:val="16"/>
                <w:b w:val="1"/>
                <w:bCs w:val="1"/>
                <w:color w:val="FFFFFF"/>
              </w:rPr>
              <w:t>Number of</w:t>
            </w:r>
          </w:p>
        </w:tc>
        <w:tc>
          <w:tcPr>
            <w:tcW w:w="180" w:type="dxa"/>
            <w:vAlign w:val="bottom"/>
            <w:shd w:val="clear" w:color="auto" w:fill="007CBA"/>
          </w:tcPr>
          <w:p>
            <w:pPr>
              <w:spacing w:after="0"/>
              <w:rPr>
                <w:sz w:val="17"/>
                <w:szCs w:val="17"/>
                <w:color w:val="auto"/>
              </w:rPr>
            </w:pPr>
          </w:p>
        </w:tc>
        <w:tc>
          <w:tcPr>
            <w:tcW w:w="140" w:type="dxa"/>
            <w:vAlign w:val="bottom"/>
            <w:shd w:val="clear" w:color="auto" w:fill="007CBA"/>
          </w:tcPr>
          <w:p>
            <w:pPr>
              <w:spacing w:after="0"/>
              <w:rPr>
                <w:sz w:val="17"/>
                <w:szCs w:val="17"/>
                <w:color w:val="auto"/>
              </w:rPr>
            </w:pPr>
          </w:p>
        </w:tc>
        <w:tc>
          <w:tcPr>
            <w:tcW w:w="1120" w:type="dxa"/>
            <w:vAlign w:val="bottom"/>
            <w:shd w:val="clear" w:color="auto" w:fill="007CBA"/>
          </w:tcPr>
          <w:p>
            <w:pPr>
              <w:jc w:val="center"/>
              <w:ind w:right="199"/>
              <w:spacing w:after="0"/>
              <w:rPr>
                <w:sz w:val="20"/>
                <w:szCs w:val="20"/>
                <w:color w:val="auto"/>
              </w:rPr>
            </w:pPr>
            <w:r>
              <w:rPr>
                <w:rFonts w:ascii="Calibri" w:cs="Calibri" w:eastAsia="Calibri" w:hAnsi="Calibri"/>
                <w:sz w:val="16"/>
                <w:szCs w:val="16"/>
                <w:b w:val="1"/>
                <w:bCs w:val="1"/>
                <w:color w:val="FFFFFF"/>
              </w:rPr>
              <w:t>Grant-Date</w:t>
            </w:r>
          </w:p>
        </w:tc>
      </w:tr>
      <w:tr>
        <w:trPr>
          <w:trHeight w:val="224"/>
        </w:trPr>
        <w:tc>
          <w:tcPr>
            <w:tcW w:w="2560" w:type="dxa"/>
            <w:vAlign w:val="bottom"/>
            <w:tcBorders>
              <w:bottom w:val="single" w:sz="8" w:color="007CBA"/>
              <w:right w:val="single" w:sz="8" w:color="007CBA"/>
            </w:tcBorders>
            <w:shd w:val="clear" w:color="auto" w:fill="007CBA"/>
          </w:tcPr>
          <w:p>
            <w:pPr>
              <w:spacing w:after="0"/>
              <w:rPr>
                <w:sz w:val="19"/>
                <w:szCs w:val="19"/>
                <w:color w:val="auto"/>
              </w:rPr>
            </w:pPr>
          </w:p>
        </w:tc>
        <w:tc>
          <w:tcPr>
            <w:tcW w:w="1480" w:type="dxa"/>
            <w:vAlign w:val="bottom"/>
            <w:tcBorders>
              <w:bottom w:val="single" w:sz="8" w:color="007CBA"/>
            </w:tcBorders>
            <w:shd w:val="clear" w:color="auto" w:fill="007CBA"/>
          </w:tcPr>
          <w:p>
            <w:pPr>
              <w:jc w:val="right"/>
              <w:ind w:right="399"/>
              <w:spacing w:after="0"/>
              <w:rPr>
                <w:sz w:val="20"/>
                <w:szCs w:val="20"/>
                <w:color w:val="auto"/>
              </w:rPr>
            </w:pPr>
            <w:r>
              <w:rPr>
                <w:rFonts w:ascii="Calibri" w:cs="Calibri" w:eastAsia="Calibri" w:hAnsi="Calibri"/>
                <w:sz w:val="16"/>
                <w:szCs w:val="16"/>
                <w:b w:val="1"/>
                <w:bCs w:val="1"/>
                <w:color w:val="FFFFFF"/>
              </w:rPr>
              <w:t>Awards</w:t>
            </w:r>
          </w:p>
        </w:tc>
        <w:tc>
          <w:tcPr>
            <w:tcW w:w="180" w:type="dxa"/>
            <w:vAlign w:val="bottom"/>
            <w:tcBorders>
              <w:bottom w:val="single" w:sz="8" w:color="007CBA"/>
            </w:tcBorders>
            <w:shd w:val="clear" w:color="auto" w:fill="007CBA"/>
          </w:tcPr>
          <w:p>
            <w:pPr>
              <w:spacing w:after="0"/>
              <w:rPr>
                <w:sz w:val="19"/>
                <w:szCs w:val="19"/>
                <w:color w:val="auto"/>
              </w:rPr>
            </w:pPr>
          </w:p>
        </w:tc>
        <w:tc>
          <w:tcPr>
            <w:tcW w:w="140" w:type="dxa"/>
            <w:vAlign w:val="bottom"/>
            <w:tcBorders>
              <w:bottom w:val="single" w:sz="8" w:color="007CBA"/>
            </w:tcBorders>
            <w:shd w:val="clear" w:color="auto" w:fill="007CBA"/>
          </w:tcPr>
          <w:p>
            <w:pPr>
              <w:spacing w:after="0"/>
              <w:rPr>
                <w:sz w:val="19"/>
                <w:szCs w:val="19"/>
                <w:color w:val="auto"/>
              </w:rPr>
            </w:pPr>
          </w:p>
        </w:tc>
        <w:tc>
          <w:tcPr>
            <w:tcW w:w="1160" w:type="dxa"/>
            <w:vAlign w:val="bottom"/>
            <w:tcBorders>
              <w:bottom w:val="single" w:sz="8" w:color="007CBA"/>
              <w:right w:val="single" w:sz="8" w:color="007CBA"/>
            </w:tcBorders>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w w:val="99"/>
              </w:rPr>
              <w:t>Fair Value</w:t>
            </w:r>
          </w:p>
        </w:tc>
        <w:tc>
          <w:tcPr>
            <w:tcW w:w="140" w:type="dxa"/>
            <w:vAlign w:val="bottom"/>
            <w:tcBorders>
              <w:bottom w:val="single" w:sz="8" w:color="007CBA"/>
            </w:tcBorders>
            <w:shd w:val="clear" w:color="auto" w:fill="007CBA"/>
          </w:tcPr>
          <w:p>
            <w:pPr>
              <w:spacing w:after="0"/>
              <w:rPr>
                <w:sz w:val="19"/>
                <w:szCs w:val="19"/>
                <w:color w:val="auto"/>
              </w:rPr>
            </w:pPr>
          </w:p>
        </w:tc>
        <w:tc>
          <w:tcPr>
            <w:tcW w:w="1300" w:type="dxa"/>
            <w:vAlign w:val="bottom"/>
            <w:tcBorders>
              <w:bottom w:val="single" w:sz="8" w:color="007CBA"/>
            </w:tcBorders>
            <w:shd w:val="clear" w:color="auto" w:fill="007CBA"/>
          </w:tcPr>
          <w:p>
            <w:pPr>
              <w:jc w:val="right"/>
              <w:ind w:right="379"/>
              <w:spacing w:after="0"/>
              <w:rPr>
                <w:sz w:val="20"/>
                <w:szCs w:val="20"/>
                <w:color w:val="auto"/>
              </w:rPr>
            </w:pPr>
            <w:r>
              <w:rPr>
                <w:rFonts w:ascii="Calibri" w:cs="Calibri" w:eastAsia="Calibri" w:hAnsi="Calibri"/>
                <w:sz w:val="16"/>
                <w:szCs w:val="16"/>
                <w:b w:val="1"/>
                <w:bCs w:val="1"/>
                <w:color w:val="FFFFFF"/>
              </w:rPr>
              <w:t>Awards</w:t>
            </w:r>
          </w:p>
        </w:tc>
        <w:tc>
          <w:tcPr>
            <w:tcW w:w="180" w:type="dxa"/>
            <w:vAlign w:val="bottom"/>
            <w:tcBorders>
              <w:bottom w:val="single" w:sz="8" w:color="007CBA"/>
            </w:tcBorders>
            <w:shd w:val="clear" w:color="auto" w:fill="007CBA"/>
          </w:tcPr>
          <w:p>
            <w:pPr>
              <w:spacing w:after="0"/>
              <w:rPr>
                <w:sz w:val="19"/>
                <w:szCs w:val="19"/>
                <w:color w:val="auto"/>
              </w:rPr>
            </w:pPr>
          </w:p>
        </w:tc>
        <w:tc>
          <w:tcPr>
            <w:tcW w:w="140" w:type="dxa"/>
            <w:vAlign w:val="bottom"/>
            <w:tcBorders>
              <w:bottom w:val="single" w:sz="8" w:color="007CBA"/>
            </w:tcBorders>
            <w:shd w:val="clear" w:color="auto" w:fill="007CBA"/>
          </w:tcPr>
          <w:p>
            <w:pPr>
              <w:spacing w:after="0"/>
              <w:rPr>
                <w:sz w:val="19"/>
                <w:szCs w:val="19"/>
                <w:color w:val="auto"/>
              </w:rPr>
            </w:pPr>
          </w:p>
        </w:tc>
        <w:tc>
          <w:tcPr>
            <w:tcW w:w="1120" w:type="dxa"/>
            <w:vAlign w:val="bottom"/>
            <w:tcBorders>
              <w:bottom w:val="single" w:sz="8" w:color="007CBA"/>
              <w:right w:val="single" w:sz="8" w:color="007CBA"/>
            </w:tcBorders>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w w:val="99"/>
              </w:rPr>
              <w:t>Fair Value</w:t>
            </w:r>
          </w:p>
        </w:tc>
        <w:tc>
          <w:tcPr>
            <w:tcW w:w="120" w:type="dxa"/>
            <w:vAlign w:val="bottom"/>
            <w:tcBorders>
              <w:bottom w:val="single" w:sz="8" w:color="007CBA"/>
            </w:tcBorders>
            <w:shd w:val="clear" w:color="auto" w:fill="007CBA"/>
          </w:tcPr>
          <w:p>
            <w:pPr>
              <w:spacing w:after="0"/>
              <w:rPr>
                <w:sz w:val="19"/>
                <w:szCs w:val="19"/>
                <w:color w:val="auto"/>
              </w:rPr>
            </w:pPr>
          </w:p>
        </w:tc>
        <w:tc>
          <w:tcPr>
            <w:tcW w:w="1280" w:type="dxa"/>
            <w:vAlign w:val="bottom"/>
            <w:tcBorders>
              <w:bottom w:val="single" w:sz="8" w:color="007CBA"/>
            </w:tcBorders>
            <w:shd w:val="clear" w:color="auto" w:fill="007CBA"/>
          </w:tcPr>
          <w:p>
            <w:pPr>
              <w:jc w:val="right"/>
              <w:ind w:right="359"/>
              <w:spacing w:after="0"/>
              <w:rPr>
                <w:sz w:val="20"/>
                <w:szCs w:val="20"/>
                <w:color w:val="auto"/>
              </w:rPr>
            </w:pPr>
            <w:r>
              <w:rPr>
                <w:rFonts w:ascii="Calibri" w:cs="Calibri" w:eastAsia="Calibri" w:hAnsi="Calibri"/>
                <w:sz w:val="16"/>
                <w:szCs w:val="16"/>
                <w:b w:val="1"/>
                <w:bCs w:val="1"/>
                <w:color w:val="FFFFFF"/>
              </w:rPr>
              <w:t>Awards</w:t>
            </w:r>
          </w:p>
        </w:tc>
        <w:tc>
          <w:tcPr>
            <w:tcW w:w="180" w:type="dxa"/>
            <w:vAlign w:val="bottom"/>
            <w:tcBorders>
              <w:bottom w:val="single" w:sz="8" w:color="007CBA"/>
            </w:tcBorders>
            <w:shd w:val="clear" w:color="auto" w:fill="007CBA"/>
          </w:tcPr>
          <w:p>
            <w:pPr>
              <w:spacing w:after="0"/>
              <w:rPr>
                <w:sz w:val="19"/>
                <w:szCs w:val="19"/>
                <w:color w:val="auto"/>
              </w:rPr>
            </w:pPr>
          </w:p>
        </w:tc>
        <w:tc>
          <w:tcPr>
            <w:tcW w:w="140" w:type="dxa"/>
            <w:vAlign w:val="bottom"/>
            <w:tcBorders>
              <w:bottom w:val="single" w:sz="8" w:color="007CBA"/>
            </w:tcBorders>
            <w:shd w:val="clear" w:color="auto" w:fill="007CBA"/>
          </w:tcPr>
          <w:p>
            <w:pPr>
              <w:spacing w:after="0"/>
              <w:rPr>
                <w:sz w:val="19"/>
                <w:szCs w:val="19"/>
                <w:color w:val="auto"/>
              </w:rPr>
            </w:pPr>
          </w:p>
        </w:tc>
        <w:tc>
          <w:tcPr>
            <w:tcW w:w="1120" w:type="dxa"/>
            <w:vAlign w:val="bottom"/>
            <w:tcBorders>
              <w:bottom w:val="single" w:sz="8" w:color="007CBA"/>
            </w:tcBorders>
            <w:shd w:val="clear" w:color="auto" w:fill="007CBA"/>
          </w:tcPr>
          <w:p>
            <w:pPr>
              <w:jc w:val="center"/>
              <w:ind w:right="179"/>
              <w:spacing w:after="0"/>
              <w:rPr>
                <w:sz w:val="20"/>
                <w:szCs w:val="20"/>
                <w:color w:val="auto"/>
              </w:rPr>
            </w:pPr>
            <w:r>
              <w:rPr>
                <w:rFonts w:ascii="Calibri" w:cs="Calibri" w:eastAsia="Calibri" w:hAnsi="Calibri"/>
                <w:sz w:val="16"/>
                <w:szCs w:val="16"/>
                <w:b w:val="1"/>
                <w:bCs w:val="1"/>
                <w:color w:val="FFFFFF"/>
                <w:w w:val="99"/>
              </w:rPr>
              <w:t>Fair Value</w:t>
            </w:r>
          </w:p>
        </w:tc>
      </w:tr>
      <w:tr>
        <w:trPr>
          <w:trHeight w:val="194"/>
        </w:trPr>
        <w:tc>
          <w:tcPr>
            <w:tcW w:w="256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January 1, 2023</w:t>
            </w:r>
          </w:p>
        </w:tc>
        <w:tc>
          <w:tcPr>
            <w:tcW w:w="148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215,644</w:t>
            </w:r>
          </w:p>
        </w:tc>
        <w:tc>
          <w:tcPr>
            <w:tcW w:w="3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272.86</w:t>
            </w:r>
          </w:p>
        </w:tc>
        <w:tc>
          <w:tcPr>
            <w:tcW w:w="1440" w:type="dxa"/>
            <w:vAlign w:val="bottom"/>
            <w:gridSpan w:val="2"/>
          </w:tcPr>
          <w:p>
            <w:pPr>
              <w:jc w:val="right"/>
              <w:ind w:right="39"/>
              <w:spacing w:after="0" w:line="193" w:lineRule="exact"/>
              <w:rPr>
                <w:sz w:val="20"/>
                <w:szCs w:val="20"/>
                <w:color w:val="auto"/>
              </w:rPr>
            </w:pPr>
            <w:r>
              <w:rPr>
                <w:rFonts w:ascii="Calibri" w:cs="Calibri" w:eastAsia="Calibri" w:hAnsi="Calibri"/>
                <w:sz w:val="16"/>
                <w:szCs w:val="16"/>
                <w:color w:val="auto"/>
              </w:rPr>
              <w:t>103,795</w:t>
            </w:r>
          </w:p>
        </w:tc>
        <w:tc>
          <w:tcPr>
            <w:tcW w:w="3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20" w:type="dxa"/>
            <w:vAlign w:val="bottom"/>
            <w:tcBorders>
              <w:right w:val="single" w:sz="8" w:color="007CBA"/>
            </w:tcBorders>
          </w:tcPr>
          <w:p>
            <w:pPr>
              <w:jc w:val="right"/>
              <w:ind w:right="39"/>
              <w:spacing w:after="0" w:line="193" w:lineRule="exact"/>
              <w:rPr>
                <w:sz w:val="20"/>
                <w:szCs w:val="20"/>
                <w:color w:val="auto"/>
              </w:rPr>
            </w:pPr>
            <w:r>
              <w:rPr>
                <w:rFonts w:ascii="Calibri" w:cs="Calibri" w:eastAsia="Calibri" w:hAnsi="Calibri"/>
                <w:sz w:val="16"/>
                <w:szCs w:val="16"/>
                <w:color w:val="auto"/>
              </w:rPr>
              <w:t>339.17</w:t>
            </w:r>
          </w:p>
        </w:tc>
        <w:tc>
          <w:tcPr>
            <w:tcW w:w="1400" w:type="dxa"/>
            <w:vAlign w:val="bottom"/>
            <w:gridSpan w:val="2"/>
          </w:tcPr>
          <w:p>
            <w:pPr>
              <w:jc w:val="right"/>
              <w:ind w:right="39"/>
              <w:spacing w:after="0" w:line="193" w:lineRule="exact"/>
              <w:rPr>
                <w:sz w:val="20"/>
                <w:szCs w:val="20"/>
                <w:color w:val="auto"/>
              </w:rPr>
            </w:pPr>
            <w:r>
              <w:rPr>
                <w:rFonts w:ascii="Calibri" w:cs="Calibri" w:eastAsia="Calibri" w:hAnsi="Calibri"/>
                <w:sz w:val="16"/>
                <w:szCs w:val="16"/>
                <w:color w:val="auto"/>
              </w:rPr>
              <w:t>32,149</w:t>
            </w:r>
          </w:p>
        </w:tc>
        <w:tc>
          <w:tcPr>
            <w:tcW w:w="3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341.72</w:t>
            </w:r>
          </w:p>
        </w:tc>
      </w:tr>
      <w:tr>
        <w:trPr>
          <w:trHeight w:val="36"/>
        </w:trPr>
        <w:tc>
          <w:tcPr>
            <w:tcW w:w="2560" w:type="dxa"/>
            <w:vAlign w:val="bottom"/>
            <w:tcBorders>
              <w:right w:val="single" w:sz="8" w:color="007CBA"/>
            </w:tcBorders>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Borders>
              <w:right w:val="single" w:sz="8" w:color="007CBA"/>
            </w:tcBorders>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Borders>
              <w:right w:val="single" w:sz="8" w:color="007CBA"/>
            </w:tcBorders>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256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Awarded</w:t>
            </w:r>
          </w:p>
        </w:tc>
        <w:tc>
          <w:tcPr>
            <w:tcW w:w="1480" w:type="dxa"/>
            <w:vAlign w:val="bottom"/>
            <w:tcBorders>
              <w:bottom w:val="single" w:sz="8" w:color="E5F1F8"/>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60,982</w:t>
            </w:r>
          </w:p>
        </w:tc>
        <w:tc>
          <w:tcPr>
            <w:tcW w:w="320" w:type="dxa"/>
            <w:vAlign w:val="bottom"/>
            <w:tcBorders>
              <w:bottom w:val="single" w:sz="8" w:color="E5F1F8"/>
            </w:tcBorders>
            <w:gridSpan w:val="2"/>
            <w:shd w:val="clear" w:color="auto" w:fill="E5F1F8"/>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369.18</w:t>
            </w:r>
          </w:p>
        </w:tc>
        <w:tc>
          <w:tcPr>
            <w:tcW w:w="1440" w:type="dxa"/>
            <w:vAlign w:val="bottom"/>
            <w:tcBorders>
              <w:bottom w:val="single" w:sz="8" w:color="E5F1F8"/>
            </w:tcBorders>
            <w:gridSpan w:val="2"/>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33,103</w:t>
            </w:r>
          </w:p>
        </w:tc>
        <w:tc>
          <w:tcPr>
            <w:tcW w:w="320" w:type="dxa"/>
            <w:vAlign w:val="bottom"/>
            <w:tcBorders>
              <w:bottom w:val="single" w:sz="8" w:color="E5F1F8"/>
            </w:tcBorders>
            <w:gridSpan w:val="2"/>
            <w:shd w:val="clear" w:color="auto" w:fill="E5F1F8"/>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20" w:type="dxa"/>
            <w:vAlign w:val="bottom"/>
            <w:tcBorders>
              <w:bottom w:val="single" w:sz="8" w:color="E5F1F8"/>
              <w:right w:val="single" w:sz="8" w:color="007CBA"/>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392.73</w:t>
            </w:r>
          </w:p>
        </w:tc>
        <w:tc>
          <w:tcPr>
            <w:tcW w:w="1400" w:type="dxa"/>
            <w:vAlign w:val="bottom"/>
            <w:tcBorders>
              <w:bottom w:val="single" w:sz="8" w:color="E5F1F8"/>
            </w:tcBorders>
            <w:gridSpan w:val="2"/>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4,012</w:t>
            </w:r>
          </w:p>
        </w:tc>
        <w:tc>
          <w:tcPr>
            <w:tcW w:w="320" w:type="dxa"/>
            <w:vAlign w:val="bottom"/>
            <w:tcBorders>
              <w:bottom w:val="single" w:sz="8" w:color="E5F1F8"/>
            </w:tcBorders>
            <w:gridSpan w:val="2"/>
            <w:shd w:val="clear" w:color="auto" w:fill="E5F1F8"/>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2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362.08</w:t>
            </w:r>
          </w:p>
        </w:tc>
      </w:tr>
      <w:tr>
        <w:trPr>
          <w:trHeight w:val="193"/>
        </w:trPr>
        <w:tc>
          <w:tcPr>
            <w:tcW w:w="256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Distributed</w:t>
            </w:r>
          </w:p>
        </w:tc>
        <w:tc>
          <w:tcPr>
            <w:tcW w:w="1480" w:type="dxa"/>
            <w:vAlign w:val="bottom"/>
          </w:tcPr>
          <w:p>
            <w:pPr>
              <w:jc w:val="right"/>
              <w:spacing w:after="0" w:line="193" w:lineRule="exact"/>
              <w:rPr>
                <w:sz w:val="20"/>
                <w:szCs w:val="20"/>
                <w:color w:val="auto"/>
              </w:rPr>
            </w:pPr>
            <w:r>
              <w:rPr>
                <w:rFonts w:ascii="Calibri" w:cs="Calibri" w:eastAsia="Calibri" w:hAnsi="Calibri"/>
                <w:sz w:val="16"/>
                <w:szCs w:val="16"/>
                <w:color w:val="auto"/>
              </w:rPr>
              <w:t>(59,184 )</w:t>
            </w:r>
          </w:p>
        </w:tc>
        <w:tc>
          <w:tcPr>
            <w:tcW w:w="3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Borders>
              <w:right w:val="single" w:sz="8" w:color="007CBA"/>
            </w:tcBorders>
          </w:tcPr>
          <w:p>
            <w:pPr>
              <w:jc w:val="right"/>
              <w:ind w:right="59"/>
              <w:spacing w:after="0" w:line="193" w:lineRule="exact"/>
              <w:rPr>
                <w:sz w:val="20"/>
                <w:szCs w:val="20"/>
                <w:color w:val="auto"/>
              </w:rPr>
            </w:pPr>
            <w:r>
              <w:rPr>
                <w:rFonts w:ascii="Calibri" w:cs="Calibri" w:eastAsia="Calibri" w:hAnsi="Calibri"/>
                <w:sz w:val="16"/>
                <w:szCs w:val="16"/>
                <w:color w:val="auto"/>
              </w:rPr>
              <w:t>305.80</w:t>
            </w:r>
          </w:p>
        </w:tc>
        <w:tc>
          <w:tcPr>
            <w:tcW w:w="14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(70,370 )</w:t>
            </w:r>
          </w:p>
        </w:tc>
        <w:tc>
          <w:tcPr>
            <w:tcW w:w="3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20" w:type="dxa"/>
            <w:vAlign w:val="bottom"/>
            <w:tcBorders>
              <w:right w:val="single" w:sz="8" w:color="007CBA"/>
            </w:tcBorders>
          </w:tcPr>
          <w:p>
            <w:pPr>
              <w:jc w:val="right"/>
              <w:ind w:right="39"/>
              <w:spacing w:after="0" w:line="193" w:lineRule="exact"/>
              <w:rPr>
                <w:sz w:val="20"/>
                <w:szCs w:val="20"/>
                <w:color w:val="auto"/>
              </w:rPr>
            </w:pPr>
            <w:r>
              <w:rPr>
                <w:rFonts w:ascii="Calibri" w:cs="Calibri" w:eastAsia="Calibri" w:hAnsi="Calibri"/>
                <w:sz w:val="16"/>
                <w:szCs w:val="16"/>
                <w:color w:val="auto"/>
              </w:rPr>
              <w:t>266.97</w:t>
            </w:r>
          </w:p>
        </w:tc>
        <w:tc>
          <w:tcPr>
            <w:tcW w:w="140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(18,835 )</w:t>
            </w:r>
          </w:p>
        </w:tc>
        <w:tc>
          <w:tcPr>
            <w:tcW w:w="3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325.48</w:t>
            </w:r>
          </w:p>
        </w:tc>
      </w:tr>
      <w:tr>
        <w:trPr>
          <w:trHeight w:val="36"/>
        </w:trPr>
        <w:tc>
          <w:tcPr>
            <w:tcW w:w="2560" w:type="dxa"/>
            <w:vAlign w:val="bottom"/>
            <w:tcBorders>
              <w:right w:val="single" w:sz="8" w:color="007CBA"/>
            </w:tcBorders>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Borders>
              <w:right w:val="single" w:sz="8" w:color="007CBA"/>
            </w:tcBorders>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Borders>
              <w:right w:val="single" w:sz="8" w:color="007CBA"/>
            </w:tcBorders>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0"/>
        </w:trPr>
        <w:tc>
          <w:tcPr>
            <w:tcW w:w="256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Forfeited</w:t>
            </w:r>
          </w:p>
        </w:tc>
        <w:tc>
          <w:tcPr>
            <w:tcW w:w="148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(6,799 )</w:t>
            </w:r>
          </w:p>
        </w:tc>
        <w:tc>
          <w:tcPr>
            <w:tcW w:w="320" w:type="dxa"/>
            <w:vAlign w:val="bottom"/>
            <w:tcBorders>
              <w:bottom w:val="single" w:sz="8" w:color="E5F1F8"/>
            </w:tcBorders>
            <w:gridSpan w:val="2"/>
            <w:shd w:val="clear" w:color="auto" w:fill="E5F1F8"/>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Borders>
              <w:bottom w:val="single" w:sz="8" w:color="E5F1F8"/>
              <w:right w:val="single" w:sz="8" w:color="007CBA"/>
            </w:tcBorders>
            <w:shd w:val="clear" w:color="auto" w:fill="E5F1F8"/>
          </w:tcPr>
          <w:p>
            <w:pPr>
              <w:jc w:val="right"/>
              <w:ind w:right="59"/>
              <w:spacing w:after="0" w:line="193" w:lineRule="exact"/>
              <w:rPr>
                <w:sz w:val="20"/>
                <w:szCs w:val="20"/>
                <w:color w:val="auto"/>
              </w:rPr>
            </w:pPr>
            <w:r>
              <w:rPr>
                <w:rFonts w:ascii="Calibri" w:cs="Calibri" w:eastAsia="Calibri" w:hAnsi="Calibri"/>
                <w:sz w:val="16"/>
                <w:szCs w:val="16"/>
                <w:color w:val="auto"/>
              </w:rPr>
              <w:t>341.96</w:t>
            </w:r>
          </w:p>
        </w:tc>
        <w:tc>
          <w:tcPr>
            <w:tcW w:w="1440" w:type="dxa"/>
            <w:vAlign w:val="bottom"/>
            <w:tcBorders>
              <w:bottom w:val="single" w:sz="8" w:color="E5F1F8"/>
            </w:tcBorders>
            <w:gridSpan w:val="2"/>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(1,626 )</w:t>
            </w:r>
          </w:p>
        </w:tc>
        <w:tc>
          <w:tcPr>
            <w:tcW w:w="320" w:type="dxa"/>
            <w:vAlign w:val="bottom"/>
            <w:tcBorders>
              <w:bottom w:val="single" w:sz="8" w:color="E5F1F8"/>
            </w:tcBorders>
            <w:gridSpan w:val="2"/>
            <w:shd w:val="clear" w:color="auto" w:fill="E5F1F8"/>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20" w:type="dxa"/>
            <w:vAlign w:val="bottom"/>
            <w:tcBorders>
              <w:bottom w:val="single" w:sz="8" w:color="E5F1F8"/>
              <w:right w:val="single" w:sz="8" w:color="007CBA"/>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371.00</w:t>
            </w:r>
          </w:p>
        </w:tc>
        <w:tc>
          <w:tcPr>
            <w:tcW w:w="120" w:type="dxa"/>
            <w:vAlign w:val="bottom"/>
            <w:tcBorders>
              <w:bottom w:val="single" w:sz="8" w:color="E5F1F8"/>
            </w:tcBorders>
            <w:shd w:val="clear" w:color="auto" w:fill="E5F1F8"/>
          </w:tcPr>
          <w:p>
            <w:pPr>
              <w:spacing w:after="0"/>
              <w:rPr>
                <w:sz w:val="18"/>
                <w:szCs w:val="18"/>
                <w:color w:val="auto"/>
              </w:rPr>
            </w:pPr>
          </w:p>
        </w:tc>
        <w:tc>
          <w:tcPr>
            <w:tcW w:w="128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320" w:type="dxa"/>
            <w:vAlign w:val="bottom"/>
            <w:tcBorders>
              <w:bottom w:val="single" w:sz="8" w:color="E5F1F8"/>
            </w:tcBorders>
            <w:gridSpan w:val="2"/>
            <w:shd w:val="clear" w:color="auto" w:fill="E5F1F8"/>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20" w:type="dxa"/>
            <w:vAlign w:val="bottom"/>
            <w:tcBorders>
              <w:bottom w:val="single" w:sz="8" w:color="E5F1F8"/>
            </w:tcBorders>
            <w:shd w:val="clear" w:color="auto" w:fill="E5F1F8"/>
          </w:tcPr>
          <w:p>
            <w:pPr>
              <w:jc w:val="right"/>
              <w:ind w:right="39"/>
              <w:spacing w:after="0" w:line="193" w:lineRule="exact"/>
              <w:rPr>
                <w:sz w:val="20"/>
                <w:szCs w:val="20"/>
                <w:color w:val="auto"/>
              </w:rPr>
            </w:pPr>
            <w:r>
              <w:rPr>
                <w:rFonts w:ascii="Calibri" w:cs="Calibri" w:eastAsia="Calibri" w:hAnsi="Calibri"/>
                <w:sz w:val="16"/>
                <w:szCs w:val="16"/>
                <w:color w:val="auto"/>
              </w:rPr>
              <w:t>—</w:t>
            </w:r>
          </w:p>
        </w:tc>
      </w:tr>
      <w:tr>
        <w:trPr>
          <w:trHeight w:val="194"/>
        </w:trPr>
        <w:tc>
          <w:tcPr>
            <w:tcW w:w="2560" w:type="dxa"/>
            <w:vAlign w:val="bottom"/>
          </w:tcPr>
          <w:p>
            <w:pPr>
              <w:ind w:left="120"/>
              <w:spacing w:after="0" w:line="193" w:lineRule="exact"/>
              <w:rPr>
                <w:sz w:val="20"/>
                <w:szCs w:val="20"/>
                <w:color w:val="auto"/>
              </w:rPr>
            </w:pPr>
            <w:r>
              <w:rPr>
                <w:rFonts w:ascii="Calibri" w:cs="Calibri" w:eastAsia="Calibri" w:hAnsi="Calibri"/>
                <w:sz w:val="16"/>
                <w:szCs w:val="16"/>
                <w:color w:val="auto"/>
              </w:rPr>
              <w:t>Adjustment for performance</w:t>
            </w:r>
          </w:p>
        </w:tc>
        <w:tc>
          <w:tcPr>
            <w:tcW w:w="148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3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w:t>
            </w:r>
          </w:p>
        </w:tc>
        <w:tc>
          <w:tcPr>
            <w:tcW w:w="1440" w:type="dxa"/>
            <w:vAlign w:val="bottom"/>
            <w:gridSpan w:val="2"/>
          </w:tcPr>
          <w:p>
            <w:pPr>
              <w:jc w:val="right"/>
              <w:ind w:right="39"/>
              <w:spacing w:after="0" w:line="193" w:lineRule="exact"/>
              <w:rPr>
                <w:sz w:val="20"/>
                <w:szCs w:val="20"/>
                <w:color w:val="auto"/>
              </w:rPr>
            </w:pPr>
            <w:r>
              <w:rPr>
                <w:rFonts w:ascii="Calibri" w:cs="Calibri" w:eastAsia="Calibri" w:hAnsi="Calibri"/>
                <w:sz w:val="16"/>
                <w:szCs w:val="16"/>
                <w:color w:val="auto"/>
              </w:rPr>
              <w:t>33,248</w:t>
            </w:r>
          </w:p>
        </w:tc>
        <w:tc>
          <w:tcPr>
            <w:tcW w:w="3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266.97</w:t>
            </w:r>
          </w:p>
        </w:tc>
        <w:tc>
          <w:tcPr>
            <w:tcW w:w="120" w:type="dxa"/>
            <w:vAlign w:val="bottom"/>
          </w:tcPr>
          <w:p>
            <w:pPr>
              <w:spacing w:after="0"/>
              <w:rPr>
                <w:sz w:val="16"/>
                <w:szCs w:val="16"/>
                <w:color w:val="auto"/>
              </w:rPr>
            </w:pPr>
          </w:p>
        </w:tc>
        <w:tc>
          <w:tcPr>
            <w:tcW w:w="128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32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w:t>
            </w:r>
          </w:p>
        </w:tc>
        <w:tc>
          <w:tcPr>
            <w:tcW w:w="112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r>
      <w:tr>
        <w:trPr>
          <w:trHeight w:val="56"/>
        </w:trPr>
        <w:tc>
          <w:tcPr>
            <w:tcW w:w="25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28"/>
        </w:trPr>
        <w:tc>
          <w:tcPr>
            <w:tcW w:w="2560" w:type="dxa"/>
            <w:vAlign w:val="bottom"/>
            <w:tcBorders>
              <w:top w:val="single" w:sz="8" w:color="auto"/>
              <w:bottom w:val="single" w:sz="8" w:color="E5F1F8"/>
              <w:right w:val="single" w:sz="8" w:color="E5F1F8"/>
            </w:tcBorders>
            <w:shd w:val="clear" w:color="auto" w:fill="E5F1F8"/>
          </w:tcPr>
          <w:p>
            <w:pPr>
              <w:ind w:left="120"/>
              <w:spacing w:after="0" w:line="175" w:lineRule="exact"/>
              <w:rPr>
                <w:sz w:val="20"/>
                <w:szCs w:val="20"/>
                <w:color w:val="auto"/>
              </w:rPr>
            </w:pPr>
            <w:r>
              <w:rPr>
                <w:rFonts w:ascii="Calibri" w:cs="Calibri" w:eastAsia="Calibri" w:hAnsi="Calibri"/>
                <w:sz w:val="16"/>
                <w:szCs w:val="16"/>
                <w:color w:val="auto"/>
              </w:rPr>
              <w:t>December 31, 2023</w:t>
            </w:r>
          </w:p>
        </w:tc>
        <w:tc>
          <w:tcPr>
            <w:tcW w:w="1480" w:type="dxa"/>
            <w:vAlign w:val="bottom"/>
            <w:tcBorders>
              <w:top w:val="single" w:sz="8" w:color="auto"/>
              <w:bottom w:val="single" w:sz="8" w:color="E5F1F8"/>
            </w:tcBorders>
            <w:shd w:val="clear" w:color="auto" w:fill="E5F1F8"/>
          </w:tcPr>
          <w:p>
            <w:pPr>
              <w:jc w:val="right"/>
              <w:ind w:right="59"/>
              <w:spacing w:after="0" w:line="175" w:lineRule="exact"/>
              <w:rPr>
                <w:sz w:val="20"/>
                <w:szCs w:val="20"/>
                <w:color w:val="auto"/>
              </w:rPr>
            </w:pPr>
            <w:r>
              <w:rPr>
                <w:rFonts w:ascii="Calibri" w:cs="Calibri" w:eastAsia="Calibri" w:hAnsi="Calibri"/>
                <w:sz w:val="16"/>
                <w:szCs w:val="16"/>
                <w:color w:val="auto"/>
              </w:rPr>
              <w:t>210,643</w:t>
            </w:r>
          </w:p>
        </w:tc>
        <w:tc>
          <w:tcPr>
            <w:tcW w:w="320" w:type="dxa"/>
            <w:vAlign w:val="bottom"/>
            <w:tcBorders>
              <w:top w:val="single" w:sz="8" w:color="E5F1F8"/>
              <w:bottom w:val="single" w:sz="8" w:color="E5F1F8"/>
            </w:tcBorders>
            <w:gridSpan w:val="2"/>
            <w:shd w:val="clear" w:color="auto" w:fill="E5F1F8"/>
          </w:tcPr>
          <w:p>
            <w:pPr>
              <w:jc w:val="right"/>
              <w:ind w:right="40"/>
              <w:spacing w:after="0" w:line="175" w:lineRule="exact"/>
              <w:rPr>
                <w:sz w:val="20"/>
                <w:szCs w:val="20"/>
                <w:color w:val="auto"/>
              </w:rPr>
            </w:pPr>
            <w:r>
              <w:rPr>
                <w:rFonts w:ascii="Calibri" w:cs="Calibri" w:eastAsia="Calibri" w:hAnsi="Calibri"/>
                <w:sz w:val="16"/>
                <w:szCs w:val="16"/>
                <w:color w:val="auto"/>
              </w:rPr>
              <w:t>$</w:t>
            </w:r>
          </w:p>
        </w:tc>
        <w:tc>
          <w:tcPr>
            <w:tcW w:w="1160" w:type="dxa"/>
            <w:vAlign w:val="bottom"/>
            <w:tcBorders>
              <w:top w:val="single" w:sz="8" w:color="E5F1F8"/>
              <w:bottom w:val="single" w:sz="8" w:color="E5F1F8"/>
              <w:right w:val="single" w:sz="8" w:color="E5F1F8"/>
            </w:tcBorders>
            <w:shd w:val="clear" w:color="auto" w:fill="E5F1F8"/>
          </w:tcPr>
          <w:p>
            <w:pPr>
              <w:jc w:val="right"/>
              <w:ind w:right="59"/>
              <w:spacing w:after="0" w:line="175" w:lineRule="exact"/>
              <w:rPr>
                <w:sz w:val="20"/>
                <w:szCs w:val="20"/>
                <w:color w:val="auto"/>
              </w:rPr>
            </w:pPr>
            <w:r>
              <w:rPr>
                <w:rFonts w:ascii="Calibri" w:cs="Calibri" w:eastAsia="Calibri" w:hAnsi="Calibri"/>
                <w:sz w:val="16"/>
                <w:szCs w:val="16"/>
                <w:color w:val="auto"/>
              </w:rPr>
              <w:t>289.26</w:t>
            </w:r>
          </w:p>
        </w:tc>
        <w:tc>
          <w:tcPr>
            <w:tcW w:w="1440" w:type="dxa"/>
            <w:vAlign w:val="bottom"/>
            <w:tcBorders>
              <w:top w:val="single" w:sz="8" w:color="E5F1F8"/>
              <w:bottom w:val="single" w:sz="8" w:color="E5F1F8"/>
            </w:tcBorders>
            <w:gridSpan w:val="2"/>
            <w:shd w:val="clear" w:color="auto" w:fill="E5F1F8"/>
          </w:tcPr>
          <w:p>
            <w:pPr>
              <w:jc w:val="right"/>
              <w:ind w:right="39"/>
              <w:spacing w:after="0" w:line="174" w:lineRule="exact"/>
              <w:rPr>
                <w:sz w:val="20"/>
                <w:szCs w:val="20"/>
                <w:color w:val="auto"/>
              </w:rPr>
            </w:pPr>
            <w:r>
              <w:rPr>
                <w:rFonts w:ascii="Calibri" w:cs="Calibri" w:eastAsia="Calibri" w:hAnsi="Calibri"/>
                <w:sz w:val="16"/>
                <w:szCs w:val="16"/>
                <w:color w:val="auto"/>
              </w:rPr>
              <w:t>98,150</w:t>
            </w:r>
          </w:p>
        </w:tc>
        <w:tc>
          <w:tcPr>
            <w:tcW w:w="320" w:type="dxa"/>
            <w:vAlign w:val="bottom"/>
            <w:tcBorders>
              <w:top w:val="single" w:sz="8" w:color="E5F1F8"/>
              <w:bottom w:val="single" w:sz="8" w:color="E5F1F8"/>
            </w:tcBorders>
            <w:gridSpan w:val="2"/>
            <w:shd w:val="clear" w:color="auto" w:fill="E5F1F8"/>
          </w:tcPr>
          <w:p>
            <w:pPr>
              <w:jc w:val="right"/>
              <w:ind w:right="40"/>
              <w:spacing w:after="0" w:line="175" w:lineRule="exact"/>
              <w:rPr>
                <w:sz w:val="20"/>
                <w:szCs w:val="20"/>
                <w:color w:val="auto"/>
              </w:rPr>
            </w:pPr>
            <w:r>
              <w:rPr>
                <w:rFonts w:ascii="Calibri" w:cs="Calibri" w:eastAsia="Calibri" w:hAnsi="Calibri"/>
                <w:sz w:val="16"/>
                <w:szCs w:val="16"/>
                <w:color w:val="auto"/>
              </w:rPr>
              <w:t>$</w:t>
            </w:r>
          </w:p>
        </w:tc>
        <w:tc>
          <w:tcPr>
            <w:tcW w:w="1120" w:type="dxa"/>
            <w:vAlign w:val="bottom"/>
            <w:tcBorders>
              <w:top w:val="single" w:sz="8" w:color="E5F1F8"/>
              <w:bottom w:val="single" w:sz="8" w:color="E5F1F8"/>
              <w:right w:val="single" w:sz="8" w:color="E5F1F8"/>
            </w:tcBorders>
            <w:shd w:val="clear" w:color="auto" w:fill="E5F1F8"/>
          </w:tcPr>
          <w:p>
            <w:pPr>
              <w:jc w:val="right"/>
              <w:ind w:right="39"/>
              <w:spacing w:after="0" w:line="175" w:lineRule="exact"/>
              <w:rPr>
                <w:sz w:val="20"/>
                <w:szCs w:val="20"/>
                <w:color w:val="auto"/>
              </w:rPr>
            </w:pPr>
            <w:r>
              <w:rPr>
                <w:rFonts w:ascii="Calibri" w:cs="Calibri" w:eastAsia="Calibri" w:hAnsi="Calibri"/>
                <w:sz w:val="16"/>
                <w:szCs w:val="16"/>
                <w:color w:val="auto"/>
              </w:rPr>
              <w:t>384.02</w:t>
            </w:r>
          </w:p>
        </w:tc>
        <w:tc>
          <w:tcPr>
            <w:tcW w:w="1400" w:type="dxa"/>
            <w:vAlign w:val="bottom"/>
            <w:tcBorders>
              <w:top w:val="single" w:sz="8" w:color="E5F1F8"/>
              <w:bottom w:val="single" w:sz="8" w:color="E5F1F8"/>
            </w:tcBorders>
            <w:gridSpan w:val="2"/>
            <w:shd w:val="clear" w:color="auto" w:fill="E5F1F8"/>
          </w:tcPr>
          <w:p>
            <w:pPr>
              <w:jc w:val="right"/>
              <w:ind w:right="39"/>
              <w:spacing w:after="0" w:line="174" w:lineRule="exact"/>
              <w:rPr>
                <w:sz w:val="20"/>
                <w:szCs w:val="20"/>
                <w:color w:val="auto"/>
              </w:rPr>
            </w:pPr>
            <w:r>
              <w:rPr>
                <w:rFonts w:ascii="Calibri" w:cs="Calibri" w:eastAsia="Calibri" w:hAnsi="Calibri"/>
                <w:sz w:val="16"/>
                <w:szCs w:val="16"/>
                <w:color w:val="auto"/>
              </w:rPr>
              <w:t>17,326</w:t>
            </w:r>
          </w:p>
        </w:tc>
        <w:tc>
          <w:tcPr>
            <w:tcW w:w="320" w:type="dxa"/>
            <w:vAlign w:val="bottom"/>
            <w:tcBorders>
              <w:top w:val="single" w:sz="8" w:color="E5F1F8"/>
              <w:bottom w:val="single" w:sz="8" w:color="E5F1F8"/>
            </w:tcBorders>
            <w:gridSpan w:val="2"/>
            <w:shd w:val="clear" w:color="auto" w:fill="E5F1F8"/>
          </w:tcPr>
          <w:p>
            <w:pPr>
              <w:jc w:val="right"/>
              <w:ind w:right="40"/>
              <w:spacing w:after="0" w:line="175" w:lineRule="exact"/>
              <w:rPr>
                <w:sz w:val="20"/>
                <w:szCs w:val="20"/>
                <w:color w:val="auto"/>
              </w:rPr>
            </w:pPr>
            <w:r>
              <w:rPr>
                <w:rFonts w:ascii="Calibri" w:cs="Calibri" w:eastAsia="Calibri" w:hAnsi="Calibri"/>
                <w:sz w:val="16"/>
                <w:szCs w:val="16"/>
                <w:color w:val="auto"/>
              </w:rPr>
              <w:t>$</w:t>
            </w:r>
          </w:p>
        </w:tc>
        <w:tc>
          <w:tcPr>
            <w:tcW w:w="1120" w:type="dxa"/>
            <w:vAlign w:val="bottom"/>
            <w:tcBorders>
              <w:top w:val="single" w:sz="8" w:color="E5F1F8"/>
              <w:bottom w:val="single" w:sz="8" w:color="E5F1F8"/>
            </w:tcBorders>
            <w:shd w:val="clear" w:color="auto" w:fill="E5F1F8"/>
          </w:tcPr>
          <w:p>
            <w:pPr>
              <w:jc w:val="right"/>
              <w:ind w:right="39"/>
              <w:spacing w:after="0" w:line="175" w:lineRule="exact"/>
              <w:rPr>
                <w:sz w:val="20"/>
                <w:szCs w:val="20"/>
                <w:color w:val="auto"/>
              </w:rPr>
            </w:pPr>
            <w:r>
              <w:rPr>
                <w:rFonts w:ascii="Calibri" w:cs="Calibri" w:eastAsia="Calibri" w:hAnsi="Calibri"/>
                <w:sz w:val="16"/>
                <w:szCs w:val="16"/>
                <w:color w:val="auto"/>
              </w:rPr>
              <w:t>364.09</w:t>
            </w:r>
          </w:p>
        </w:tc>
      </w:tr>
      <w:tr>
        <w:trPr>
          <w:trHeight w:val="20"/>
        </w:trPr>
        <w:tc>
          <w:tcPr>
            <w:tcW w:w="25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5F1F8"/>
            </w:tcBorders>
            <w:shd w:val="clear" w:color="auto" w:fill="E5F1F8"/>
          </w:tcPr>
          <w:p>
            <w:pPr>
              <w:spacing w:after="0" w:line="20" w:lineRule="exact"/>
              <w:rPr>
                <w:sz w:val="1"/>
                <w:szCs w:val="1"/>
                <w:color w:val="auto"/>
              </w:rPr>
            </w:pPr>
          </w:p>
        </w:tc>
        <w:tc>
          <w:tcPr>
            <w:tcW w:w="140" w:type="dxa"/>
            <w:vAlign w:val="bottom"/>
            <w:tcBorders>
              <w:top w:val="single" w:sz="8" w:color="E5F1F8"/>
            </w:tcBorders>
            <w:shd w:val="clear" w:color="auto" w:fill="000000"/>
          </w:tcPr>
          <w:p>
            <w:pPr>
              <w:spacing w:after="0" w:line="20" w:lineRule="exact"/>
              <w:rPr>
                <w:sz w:val="1"/>
                <w:szCs w:val="1"/>
                <w:color w:val="auto"/>
              </w:rPr>
            </w:pPr>
          </w:p>
        </w:tc>
        <w:tc>
          <w:tcPr>
            <w:tcW w:w="1160" w:type="dxa"/>
            <w:vAlign w:val="bottom"/>
            <w:tcBorders>
              <w:top w:val="single" w:sz="8" w:color="E5F1F8"/>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E5F1F8"/>
            </w:tcBorders>
            <w:shd w:val="clear" w:color="auto" w:fill="E5F1F8"/>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5F1F8"/>
            </w:tcBorders>
            <w:shd w:val="clear" w:color="auto" w:fill="E5F1F8"/>
          </w:tcPr>
          <w:p>
            <w:pPr>
              <w:spacing w:after="0" w:line="20" w:lineRule="exact"/>
              <w:rPr>
                <w:sz w:val="1"/>
                <w:szCs w:val="1"/>
                <w:color w:val="auto"/>
              </w:rPr>
            </w:pPr>
          </w:p>
        </w:tc>
        <w:tc>
          <w:tcPr>
            <w:tcW w:w="140" w:type="dxa"/>
            <w:vAlign w:val="bottom"/>
            <w:tcBorders>
              <w:top w:val="single" w:sz="8" w:color="E5F1F8"/>
            </w:tcBorders>
            <w:shd w:val="clear" w:color="auto" w:fill="000000"/>
          </w:tcPr>
          <w:p>
            <w:pPr>
              <w:spacing w:after="0" w:line="20" w:lineRule="exact"/>
              <w:rPr>
                <w:sz w:val="1"/>
                <w:szCs w:val="1"/>
                <w:color w:val="auto"/>
              </w:rPr>
            </w:pPr>
          </w:p>
        </w:tc>
        <w:tc>
          <w:tcPr>
            <w:tcW w:w="1120" w:type="dxa"/>
            <w:vAlign w:val="bottom"/>
            <w:tcBorders>
              <w:top w:val="single" w:sz="8" w:color="E5F1F8"/>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E5F1F8"/>
            </w:tcBorders>
            <w:shd w:val="clear" w:color="auto" w:fill="E5F1F8"/>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5F1F8"/>
            </w:tcBorders>
            <w:shd w:val="clear" w:color="auto" w:fill="E5F1F8"/>
          </w:tcPr>
          <w:p>
            <w:pPr>
              <w:spacing w:after="0" w:line="20" w:lineRule="exact"/>
              <w:rPr>
                <w:sz w:val="1"/>
                <w:szCs w:val="1"/>
                <w:color w:val="auto"/>
              </w:rPr>
            </w:pPr>
          </w:p>
        </w:tc>
        <w:tc>
          <w:tcPr>
            <w:tcW w:w="140" w:type="dxa"/>
            <w:vAlign w:val="bottom"/>
            <w:tcBorders>
              <w:top w:val="single" w:sz="8" w:color="E5F1F8"/>
            </w:tcBorders>
            <w:shd w:val="clear" w:color="auto" w:fill="000000"/>
          </w:tcPr>
          <w:p>
            <w:pPr>
              <w:spacing w:after="0" w:line="20" w:lineRule="exact"/>
              <w:rPr>
                <w:sz w:val="1"/>
                <w:szCs w:val="1"/>
                <w:color w:val="auto"/>
              </w:rPr>
            </w:pPr>
          </w:p>
        </w:tc>
        <w:tc>
          <w:tcPr>
            <w:tcW w:w="1120" w:type="dxa"/>
            <w:vAlign w:val="bottom"/>
            <w:tcBorders>
              <w:top w:val="single" w:sz="8" w:color="E5F1F8"/>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-1448435</wp:posOffset>
            </wp:positionV>
            <wp:extent cx="542607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5426075" cy="8255"/>
                    </a:xfrm>
                    <a:prstGeom prst="rect">
                      <a:avLst/>
                    </a:prstGeom>
                    <a:noFill/>
                  </pic:spPr>
                </pic:pic>
              </a:graphicData>
            </a:graphic>
          </wp:anchor>
        </w:drawing>
        <w:drawing>
          <wp:anchor simplePos="0" relativeHeight="251657728" behindDoc="1" locked="0" layoutInCell="0" allowOverlap="1">
            <wp:simplePos x="0" y="0"/>
            <wp:positionH relativeFrom="column">
              <wp:posOffset>1604010</wp:posOffset>
            </wp:positionH>
            <wp:positionV relativeFrom="paragraph">
              <wp:posOffset>-337820</wp:posOffset>
            </wp:positionV>
            <wp:extent cx="34290" cy="3511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34290" cy="3511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-25400</wp:posOffset>
            </wp:positionV>
            <wp:extent cx="12001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-8255</wp:posOffset>
            </wp:positionV>
            <wp:extent cx="12001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-337820</wp:posOffset>
            </wp:positionV>
            <wp:extent cx="106680" cy="3511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106680" cy="3511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1111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11112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-337820</wp:posOffset>
            </wp:positionV>
            <wp:extent cx="98425" cy="3511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98425" cy="3511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11112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11112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weighted-average grant-date fair value per share of service-based restricted stock awards granted during 2023, 2022 and 2021 was $369.18, $362.77 and $342.11, respectvely. The weighted-average grant-date fair value per share of performance-based restricted stock awards granted during 2023, 2022 and 2021 was $392.73, $406.99 and $352.52, respectvely. The weighted-average grant-date fair value per share of incentve compensaton stock awards granted during 2023, 2022 and 2021 was $362.08, $369.05 and $325.30, respectvely.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aggregate intrinsic values for unvested restricted stock awards and unvested incentve compensaton stock awards at December 31, 2023 were $154.1 million and $3.6 million, respectvely, and were based on the closing price of the Company’s common stock at December 31, 2023, which was $498.91. The aggregate intrinsic values of restricted stock awards distributed during the years ended December 31, 2023, 2022 and 2021 were $47.6 million, $64.5 million and $41.1 million, respectvely. The aggregate intrinsic values of incentve compensaton stock awards distributed during the years ended December 31, 2023,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68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2" w:name="page103"/>
    <w:bookmarkEnd w:id="102"/>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ind w:firstLine="40"/>
        <w:spacing w:after="0" w:line="235" w:lineRule="auto"/>
        <w:rPr>
          <w:sz w:val="20"/>
          <w:szCs w:val="20"/>
          <w:color w:val="auto"/>
        </w:rPr>
      </w:pPr>
      <w:r>
        <w:rPr>
          <w:rFonts w:ascii="Calibri" w:cs="Calibri" w:eastAsia="Calibri" w:hAnsi="Calibri"/>
          <w:sz w:val="18"/>
          <w:szCs w:val="18"/>
          <w:color w:val="auto"/>
        </w:rPr>
        <w:t>and 2021 were $3.9 million, $3.1 million and $4.9 million, respectvely. The aggregate intrinsic values for distributed awards were based on the closing prices of the Company’s common stock on the dates of distributon.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Prior to 2016, under the Plans, the Company granted optons to employees to purchase its common stock at a price equal to the closing market value at the date of grant. Optons become exercisable in four annual installments beginning one year afer date of grant. Outstanding optons expire ten years afer the grant date.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60" w:type="dxa"/>
            <w:vAlign w:val="bottom"/>
            <w:gridSpan w:val="2"/>
          </w:tcPr>
          <w:p>
            <w:pPr>
              <w:spacing w:after="0"/>
              <w:rPr>
                <w:sz w:val="20"/>
                <w:szCs w:val="20"/>
                <w:color w:val="auto"/>
              </w:rPr>
            </w:pPr>
            <w:r>
              <w:rPr>
                <w:rFonts w:ascii="Calibri" w:cs="Calibri" w:eastAsia="Calibri" w:hAnsi="Calibri"/>
                <w:sz w:val="18"/>
                <w:szCs w:val="18"/>
                <w:color w:val="auto"/>
                <w:w w:val="99"/>
              </w:rPr>
              <w:t>The following table includes summary informaton for stock optons as of December 31, 2023:</w:t>
            </w: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131"/>
        </w:trPr>
        <w:tc>
          <w:tcPr>
            <w:tcW w:w="6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207"/>
        </w:trPr>
        <w:tc>
          <w:tcPr>
            <w:tcW w:w="640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280" w:type="dxa"/>
            <w:vAlign w:val="bottom"/>
            <w:tcBorders>
              <w:right w:val="single" w:sz="8" w:color="007CBA"/>
            </w:tcBorders>
            <w:shd w:val="clear" w:color="auto" w:fill="007CBA"/>
          </w:tcPr>
          <w:p>
            <w:pPr>
              <w:spacing w:after="0"/>
              <w:rPr>
                <w:sz w:val="18"/>
                <w:szCs w:val="18"/>
                <w:color w:val="auto"/>
              </w:rPr>
            </w:pPr>
          </w:p>
        </w:tc>
        <w:tc>
          <w:tcPr>
            <w:tcW w:w="38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spacing w:after="0"/>
              <w:rPr>
                <w:sz w:val="18"/>
                <w:szCs w:val="18"/>
                <w:color w:val="auto"/>
              </w:rPr>
            </w:pPr>
          </w:p>
        </w:tc>
        <w:tc>
          <w:tcPr>
            <w:tcW w:w="1580" w:type="dxa"/>
            <w:vAlign w:val="bottom"/>
            <w:shd w:val="clear" w:color="auto" w:fill="007CBA"/>
          </w:tcPr>
          <w:p>
            <w:pPr>
              <w:jc w:val="center"/>
              <w:spacing w:after="0" w:line="207" w:lineRule="exact"/>
              <w:rPr>
                <w:sz w:val="20"/>
                <w:szCs w:val="20"/>
                <w:color w:val="auto"/>
              </w:rPr>
            </w:pPr>
            <w:r>
              <w:rPr>
                <w:rFonts w:ascii="Calibri" w:cs="Calibri" w:eastAsia="Calibri" w:hAnsi="Calibri"/>
                <w:sz w:val="18"/>
                <w:szCs w:val="18"/>
                <w:b w:val="1"/>
                <w:bCs w:val="1"/>
                <w:color w:val="FFFFFF"/>
                <w:w w:val="96"/>
              </w:rPr>
              <w:t>Weighted-</w:t>
            </w:r>
          </w:p>
        </w:tc>
      </w:tr>
      <w:tr>
        <w:trPr>
          <w:trHeight w:val="215"/>
        </w:trPr>
        <w:tc>
          <w:tcPr>
            <w:tcW w:w="640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280" w:type="dxa"/>
            <w:vAlign w:val="bottom"/>
            <w:tcBorders>
              <w:right w:val="single" w:sz="8" w:color="007CBA"/>
            </w:tcBorders>
            <w:shd w:val="clear" w:color="auto" w:fill="007CBA"/>
          </w:tcPr>
          <w:p>
            <w:pPr>
              <w:spacing w:after="0"/>
              <w:rPr>
                <w:sz w:val="18"/>
                <w:szCs w:val="18"/>
                <w:color w:val="auto"/>
              </w:rPr>
            </w:pPr>
          </w:p>
        </w:tc>
        <w:tc>
          <w:tcPr>
            <w:tcW w:w="38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jc w:val="center"/>
              <w:ind w:right="230"/>
              <w:spacing w:after="0" w:line="215" w:lineRule="exact"/>
              <w:rPr>
                <w:sz w:val="20"/>
                <w:szCs w:val="20"/>
                <w:color w:val="auto"/>
              </w:rPr>
            </w:pPr>
            <w:r>
              <w:rPr>
                <w:rFonts w:ascii="Calibri" w:cs="Calibri" w:eastAsia="Calibri" w:hAnsi="Calibri"/>
                <w:sz w:val="18"/>
                <w:szCs w:val="18"/>
                <w:b w:val="1"/>
                <w:bCs w:val="1"/>
                <w:color w:val="FFFFFF"/>
                <w:w w:val="96"/>
              </w:rPr>
              <w:t>Weighted-</w:t>
            </w:r>
          </w:p>
        </w:tc>
        <w:tc>
          <w:tcPr>
            <w:tcW w:w="1580" w:type="dxa"/>
            <w:vAlign w:val="bottom"/>
            <w:shd w:val="clear" w:color="auto" w:fill="007CBA"/>
          </w:tcPr>
          <w:p>
            <w:pPr>
              <w:jc w:val="center"/>
              <w:spacing w:after="0" w:line="215" w:lineRule="exact"/>
              <w:rPr>
                <w:sz w:val="20"/>
                <w:szCs w:val="20"/>
                <w:color w:val="auto"/>
              </w:rPr>
            </w:pPr>
            <w:r>
              <w:rPr>
                <w:rFonts w:ascii="Calibri" w:cs="Calibri" w:eastAsia="Calibri" w:hAnsi="Calibri"/>
                <w:sz w:val="18"/>
                <w:szCs w:val="18"/>
                <w:b w:val="1"/>
                <w:bCs w:val="1"/>
                <w:color w:val="FFFFFF"/>
                <w:w w:val="97"/>
              </w:rPr>
              <w:t>Average</w:t>
            </w:r>
          </w:p>
        </w:tc>
      </w:tr>
      <w:tr>
        <w:trPr>
          <w:trHeight w:val="216"/>
        </w:trPr>
        <w:tc>
          <w:tcPr>
            <w:tcW w:w="640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280" w:type="dxa"/>
            <w:vAlign w:val="bottom"/>
            <w:tcBorders>
              <w:right w:val="single" w:sz="8" w:color="007CBA"/>
            </w:tcBorders>
            <w:shd w:val="clear" w:color="auto" w:fill="007CBA"/>
          </w:tcPr>
          <w:p>
            <w:pPr>
              <w:spacing w:after="0"/>
              <w:rPr>
                <w:sz w:val="18"/>
                <w:szCs w:val="18"/>
                <w:color w:val="auto"/>
              </w:rPr>
            </w:pPr>
          </w:p>
        </w:tc>
        <w:tc>
          <w:tcPr>
            <w:tcW w:w="38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jc w:val="center"/>
              <w:ind w:right="270"/>
              <w:spacing w:after="0" w:line="216" w:lineRule="exact"/>
              <w:rPr>
                <w:sz w:val="20"/>
                <w:szCs w:val="20"/>
                <w:color w:val="auto"/>
              </w:rPr>
            </w:pPr>
            <w:r>
              <w:rPr>
                <w:rFonts w:ascii="Calibri" w:cs="Calibri" w:eastAsia="Calibri" w:hAnsi="Calibri"/>
                <w:sz w:val="18"/>
                <w:szCs w:val="18"/>
                <w:b w:val="1"/>
                <w:bCs w:val="1"/>
                <w:color w:val="FFFFFF"/>
                <w:w w:val="97"/>
              </w:rPr>
              <w:t>Average</w:t>
            </w:r>
          </w:p>
        </w:tc>
        <w:tc>
          <w:tcPr>
            <w:tcW w:w="1580" w:type="dxa"/>
            <w:vAlign w:val="bottom"/>
            <w:shd w:val="clear" w:color="auto" w:fill="007CBA"/>
          </w:tcPr>
          <w:p>
            <w:pPr>
              <w:jc w:val="center"/>
              <w:spacing w:after="0" w:line="216" w:lineRule="exact"/>
              <w:rPr>
                <w:sz w:val="20"/>
                <w:szCs w:val="20"/>
                <w:color w:val="auto"/>
              </w:rPr>
            </w:pPr>
            <w:r>
              <w:rPr>
                <w:rFonts w:ascii="Calibri" w:cs="Calibri" w:eastAsia="Calibri" w:hAnsi="Calibri"/>
                <w:sz w:val="18"/>
                <w:szCs w:val="18"/>
                <w:b w:val="1"/>
                <w:bCs w:val="1"/>
                <w:color w:val="FFFFFF"/>
                <w:w w:val="95"/>
              </w:rPr>
              <w:t>Remaining</w:t>
            </w:r>
          </w:p>
        </w:tc>
      </w:tr>
      <w:tr>
        <w:trPr>
          <w:trHeight w:val="216"/>
        </w:trPr>
        <w:tc>
          <w:tcPr>
            <w:tcW w:w="6400" w:type="dxa"/>
            <w:vAlign w:val="bottom"/>
            <w:tcBorders>
              <w:right w:val="single" w:sz="8" w:color="007CBA"/>
            </w:tcBorders>
            <w:shd w:val="clear" w:color="auto" w:fill="007CBA"/>
          </w:tcPr>
          <w:p>
            <w:pPr>
              <w:spacing w:after="0"/>
              <w:rPr>
                <w:sz w:val="18"/>
                <w:szCs w:val="18"/>
                <w:color w:val="auto"/>
              </w:rPr>
            </w:pPr>
          </w:p>
        </w:tc>
        <w:tc>
          <w:tcPr>
            <w:tcW w:w="360" w:type="dxa"/>
            <w:vAlign w:val="bottom"/>
            <w:shd w:val="clear" w:color="auto" w:fill="007CBA"/>
          </w:tcPr>
          <w:p>
            <w:pPr>
              <w:spacing w:after="0"/>
              <w:rPr>
                <w:sz w:val="18"/>
                <w:szCs w:val="18"/>
                <w:color w:val="auto"/>
              </w:rPr>
            </w:pPr>
          </w:p>
        </w:tc>
        <w:tc>
          <w:tcPr>
            <w:tcW w:w="1280" w:type="dxa"/>
            <w:vAlign w:val="bottom"/>
            <w:tcBorders>
              <w:right w:val="single" w:sz="8" w:color="007CBA"/>
            </w:tcBorders>
            <w:shd w:val="clear" w:color="auto" w:fill="007CBA"/>
          </w:tcPr>
          <w:p>
            <w:pPr>
              <w:jc w:val="right"/>
              <w:ind w:right="330"/>
              <w:spacing w:after="0" w:line="216" w:lineRule="exact"/>
              <w:rPr>
                <w:sz w:val="20"/>
                <w:szCs w:val="20"/>
                <w:color w:val="auto"/>
              </w:rPr>
            </w:pPr>
            <w:r>
              <w:rPr>
                <w:rFonts w:ascii="Calibri" w:cs="Calibri" w:eastAsia="Calibri" w:hAnsi="Calibri"/>
                <w:sz w:val="18"/>
                <w:szCs w:val="18"/>
                <w:b w:val="1"/>
                <w:bCs w:val="1"/>
                <w:color w:val="FFFFFF"/>
              </w:rPr>
              <w:t>Number of</w:t>
            </w:r>
          </w:p>
        </w:tc>
        <w:tc>
          <w:tcPr>
            <w:tcW w:w="380" w:type="dxa"/>
            <w:vAlign w:val="bottom"/>
            <w:shd w:val="clear" w:color="auto" w:fill="007CBA"/>
          </w:tcPr>
          <w:p>
            <w:pPr>
              <w:spacing w:after="0"/>
              <w:rPr>
                <w:sz w:val="18"/>
                <w:szCs w:val="18"/>
                <w:color w:val="auto"/>
              </w:rPr>
            </w:pPr>
          </w:p>
        </w:tc>
        <w:tc>
          <w:tcPr>
            <w:tcW w:w="1240" w:type="dxa"/>
            <w:vAlign w:val="bottom"/>
            <w:tcBorders>
              <w:right w:val="single" w:sz="8" w:color="007CBA"/>
            </w:tcBorders>
            <w:shd w:val="clear" w:color="auto" w:fill="007CBA"/>
          </w:tcPr>
          <w:p>
            <w:pPr>
              <w:jc w:val="center"/>
              <w:ind w:right="270"/>
              <w:spacing w:after="0" w:line="216" w:lineRule="exact"/>
              <w:rPr>
                <w:sz w:val="20"/>
                <w:szCs w:val="20"/>
                <w:color w:val="auto"/>
              </w:rPr>
            </w:pPr>
            <w:r>
              <w:rPr>
                <w:rFonts w:ascii="Calibri" w:cs="Calibri" w:eastAsia="Calibri" w:hAnsi="Calibri"/>
                <w:sz w:val="18"/>
                <w:szCs w:val="18"/>
                <w:b w:val="1"/>
                <w:bCs w:val="1"/>
                <w:color w:val="FFFFFF"/>
                <w:w w:val="98"/>
              </w:rPr>
              <w:t>Exercise</w:t>
            </w:r>
          </w:p>
        </w:tc>
        <w:tc>
          <w:tcPr>
            <w:tcW w:w="1580" w:type="dxa"/>
            <w:vAlign w:val="bottom"/>
            <w:shd w:val="clear" w:color="auto" w:fill="007CBA"/>
          </w:tcPr>
          <w:p>
            <w:pPr>
              <w:jc w:val="center"/>
              <w:spacing w:after="0" w:line="216" w:lineRule="exact"/>
              <w:rPr>
                <w:sz w:val="20"/>
                <w:szCs w:val="20"/>
                <w:color w:val="auto"/>
              </w:rPr>
            </w:pPr>
            <w:r>
              <w:rPr>
                <w:rFonts w:ascii="Calibri" w:cs="Calibri" w:eastAsia="Calibri" w:hAnsi="Calibri"/>
                <w:sz w:val="18"/>
                <w:szCs w:val="18"/>
                <w:b w:val="1"/>
                <w:bCs w:val="1"/>
                <w:color w:val="FFFFFF"/>
                <w:w w:val="98"/>
              </w:rPr>
              <w:t>Contractual Life</w:t>
            </w:r>
          </w:p>
        </w:tc>
      </w:tr>
      <w:tr>
        <w:trPr>
          <w:trHeight w:val="247"/>
        </w:trPr>
        <w:tc>
          <w:tcPr>
            <w:tcW w:w="6400" w:type="dxa"/>
            <w:vAlign w:val="bottom"/>
            <w:tcBorders>
              <w:bottom w:val="single" w:sz="8" w:color="007CBA"/>
              <w:right w:val="single" w:sz="8" w:color="007CBA"/>
            </w:tcBorders>
            <w:shd w:val="clear" w:color="auto" w:fill="007CBA"/>
          </w:tcPr>
          <w:p>
            <w:pPr>
              <w:spacing w:after="0"/>
              <w:rPr>
                <w:sz w:val="21"/>
                <w:szCs w:val="21"/>
                <w:color w:val="auto"/>
              </w:rPr>
            </w:pPr>
          </w:p>
        </w:tc>
        <w:tc>
          <w:tcPr>
            <w:tcW w:w="360" w:type="dxa"/>
            <w:vAlign w:val="bottom"/>
            <w:tcBorders>
              <w:bottom w:val="single" w:sz="8" w:color="007CBA"/>
            </w:tcBorders>
            <w:shd w:val="clear" w:color="auto" w:fill="007CBA"/>
          </w:tcPr>
          <w:p>
            <w:pPr>
              <w:spacing w:after="0"/>
              <w:rPr>
                <w:sz w:val="21"/>
                <w:szCs w:val="21"/>
                <w:color w:val="auto"/>
              </w:rPr>
            </w:pPr>
          </w:p>
        </w:tc>
        <w:tc>
          <w:tcPr>
            <w:tcW w:w="1280" w:type="dxa"/>
            <w:vAlign w:val="bottom"/>
            <w:tcBorders>
              <w:bottom w:val="single" w:sz="8" w:color="007CBA"/>
              <w:right w:val="single" w:sz="8" w:color="007CBA"/>
            </w:tcBorders>
            <w:shd w:val="clear" w:color="auto" w:fill="007CBA"/>
          </w:tcPr>
          <w:p>
            <w:pPr>
              <w:jc w:val="right"/>
              <w:ind w:right="430"/>
              <w:spacing w:after="0" w:line="216" w:lineRule="exact"/>
              <w:rPr>
                <w:sz w:val="20"/>
                <w:szCs w:val="20"/>
                <w:color w:val="auto"/>
              </w:rPr>
            </w:pPr>
            <w:r>
              <w:rPr>
                <w:rFonts w:ascii="Calibri" w:cs="Calibri" w:eastAsia="Calibri" w:hAnsi="Calibri"/>
                <w:sz w:val="18"/>
                <w:szCs w:val="18"/>
                <w:b w:val="1"/>
                <w:bCs w:val="1"/>
                <w:color w:val="FFFFFF"/>
              </w:rPr>
              <w:t>Optons</w:t>
            </w:r>
          </w:p>
        </w:tc>
        <w:tc>
          <w:tcPr>
            <w:tcW w:w="380" w:type="dxa"/>
            <w:vAlign w:val="bottom"/>
            <w:tcBorders>
              <w:bottom w:val="single" w:sz="8" w:color="007CBA"/>
            </w:tcBorders>
            <w:shd w:val="clear" w:color="auto" w:fill="007CBA"/>
          </w:tcPr>
          <w:p>
            <w:pPr>
              <w:spacing w:after="0"/>
              <w:rPr>
                <w:sz w:val="21"/>
                <w:szCs w:val="21"/>
                <w:color w:val="auto"/>
              </w:rPr>
            </w:pPr>
          </w:p>
        </w:tc>
        <w:tc>
          <w:tcPr>
            <w:tcW w:w="1240" w:type="dxa"/>
            <w:vAlign w:val="bottom"/>
            <w:tcBorders>
              <w:bottom w:val="single" w:sz="8" w:color="007CBA"/>
              <w:right w:val="single" w:sz="8" w:color="007CBA"/>
            </w:tcBorders>
            <w:shd w:val="clear" w:color="auto" w:fill="007CBA"/>
          </w:tcPr>
          <w:p>
            <w:pPr>
              <w:jc w:val="center"/>
              <w:ind w:right="230"/>
              <w:spacing w:after="0" w:line="216" w:lineRule="exact"/>
              <w:rPr>
                <w:sz w:val="20"/>
                <w:szCs w:val="20"/>
                <w:color w:val="auto"/>
              </w:rPr>
            </w:pPr>
            <w:r>
              <w:rPr>
                <w:rFonts w:ascii="Calibri" w:cs="Calibri" w:eastAsia="Calibri" w:hAnsi="Calibri"/>
                <w:sz w:val="18"/>
                <w:szCs w:val="18"/>
                <w:b w:val="1"/>
                <w:bCs w:val="1"/>
                <w:color w:val="FFFFFF"/>
                <w:w w:val="97"/>
              </w:rPr>
              <w:t>Price</w:t>
            </w:r>
          </w:p>
        </w:tc>
        <w:tc>
          <w:tcPr>
            <w:tcW w:w="1580" w:type="dxa"/>
            <w:vAlign w:val="bottom"/>
            <w:tcBorders>
              <w:bottom w:val="single" w:sz="8" w:color="007CBA"/>
            </w:tcBorders>
            <w:shd w:val="clear" w:color="auto" w:fill="007CBA"/>
          </w:tcPr>
          <w:p>
            <w:pPr>
              <w:jc w:val="center"/>
              <w:spacing w:after="0" w:line="216" w:lineRule="exact"/>
              <w:rPr>
                <w:sz w:val="20"/>
                <w:szCs w:val="20"/>
                <w:color w:val="auto"/>
              </w:rPr>
            </w:pPr>
            <w:r>
              <w:rPr>
                <w:rFonts w:ascii="Calibri" w:cs="Calibri" w:eastAsia="Calibri" w:hAnsi="Calibri"/>
                <w:sz w:val="18"/>
                <w:szCs w:val="18"/>
                <w:b w:val="1"/>
                <w:bCs w:val="1"/>
                <w:color w:val="FFFFFF"/>
                <w:w w:val="97"/>
              </w:rPr>
              <w:t>(years)</w:t>
            </w:r>
          </w:p>
        </w:tc>
      </w:tr>
      <w:tr>
        <w:trPr>
          <w:trHeight w:val="243"/>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Outstanding at January 1, 2023</w:t>
            </w:r>
          </w:p>
        </w:tc>
        <w:tc>
          <w:tcPr>
            <w:tcW w:w="360" w:type="dxa"/>
            <w:vAlign w:val="bottom"/>
          </w:tcPr>
          <w:p>
            <w:pPr>
              <w:spacing w:after="0"/>
              <w:rPr>
                <w:sz w:val="21"/>
                <w:szCs w:val="21"/>
                <w:color w:val="auto"/>
              </w:rPr>
            </w:pPr>
          </w:p>
        </w:tc>
        <w:tc>
          <w:tcPr>
            <w:tcW w:w="12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15,283</w:t>
            </w:r>
          </w:p>
        </w:tc>
        <w:tc>
          <w:tcPr>
            <w:tcW w:w="3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136.55</w:t>
            </w:r>
          </w:p>
        </w:tc>
        <w:tc>
          <w:tcPr>
            <w:tcW w:w="1580" w:type="dxa"/>
            <w:vAlign w:val="bottom"/>
          </w:tcPr>
          <w:p>
            <w:pPr>
              <w:spacing w:after="0"/>
              <w:rPr>
                <w:sz w:val="21"/>
                <w:szCs w:val="21"/>
                <w:color w:val="auto"/>
              </w:rPr>
            </w:pPr>
          </w:p>
        </w:tc>
      </w:tr>
      <w:tr>
        <w:trPr>
          <w:trHeight w:val="248"/>
        </w:trPr>
        <w:tc>
          <w:tcPr>
            <w:tcW w:w="6760" w:type="dxa"/>
            <w:vAlign w:val="bottom"/>
            <w:tcBorders>
              <w:bottom w:val="single" w:sz="8" w:color="E5F1F8"/>
            </w:tcBorders>
            <w:gridSpan w:val="2"/>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Exercised</w:t>
            </w:r>
          </w:p>
        </w:tc>
        <w:tc>
          <w:tcPr>
            <w:tcW w:w="128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(9,180 )</w:t>
            </w:r>
          </w:p>
        </w:tc>
        <w:tc>
          <w:tcPr>
            <w:tcW w:w="380" w:type="dxa"/>
            <w:vAlign w:val="bottom"/>
            <w:tcBorders>
              <w:bottom w:val="single" w:sz="8" w:color="E5F1F8"/>
            </w:tcBorders>
            <w:shd w:val="clear" w:color="auto" w:fill="E5F1F8"/>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131.50</w:t>
            </w:r>
          </w:p>
        </w:tc>
        <w:tc>
          <w:tcPr>
            <w:tcW w:w="1580" w:type="dxa"/>
            <w:vAlign w:val="bottom"/>
            <w:tcBorders>
              <w:bottom w:val="single" w:sz="8" w:color="E5F1F8"/>
            </w:tcBorders>
            <w:shd w:val="clear" w:color="auto" w:fill="E5F1F8"/>
          </w:tcPr>
          <w:p>
            <w:pPr>
              <w:spacing w:after="0"/>
              <w:rPr>
                <w:sz w:val="21"/>
                <w:szCs w:val="21"/>
                <w:color w:val="auto"/>
              </w:rPr>
            </w:pPr>
          </w:p>
        </w:tc>
      </w:tr>
      <w:tr>
        <w:trPr>
          <w:trHeight w:val="237"/>
        </w:trPr>
        <w:tc>
          <w:tcPr>
            <w:tcW w:w="6760" w:type="dxa"/>
            <w:vAlign w:val="bottom"/>
            <w:tcBorders>
              <w:top w:val="single" w:sz="8" w:color="auto"/>
              <w:bottom w:val="single" w:sz="8" w:color="auto"/>
            </w:tcBorders>
            <w:gridSpan w:val="2"/>
          </w:tcPr>
          <w:p>
            <w:pPr>
              <w:ind w:left="120"/>
              <w:spacing w:after="0" w:line="215" w:lineRule="exact"/>
              <w:rPr>
                <w:sz w:val="20"/>
                <w:szCs w:val="20"/>
                <w:color w:val="auto"/>
              </w:rPr>
            </w:pPr>
            <w:r>
              <w:rPr>
                <w:rFonts w:ascii="Calibri" w:cs="Calibri" w:eastAsia="Calibri" w:hAnsi="Calibri"/>
                <w:sz w:val="18"/>
                <w:szCs w:val="18"/>
                <w:color w:val="auto"/>
              </w:rPr>
              <w:t>Outstanding at December 31, 2023</w:t>
            </w:r>
          </w:p>
        </w:tc>
        <w:tc>
          <w:tcPr>
            <w:tcW w:w="1280" w:type="dxa"/>
            <w:vAlign w:val="bottom"/>
            <w:tcBorders>
              <w:top w:val="single" w:sz="8" w:color="auto"/>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6,103</w:t>
            </w:r>
          </w:p>
        </w:tc>
        <w:tc>
          <w:tcPr>
            <w:tcW w:w="380" w:type="dxa"/>
            <w:vAlign w:val="bottom"/>
            <w:tcBorders>
              <w:top w:val="single" w:sz="8" w:color="E5F1F8"/>
            </w:tcBorders>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Borders>
              <w:top w:val="single" w:sz="8" w:color="E5F1F8"/>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144.14</w:t>
            </w:r>
          </w:p>
        </w:tc>
        <w:tc>
          <w:tcPr>
            <w:tcW w:w="1580" w:type="dxa"/>
            <w:vAlign w:val="bottom"/>
            <w:tcBorders>
              <w:top w:val="single" w:sz="8" w:color="E5F1F8"/>
            </w:tcBorders>
          </w:tcPr>
          <w:p>
            <w:pPr>
              <w:jc w:val="right"/>
              <w:ind w:right="30"/>
              <w:spacing w:after="0"/>
              <w:rPr>
                <w:sz w:val="20"/>
                <w:szCs w:val="20"/>
                <w:color w:val="auto"/>
              </w:rPr>
            </w:pPr>
            <w:r>
              <w:rPr>
                <w:rFonts w:ascii="Calibri" w:cs="Calibri" w:eastAsia="Calibri" w:hAnsi="Calibri"/>
                <w:sz w:val="18"/>
                <w:szCs w:val="18"/>
                <w:color w:val="auto"/>
              </w:rPr>
              <w:t>1.1</w:t>
            </w: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E5F1F8"/>
            </w:tcBorders>
          </w:tcPr>
          <w:p>
            <w:pPr>
              <w:spacing w:after="0" w:line="20" w:lineRule="exact"/>
              <w:rPr>
                <w:sz w:val="1"/>
                <w:szCs w:val="1"/>
                <w:color w:val="auto"/>
              </w:rPr>
            </w:pPr>
          </w:p>
        </w:tc>
        <w:tc>
          <w:tcPr>
            <w:tcW w:w="1240" w:type="dxa"/>
            <w:vAlign w:val="bottom"/>
            <w:tcBorders>
              <w:bottom w:val="single" w:sz="8" w:color="E5F1F8"/>
              <w:right w:val="single" w:sz="8" w:color="007CBA"/>
            </w:tcBorders>
          </w:tcPr>
          <w:p>
            <w:pPr>
              <w:spacing w:after="0" w:line="20" w:lineRule="exact"/>
              <w:rPr>
                <w:sz w:val="1"/>
                <w:szCs w:val="1"/>
                <w:color w:val="auto"/>
              </w:rPr>
            </w:pPr>
          </w:p>
        </w:tc>
        <w:tc>
          <w:tcPr>
            <w:tcW w:w="1580" w:type="dxa"/>
            <w:vAlign w:val="bottom"/>
            <w:tcBorders>
              <w:bottom w:val="single" w:sz="8" w:color="E5F1F8"/>
            </w:tcBorders>
          </w:tcPr>
          <w:p>
            <w:pPr>
              <w:spacing w:after="0" w:line="20" w:lineRule="exact"/>
              <w:rPr>
                <w:sz w:val="1"/>
                <w:szCs w:val="1"/>
                <w:color w:val="auto"/>
              </w:rPr>
            </w:pPr>
          </w:p>
        </w:tc>
      </w:tr>
      <w:tr>
        <w:trPr>
          <w:trHeight w:val="223"/>
        </w:trPr>
        <w:tc>
          <w:tcPr>
            <w:tcW w:w="6400" w:type="dxa"/>
            <w:vAlign w:val="bottom"/>
            <w:tcBorders>
              <w:right w:val="single" w:sz="8" w:color="007CBA"/>
            </w:tcBorders>
            <w:shd w:val="clear" w:color="auto" w:fill="E5F1F8"/>
          </w:tcPr>
          <w:p>
            <w:pPr>
              <w:spacing w:after="0"/>
              <w:rPr>
                <w:sz w:val="19"/>
                <w:szCs w:val="19"/>
                <w:color w:val="auto"/>
              </w:rPr>
            </w:pPr>
          </w:p>
        </w:tc>
        <w:tc>
          <w:tcPr>
            <w:tcW w:w="360" w:type="dxa"/>
            <w:vAlign w:val="bottom"/>
            <w:shd w:val="clear" w:color="auto" w:fill="E5F1F8"/>
          </w:tcPr>
          <w:p>
            <w:pPr>
              <w:spacing w:after="0"/>
              <w:rPr>
                <w:sz w:val="19"/>
                <w:szCs w:val="19"/>
                <w:color w:val="auto"/>
              </w:rPr>
            </w:pPr>
          </w:p>
        </w:tc>
        <w:tc>
          <w:tcPr>
            <w:tcW w:w="1280" w:type="dxa"/>
            <w:vAlign w:val="bottom"/>
            <w:tcBorders>
              <w:right w:val="single" w:sz="8" w:color="007CBA"/>
            </w:tcBorders>
            <w:shd w:val="clear" w:color="auto" w:fill="E5F1F8"/>
          </w:tcPr>
          <w:p>
            <w:pPr>
              <w:spacing w:after="0"/>
              <w:rPr>
                <w:sz w:val="19"/>
                <w:szCs w:val="19"/>
                <w:color w:val="auto"/>
              </w:rPr>
            </w:pPr>
          </w:p>
        </w:tc>
        <w:tc>
          <w:tcPr>
            <w:tcW w:w="380" w:type="dxa"/>
            <w:vAlign w:val="bottom"/>
            <w:shd w:val="clear" w:color="auto" w:fill="E5F1F8"/>
          </w:tcPr>
          <w:p>
            <w:pPr>
              <w:spacing w:after="0"/>
              <w:rPr>
                <w:sz w:val="19"/>
                <w:szCs w:val="19"/>
                <w:color w:val="auto"/>
              </w:rPr>
            </w:pPr>
          </w:p>
        </w:tc>
        <w:tc>
          <w:tcPr>
            <w:tcW w:w="1240" w:type="dxa"/>
            <w:vAlign w:val="bottom"/>
            <w:tcBorders>
              <w:right w:val="single" w:sz="8" w:color="007CBA"/>
            </w:tcBorders>
            <w:shd w:val="clear" w:color="auto" w:fill="E5F1F8"/>
          </w:tcPr>
          <w:p>
            <w:pPr>
              <w:spacing w:after="0"/>
              <w:rPr>
                <w:sz w:val="19"/>
                <w:szCs w:val="19"/>
                <w:color w:val="auto"/>
              </w:rPr>
            </w:pPr>
          </w:p>
        </w:tc>
        <w:tc>
          <w:tcPr>
            <w:tcW w:w="1580" w:type="dxa"/>
            <w:vAlign w:val="bottom"/>
            <w:shd w:val="clear" w:color="auto" w:fill="E5F1F8"/>
          </w:tcPr>
          <w:p>
            <w:pPr>
              <w:spacing w:after="0"/>
              <w:rPr>
                <w:sz w:val="19"/>
                <w:szCs w:val="19"/>
                <w:color w:val="auto"/>
              </w:rPr>
            </w:pPr>
          </w:p>
        </w:tc>
      </w:tr>
      <w:tr>
        <w:trPr>
          <w:trHeight w:val="215"/>
        </w:trPr>
        <w:tc>
          <w:tcPr>
            <w:tcW w:w="6760" w:type="dxa"/>
            <w:vAlign w:val="bottom"/>
            <w:gridSpan w:val="2"/>
          </w:tcPr>
          <w:p>
            <w:pPr>
              <w:ind w:left="120"/>
              <w:spacing w:after="0" w:line="215" w:lineRule="exact"/>
              <w:rPr>
                <w:sz w:val="20"/>
                <w:szCs w:val="20"/>
                <w:color w:val="auto"/>
              </w:rPr>
            </w:pPr>
            <w:r>
              <w:rPr>
                <w:rFonts w:ascii="Calibri" w:cs="Calibri" w:eastAsia="Calibri" w:hAnsi="Calibri"/>
                <w:sz w:val="18"/>
                <w:szCs w:val="18"/>
                <w:color w:val="auto"/>
              </w:rPr>
              <w:t>Exercisable at December 31, 2023</w:t>
            </w:r>
          </w:p>
        </w:tc>
        <w:tc>
          <w:tcPr>
            <w:tcW w:w="12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6,103</w:t>
            </w:r>
          </w:p>
        </w:tc>
        <w:tc>
          <w:tcPr>
            <w:tcW w:w="3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144.14</w:t>
            </w:r>
          </w:p>
        </w:tc>
        <w:tc>
          <w:tcPr>
            <w:tcW w:w="15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1.1</w:t>
            </w:r>
          </w:p>
        </w:tc>
      </w:tr>
      <w:tr>
        <w:trPr>
          <w:trHeight w:val="28"/>
        </w:trPr>
        <w:tc>
          <w:tcPr>
            <w:tcW w:w="6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51816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7132320" cy="518160"/>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-175260</wp:posOffset>
            </wp:positionV>
            <wp:extent cx="33655" cy="18859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-175260</wp:posOffset>
            </wp:positionV>
            <wp:extent cx="34290" cy="18859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-175260</wp:posOffset>
            </wp:positionV>
            <wp:extent cx="33655" cy="18859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33655" cy="188595"/>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aggregate intrinsic values of optons exercised during the years ended December 31, 2023, 2022 and 2021 were $2.6 million, $1.3 million and $2.3 million, respectvely, and were based on the closing prices of the Company’s common stock on the dates of exercise. The aggregate intrinsic values for optons outstanding and exercisable at December 31, 2023 were $2.2 million and were based on the closing price of the Company’s common stock at December 31, 2023, which was $498.91.</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December 31, 2023, there were approximately 0.4 million awards available for grant under the Plans. In 2016, the Company’s shareholders approved the issuance of an additonal 0.8 million shares of common stock under the Plans.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1996, the Company adopted the Shareholder Value Achievement Plan to award shares of the Company’s common stock to key senior employees based on certain common stock performance criteria over a long-term period. Under the terms of this plan, 0.3 million shares of common stock were reserved for issuance. Through December 31, 2023, 42,025 shares have been issued under this plan. No awards have been granted under this plan since 2000.</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adopted and the shareholders approved the Common Stock Purchase Plan for Directors in 1996, which provides nonemployee members of the Board of Directors the electon to receive all or a porton of their total fees in the form of the Company’s common stock. Beginning in 2016, members of the Board of Directors were not required to defer any of their fees in the form of the Company’s common stock. Under the terms of this plan, 0.3 million shares of common stock were reserved for issuance. Nonemployee members of the Board of Directors elected to defer portons of their fees representng 1,333, 1,767 and 1,686 shares of the Company’s common stock under this plan during 2023, 2022 and 2021, respectvely.</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summarizes stock-based compensaton expense for the years ended December 31, 2023, 2022 and 2021, unrecognized compensaton cost for nonvested awards at December 31, 2023 and the weighted-average period over which unrecognized compensaton cost will be recognized: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80" w:type="dxa"/>
            <w:vAlign w:val="bottom"/>
            <w:tcBorders>
              <w:right w:val="single" w:sz="8" w:color="007CBA"/>
            </w:tcBorders>
            <w:shd w:val="clear" w:color="auto" w:fill="007CBA"/>
          </w:tcPr>
          <w:p>
            <w:pPr>
              <w:spacing w:after="0"/>
              <w:rPr>
                <w:sz w:val="19"/>
                <w:szCs w:val="19"/>
                <w:color w:val="auto"/>
              </w:rPr>
            </w:pPr>
          </w:p>
        </w:tc>
        <w:tc>
          <w:tcPr>
            <w:tcW w:w="32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spacing w:after="0"/>
              <w:rPr>
                <w:sz w:val="19"/>
                <w:szCs w:val="19"/>
                <w:color w:val="auto"/>
              </w:rPr>
            </w:pPr>
          </w:p>
        </w:tc>
        <w:tc>
          <w:tcPr>
            <w:tcW w:w="320" w:type="dxa"/>
            <w:vAlign w:val="bottom"/>
            <w:shd w:val="clear" w:color="auto" w:fill="007CBA"/>
          </w:tcPr>
          <w:p>
            <w:pPr>
              <w:spacing w:after="0"/>
              <w:rPr>
                <w:sz w:val="19"/>
                <w:szCs w:val="19"/>
                <w:color w:val="auto"/>
              </w:rPr>
            </w:pPr>
          </w:p>
        </w:tc>
        <w:tc>
          <w:tcPr>
            <w:tcW w:w="1100" w:type="dxa"/>
            <w:vAlign w:val="bottom"/>
            <w:tcBorders>
              <w:right w:val="single" w:sz="8" w:color="007CBA"/>
            </w:tcBorders>
            <w:shd w:val="clear" w:color="auto" w:fill="007CBA"/>
          </w:tcPr>
          <w:p>
            <w:pPr>
              <w:jc w:val="center"/>
              <w:ind w:right="190"/>
              <w:spacing w:after="0"/>
              <w:rPr>
                <w:sz w:val="20"/>
                <w:szCs w:val="20"/>
                <w:color w:val="auto"/>
              </w:rPr>
            </w:pPr>
            <w:r>
              <w:rPr>
                <w:rFonts w:ascii="Calibri" w:cs="Calibri" w:eastAsia="Calibri" w:hAnsi="Calibri"/>
                <w:sz w:val="18"/>
                <w:szCs w:val="18"/>
                <w:b w:val="1"/>
                <w:bCs w:val="1"/>
                <w:color w:val="FFFFFF"/>
              </w:rPr>
              <w:t>Incentve</w:t>
            </w:r>
          </w:p>
        </w:tc>
        <w:tc>
          <w:tcPr>
            <w:tcW w:w="26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jc w:val="center"/>
              <w:ind w:right="150"/>
              <w:spacing w:after="0"/>
              <w:rPr>
                <w:sz w:val="20"/>
                <w:szCs w:val="20"/>
                <w:color w:val="auto"/>
              </w:rPr>
            </w:pPr>
            <w:r>
              <w:rPr>
                <w:rFonts w:ascii="Calibri" w:cs="Calibri" w:eastAsia="Calibri" w:hAnsi="Calibri"/>
                <w:sz w:val="18"/>
                <w:szCs w:val="18"/>
                <w:b w:val="1"/>
                <w:bCs w:val="1"/>
                <w:color w:val="FFFFFF"/>
                <w:w w:val="95"/>
              </w:rPr>
              <w:t>Directors’</w:t>
            </w:r>
          </w:p>
        </w:tc>
        <w:tc>
          <w:tcPr>
            <w:tcW w:w="380" w:type="dxa"/>
            <w:vAlign w:val="bottom"/>
            <w:shd w:val="clear" w:color="auto" w:fill="007CBA"/>
          </w:tcPr>
          <w:p>
            <w:pPr>
              <w:spacing w:after="0"/>
              <w:rPr>
                <w:sz w:val="19"/>
                <w:szCs w:val="19"/>
                <w:color w:val="auto"/>
              </w:rPr>
            </w:pPr>
          </w:p>
        </w:tc>
        <w:tc>
          <w:tcPr>
            <w:tcW w:w="1000" w:type="dxa"/>
            <w:vAlign w:val="bottom"/>
            <w:shd w:val="clear" w:color="auto" w:fill="007CBA"/>
          </w:tcPr>
          <w:p>
            <w:pPr>
              <w:spacing w:after="0"/>
              <w:rPr>
                <w:sz w:val="19"/>
                <w:szCs w:val="19"/>
                <w:color w:val="auto"/>
              </w:rPr>
            </w:pPr>
          </w:p>
        </w:tc>
      </w:tr>
      <w:tr>
        <w:trPr>
          <w:trHeight w:val="215"/>
        </w:trPr>
        <w:tc>
          <w:tcPr>
            <w:tcW w:w="5580" w:type="dxa"/>
            <w:vAlign w:val="bottom"/>
            <w:tcBorders>
              <w:right w:val="single" w:sz="8" w:color="007CBA"/>
            </w:tcBorders>
            <w:shd w:val="clear" w:color="auto" w:fill="007CBA"/>
          </w:tcPr>
          <w:p>
            <w:pPr>
              <w:spacing w:after="0"/>
              <w:rPr>
                <w:sz w:val="18"/>
                <w:szCs w:val="18"/>
                <w:color w:val="auto"/>
              </w:rPr>
            </w:pPr>
          </w:p>
        </w:tc>
        <w:tc>
          <w:tcPr>
            <w:tcW w:w="32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jc w:val="right"/>
              <w:ind w:right="270"/>
              <w:spacing w:after="0" w:line="215" w:lineRule="exact"/>
              <w:rPr>
                <w:sz w:val="20"/>
                <w:szCs w:val="20"/>
                <w:color w:val="auto"/>
              </w:rPr>
            </w:pPr>
            <w:r>
              <w:rPr>
                <w:rFonts w:ascii="Calibri" w:cs="Calibri" w:eastAsia="Calibri" w:hAnsi="Calibri"/>
                <w:sz w:val="18"/>
                <w:szCs w:val="18"/>
                <w:b w:val="1"/>
                <w:bCs w:val="1"/>
                <w:color w:val="FFFFFF"/>
              </w:rPr>
              <w:t>Restricted</w:t>
            </w:r>
          </w:p>
        </w:tc>
        <w:tc>
          <w:tcPr>
            <w:tcW w:w="1420" w:type="dxa"/>
            <w:vAlign w:val="bottom"/>
            <w:tcBorders>
              <w:right w:val="single" w:sz="8" w:color="007CBA"/>
            </w:tcBorders>
            <w:gridSpan w:val="2"/>
            <w:shd w:val="clear" w:color="auto" w:fill="007CBA"/>
          </w:tcPr>
          <w:p>
            <w:pPr>
              <w:jc w:val="center"/>
              <w:spacing w:after="0" w:line="215" w:lineRule="exact"/>
              <w:rPr>
                <w:sz w:val="20"/>
                <w:szCs w:val="20"/>
                <w:color w:val="auto"/>
              </w:rPr>
            </w:pPr>
            <w:r>
              <w:rPr>
                <w:rFonts w:ascii="Calibri" w:cs="Calibri" w:eastAsia="Calibri" w:hAnsi="Calibri"/>
                <w:sz w:val="18"/>
                <w:szCs w:val="18"/>
                <w:b w:val="1"/>
                <w:bCs w:val="1"/>
                <w:color w:val="FFFFFF"/>
              </w:rPr>
              <w:t>Compensaton</w:t>
            </w:r>
          </w:p>
        </w:tc>
        <w:tc>
          <w:tcPr>
            <w:tcW w:w="26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jc w:val="center"/>
              <w:ind w:right="190"/>
              <w:spacing w:after="0" w:line="215" w:lineRule="exact"/>
              <w:rPr>
                <w:sz w:val="20"/>
                <w:szCs w:val="20"/>
                <w:color w:val="auto"/>
              </w:rPr>
            </w:pPr>
            <w:r>
              <w:rPr>
                <w:rFonts w:ascii="Calibri" w:cs="Calibri" w:eastAsia="Calibri" w:hAnsi="Calibri"/>
                <w:sz w:val="18"/>
                <w:szCs w:val="18"/>
                <w:b w:val="1"/>
                <w:bCs w:val="1"/>
                <w:color w:val="FFFFFF"/>
                <w:w w:val="97"/>
              </w:rPr>
              <w:t>Fees Paid in</w:t>
            </w:r>
          </w:p>
        </w:tc>
        <w:tc>
          <w:tcPr>
            <w:tcW w:w="380" w:type="dxa"/>
            <w:vAlign w:val="bottom"/>
            <w:shd w:val="clear" w:color="auto" w:fill="007CBA"/>
          </w:tcPr>
          <w:p>
            <w:pPr>
              <w:spacing w:after="0"/>
              <w:rPr>
                <w:sz w:val="18"/>
                <w:szCs w:val="18"/>
                <w:color w:val="auto"/>
              </w:rPr>
            </w:pPr>
          </w:p>
        </w:tc>
        <w:tc>
          <w:tcPr>
            <w:tcW w:w="1000" w:type="dxa"/>
            <w:vAlign w:val="bottom"/>
            <w:shd w:val="clear" w:color="auto" w:fill="007CBA"/>
          </w:tcPr>
          <w:p>
            <w:pPr>
              <w:spacing w:after="0"/>
              <w:rPr>
                <w:sz w:val="18"/>
                <w:szCs w:val="18"/>
                <w:color w:val="auto"/>
              </w:rPr>
            </w:pPr>
          </w:p>
        </w:tc>
      </w:tr>
      <w:tr>
        <w:trPr>
          <w:trHeight w:val="246"/>
        </w:trPr>
        <w:tc>
          <w:tcPr>
            <w:tcW w:w="558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color w:val="FFFFFF"/>
              </w:rPr>
              <w:t>(in millions, except year data)</w:t>
            </w:r>
          </w:p>
        </w:tc>
        <w:tc>
          <w:tcPr>
            <w:tcW w:w="32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right w:val="single" w:sz="8" w:color="007CBA"/>
            </w:tcBorders>
            <w:shd w:val="clear" w:color="auto" w:fill="007CBA"/>
          </w:tcPr>
          <w:p>
            <w:pPr>
              <w:jc w:val="right"/>
              <w:ind w:right="430"/>
              <w:spacing w:after="0" w:line="216" w:lineRule="exact"/>
              <w:rPr>
                <w:sz w:val="20"/>
                <w:szCs w:val="20"/>
                <w:color w:val="auto"/>
              </w:rPr>
            </w:pPr>
            <w:r>
              <w:rPr>
                <w:rFonts w:ascii="Calibri" w:cs="Calibri" w:eastAsia="Calibri" w:hAnsi="Calibri"/>
                <w:sz w:val="18"/>
                <w:szCs w:val="18"/>
                <w:b w:val="1"/>
                <w:bCs w:val="1"/>
                <w:color w:val="FFFFFF"/>
              </w:rPr>
              <w:t>Stock</w:t>
            </w:r>
          </w:p>
        </w:tc>
        <w:tc>
          <w:tcPr>
            <w:tcW w:w="320" w:type="dxa"/>
            <w:vAlign w:val="bottom"/>
            <w:tcBorders>
              <w:bottom w:val="single" w:sz="8" w:color="007CBA"/>
            </w:tcBorders>
            <w:shd w:val="clear" w:color="auto" w:fill="007CBA"/>
          </w:tcPr>
          <w:p>
            <w:pPr>
              <w:spacing w:after="0"/>
              <w:rPr>
                <w:sz w:val="21"/>
                <w:szCs w:val="21"/>
                <w:color w:val="auto"/>
              </w:rPr>
            </w:pPr>
          </w:p>
        </w:tc>
        <w:tc>
          <w:tcPr>
            <w:tcW w:w="1100" w:type="dxa"/>
            <w:vAlign w:val="bottom"/>
            <w:tcBorders>
              <w:bottom w:val="single" w:sz="8" w:color="007CBA"/>
              <w:right w:val="single" w:sz="8" w:color="007CBA"/>
            </w:tcBorders>
            <w:shd w:val="clear" w:color="auto" w:fill="007CBA"/>
          </w:tcPr>
          <w:p>
            <w:pPr>
              <w:jc w:val="center"/>
              <w:ind w:right="190"/>
              <w:spacing w:after="0" w:line="216" w:lineRule="exact"/>
              <w:rPr>
                <w:sz w:val="20"/>
                <w:szCs w:val="20"/>
                <w:color w:val="auto"/>
              </w:rPr>
            </w:pPr>
            <w:r>
              <w:rPr>
                <w:rFonts w:ascii="Calibri" w:cs="Calibri" w:eastAsia="Calibri" w:hAnsi="Calibri"/>
                <w:sz w:val="18"/>
                <w:szCs w:val="18"/>
                <w:b w:val="1"/>
                <w:bCs w:val="1"/>
                <w:color w:val="FFFFFF"/>
                <w:w w:val="93"/>
              </w:rPr>
              <w:t>Stock</w:t>
            </w:r>
          </w:p>
        </w:tc>
        <w:tc>
          <w:tcPr>
            <w:tcW w:w="26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right w:val="single" w:sz="8" w:color="007CBA"/>
            </w:tcBorders>
            <w:shd w:val="clear" w:color="auto" w:fill="007CBA"/>
          </w:tcPr>
          <w:p>
            <w:pPr>
              <w:jc w:val="center"/>
              <w:ind w:right="130"/>
              <w:spacing w:after="0" w:line="216" w:lineRule="exact"/>
              <w:rPr>
                <w:sz w:val="20"/>
                <w:szCs w:val="20"/>
                <w:color w:val="auto"/>
              </w:rPr>
            </w:pPr>
            <w:r>
              <w:rPr>
                <w:rFonts w:ascii="Calibri" w:cs="Calibri" w:eastAsia="Calibri" w:hAnsi="Calibri"/>
                <w:sz w:val="18"/>
                <w:szCs w:val="18"/>
                <w:b w:val="1"/>
                <w:bCs w:val="1"/>
                <w:color w:val="FFFFFF"/>
                <w:w w:val="98"/>
              </w:rPr>
              <w:t>Stock</w:t>
            </w:r>
          </w:p>
        </w:tc>
        <w:tc>
          <w:tcPr>
            <w:tcW w:w="380" w:type="dxa"/>
            <w:vAlign w:val="bottom"/>
            <w:tcBorders>
              <w:bottom w:val="single" w:sz="8" w:color="007CBA"/>
            </w:tcBorders>
            <w:shd w:val="clear" w:color="auto" w:fill="007CBA"/>
          </w:tcPr>
          <w:p>
            <w:pPr>
              <w:spacing w:after="0"/>
              <w:rPr>
                <w:sz w:val="21"/>
                <w:szCs w:val="21"/>
                <w:color w:val="auto"/>
              </w:rPr>
            </w:pPr>
          </w:p>
        </w:tc>
        <w:tc>
          <w:tcPr>
            <w:tcW w:w="1000" w:type="dxa"/>
            <w:vAlign w:val="bottom"/>
            <w:tcBorders>
              <w:bottom w:val="single" w:sz="8" w:color="007CBA"/>
            </w:tcBorders>
            <w:shd w:val="clear" w:color="auto" w:fill="007CBA"/>
          </w:tcPr>
          <w:p>
            <w:pPr>
              <w:jc w:val="right"/>
              <w:ind w:right="410"/>
              <w:spacing w:after="0" w:line="216" w:lineRule="exact"/>
              <w:rPr>
                <w:sz w:val="20"/>
                <w:szCs w:val="20"/>
                <w:color w:val="auto"/>
              </w:rPr>
            </w:pPr>
            <w:r>
              <w:rPr>
                <w:rFonts w:ascii="Calibri" w:cs="Calibri" w:eastAsia="Calibri" w:hAnsi="Calibri"/>
                <w:sz w:val="18"/>
                <w:szCs w:val="18"/>
                <w:b w:val="1"/>
                <w:bCs w:val="1"/>
                <w:color w:val="FFFFFF"/>
              </w:rPr>
              <w:t>Total</w:t>
            </w:r>
          </w:p>
        </w:tc>
      </w:tr>
      <w:tr>
        <w:trPr>
          <w:trHeight w:val="207"/>
        </w:trPr>
        <w:tc>
          <w:tcPr>
            <w:tcW w:w="5580" w:type="dxa"/>
            <w:vAlign w:val="bottom"/>
            <w:tcBorders>
              <w:right w:val="single" w:sz="8" w:color="007CBA"/>
            </w:tcBorders>
          </w:tcPr>
          <w:p>
            <w:pPr>
              <w:ind w:left="120"/>
              <w:spacing w:after="0" w:line="207" w:lineRule="exact"/>
              <w:rPr>
                <w:sz w:val="20"/>
                <w:szCs w:val="20"/>
                <w:color w:val="auto"/>
              </w:rPr>
            </w:pPr>
            <w:r>
              <w:rPr>
                <w:rFonts w:ascii="Calibri" w:cs="Calibri" w:eastAsia="Calibri" w:hAnsi="Calibri"/>
                <w:sz w:val="18"/>
                <w:szCs w:val="18"/>
                <w:color w:val="auto"/>
              </w:rPr>
              <w:t>Stock-based compensaton expense recognized for</w:t>
            </w:r>
          </w:p>
        </w:tc>
        <w:tc>
          <w:tcPr>
            <w:tcW w:w="32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Borders>
              <w:right w:val="single" w:sz="8" w:color="007CBA"/>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5580" w:type="dxa"/>
            <w:vAlign w:val="bottom"/>
            <w:tcBorders>
              <w:right w:val="single" w:sz="8" w:color="007CBA"/>
            </w:tcBorders>
          </w:tcPr>
          <w:p>
            <w:pPr>
              <w:ind w:left="240"/>
              <w:spacing w:after="0" w:line="215" w:lineRule="exact"/>
              <w:rPr>
                <w:sz w:val="20"/>
                <w:szCs w:val="20"/>
                <w:color w:val="auto"/>
              </w:rPr>
            </w:pPr>
            <w:r>
              <w:rPr>
                <w:rFonts w:ascii="Calibri" w:cs="Calibri" w:eastAsia="Calibri" w:hAnsi="Calibri"/>
                <w:sz w:val="18"/>
                <w:szCs w:val="18"/>
                <w:color w:val="auto"/>
              </w:rPr>
              <w:t>years ended December 31:</w:t>
            </w:r>
          </w:p>
        </w:tc>
        <w:tc>
          <w:tcPr>
            <w:tcW w:w="32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Borders>
              <w:right w:val="single" w:sz="8" w:color="007CBA"/>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7"/>
        </w:trPr>
        <w:tc>
          <w:tcPr>
            <w:tcW w:w="5580" w:type="dxa"/>
            <w:vAlign w:val="bottom"/>
            <w:tcBorders>
              <w:right w:val="single" w:sz="8" w:color="007CBA"/>
            </w:tcBorders>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Borders>
              <w:right w:val="single" w:sz="8" w:color="007CBA"/>
            </w:tcBorders>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Borders>
              <w:right w:val="single" w:sz="8" w:color="007CBA"/>
            </w:tcBorders>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3"/>
        </w:trPr>
        <w:tc>
          <w:tcPr>
            <w:tcW w:w="55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b w:val="1"/>
                <w:bCs w:val="1"/>
                <w:color w:val="auto"/>
              </w:rPr>
              <w:t>2023</w:t>
            </w:r>
          </w:p>
        </w:tc>
        <w:tc>
          <w:tcPr>
            <w:tcW w:w="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48.7</w:t>
            </w:r>
          </w:p>
        </w:tc>
        <w:tc>
          <w:tcPr>
            <w:tcW w:w="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0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0.8</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0.5</w:t>
            </w:r>
          </w:p>
        </w:tc>
        <w:tc>
          <w:tcPr>
            <w:tcW w:w="3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50.0</w:t>
            </w:r>
          </w:p>
        </w:tc>
      </w:tr>
      <w:tr>
        <w:trPr>
          <w:trHeight w:val="243"/>
        </w:trPr>
        <w:tc>
          <w:tcPr>
            <w:tcW w:w="55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2022</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41.0</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1.1</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0.6</w:t>
            </w:r>
          </w:p>
        </w:tc>
        <w:tc>
          <w:tcPr>
            <w:tcW w:w="3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42.7</w:t>
            </w:r>
          </w:p>
        </w:tc>
      </w:tr>
      <w:tr>
        <w:trPr>
          <w:trHeight w:val="248"/>
        </w:trPr>
        <w:tc>
          <w:tcPr>
            <w:tcW w:w="558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2021</w:t>
            </w:r>
          </w:p>
        </w:tc>
        <w:tc>
          <w:tcPr>
            <w:tcW w:w="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41.4</w:t>
            </w:r>
          </w:p>
        </w:tc>
        <w:tc>
          <w:tcPr>
            <w:tcW w:w="3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10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1.0</w:t>
            </w:r>
          </w:p>
        </w:tc>
        <w:tc>
          <w:tcPr>
            <w:tcW w:w="2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0.6</w:t>
            </w:r>
          </w:p>
        </w:tc>
        <w:tc>
          <w:tcPr>
            <w:tcW w:w="3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43.0</w:t>
            </w:r>
          </w:p>
        </w:tc>
      </w:tr>
      <w:tr>
        <w:trPr>
          <w:trHeight w:val="201"/>
        </w:trPr>
        <w:tc>
          <w:tcPr>
            <w:tcW w:w="5580" w:type="dxa"/>
            <w:vAlign w:val="bottom"/>
            <w:tcBorders>
              <w:top w:val="single" w:sz="8" w:color="auto"/>
            </w:tcBorders>
          </w:tcPr>
          <w:p>
            <w:pPr>
              <w:ind w:left="120"/>
              <w:spacing w:after="0" w:line="201" w:lineRule="exact"/>
              <w:rPr>
                <w:sz w:val="20"/>
                <w:szCs w:val="20"/>
                <w:color w:val="auto"/>
              </w:rPr>
            </w:pPr>
            <w:r>
              <w:rPr>
                <w:rFonts w:ascii="Calibri" w:cs="Calibri" w:eastAsia="Calibri" w:hAnsi="Calibri"/>
                <w:sz w:val="18"/>
                <w:szCs w:val="18"/>
                <w:color w:val="auto"/>
              </w:rPr>
              <w:t>Unrecognized compensaton cost at</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15"/>
        </w:trPr>
        <w:tc>
          <w:tcPr>
            <w:tcW w:w="5580" w:type="dxa"/>
            <w:vAlign w:val="bottom"/>
          </w:tcPr>
          <w:p>
            <w:pPr>
              <w:ind w:left="240"/>
              <w:spacing w:after="0" w:line="215" w:lineRule="exact"/>
              <w:rPr>
                <w:sz w:val="20"/>
                <w:szCs w:val="20"/>
                <w:color w:val="auto"/>
              </w:rPr>
            </w:pPr>
            <w:r>
              <w:rPr>
                <w:rFonts w:ascii="Calibri" w:cs="Calibri" w:eastAsia="Calibri" w:hAnsi="Calibri"/>
                <w:sz w:val="18"/>
                <w:szCs w:val="18"/>
                <w:color w:val="auto"/>
              </w:rPr>
              <w:t>December 31, 2023</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39.5</w:t>
            </w:r>
          </w:p>
        </w:tc>
        <w:tc>
          <w:tcPr>
            <w:tcW w:w="32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0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0.4</w:t>
            </w:r>
          </w:p>
        </w:tc>
        <w:tc>
          <w:tcPr>
            <w:tcW w:w="2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38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100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39.9</w:t>
            </w:r>
          </w:p>
        </w:tc>
      </w:tr>
      <w:tr>
        <w:trPr>
          <w:trHeight w:val="37"/>
        </w:trPr>
        <w:tc>
          <w:tcPr>
            <w:tcW w:w="55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1"/>
        </w:trPr>
        <w:tc>
          <w:tcPr>
            <w:tcW w:w="5580" w:type="dxa"/>
            <w:vAlign w:val="bottom"/>
            <w:tcBorders>
              <w:right w:val="single" w:sz="8" w:color="E5F1F8"/>
            </w:tcBorders>
            <w:shd w:val="clear" w:color="auto" w:fill="E5F1F8"/>
          </w:tcPr>
          <w:p>
            <w:pPr>
              <w:ind w:left="120"/>
              <w:spacing w:after="0" w:line="201" w:lineRule="exact"/>
              <w:rPr>
                <w:sz w:val="20"/>
                <w:szCs w:val="20"/>
                <w:color w:val="auto"/>
              </w:rPr>
            </w:pPr>
            <w:r>
              <w:rPr>
                <w:rFonts w:ascii="Calibri" w:cs="Calibri" w:eastAsia="Calibri" w:hAnsi="Calibri"/>
                <w:sz w:val="18"/>
                <w:szCs w:val="18"/>
                <w:color w:val="auto"/>
              </w:rPr>
              <w:t>Weighted-average period over which unrecognized</w:t>
            </w:r>
          </w:p>
        </w:tc>
        <w:tc>
          <w:tcPr>
            <w:tcW w:w="320" w:type="dxa"/>
            <w:vAlign w:val="bottom"/>
            <w:shd w:val="clear" w:color="auto" w:fill="E5F1F8"/>
          </w:tcPr>
          <w:p>
            <w:pPr>
              <w:spacing w:after="0"/>
              <w:rPr>
                <w:sz w:val="17"/>
                <w:szCs w:val="17"/>
                <w:color w:val="auto"/>
              </w:rPr>
            </w:pPr>
          </w:p>
        </w:tc>
        <w:tc>
          <w:tcPr>
            <w:tcW w:w="1140" w:type="dxa"/>
            <w:vAlign w:val="bottom"/>
            <w:tcBorders>
              <w:right w:val="single" w:sz="8" w:color="E5F1F8"/>
            </w:tcBorders>
            <w:shd w:val="clear" w:color="auto" w:fill="E5F1F8"/>
          </w:tcPr>
          <w:p>
            <w:pPr>
              <w:spacing w:after="0"/>
              <w:rPr>
                <w:sz w:val="17"/>
                <w:szCs w:val="17"/>
                <w:color w:val="auto"/>
              </w:rPr>
            </w:pPr>
          </w:p>
        </w:tc>
        <w:tc>
          <w:tcPr>
            <w:tcW w:w="320" w:type="dxa"/>
            <w:vAlign w:val="bottom"/>
            <w:shd w:val="clear" w:color="auto" w:fill="E5F1F8"/>
          </w:tcPr>
          <w:p>
            <w:pPr>
              <w:spacing w:after="0"/>
              <w:rPr>
                <w:sz w:val="17"/>
                <w:szCs w:val="17"/>
                <w:color w:val="auto"/>
              </w:rPr>
            </w:pPr>
          </w:p>
        </w:tc>
        <w:tc>
          <w:tcPr>
            <w:tcW w:w="1100" w:type="dxa"/>
            <w:vAlign w:val="bottom"/>
            <w:tcBorders>
              <w:right w:val="single" w:sz="8" w:color="E5F1F8"/>
            </w:tcBorders>
            <w:shd w:val="clear" w:color="auto" w:fill="E5F1F8"/>
          </w:tcPr>
          <w:p>
            <w:pPr>
              <w:spacing w:after="0"/>
              <w:rPr>
                <w:sz w:val="17"/>
                <w:szCs w:val="17"/>
                <w:color w:val="auto"/>
              </w:rPr>
            </w:pPr>
          </w:p>
        </w:tc>
        <w:tc>
          <w:tcPr>
            <w:tcW w:w="260" w:type="dxa"/>
            <w:vAlign w:val="bottom"/>
            <w:shd w:val="clear" w:color="auto" w:fill="E5F1F8"/>
          </w:tcPr>
          <w:p>
            <w:pPr>
              <w:spacing w:after="0"/>
              <w:rPr>
                <w:sz w:val="17"/>
                <w:szCs w:val="17"/>
                <w:color w:val="auto"/>
              </w:rPr>
            </w:pPr>
          </w:p>
        </w:tc>
        <w:tc>
          <w:tcPr>
            <w:tcW w:w="1140" w:type="dxa"/>
            <w:vAlign w:val="bottom"/>
            <w:tcBorders>
              <w:right w:val="single" w:sz="8" w:color="E5F1F8"/>
            </w:tcBorders>
            <w:shd w:val="clear" w:color="auto" w:fill="E5F1F8"/>
          </w:tcPr>
          <w:p>
            <w:pPr>
              <w:spacing w:after="0"/>
              <w:rPr>
                <w:sz w:val="17"/>
                <w:szCs w:val="17"/>
                <w:color w:val="auto"/>
              </w:rPr>
            </w:pPr>
          </w:p>
        </w:tc>
        <w:tc>
          <w:tcPr>
            <w:tcW w:w="380" w:type="dxa"/>
            <w:vAlign w:val="bottom"/>
            <w:shd w:val="clear" w:color="auto" w:fill="E5F1F8"/>
          </w:tcPr>
          <w:p>
            <w:pPr>
              <w:spacing w:after="0"/>
              <w:rPr>
                <w:sz w:val="17"/>
                <w:szCs w:val="17"/>
                <w:color w:val="auto"/>
              </w:rPr>
            </w:pPr>
          </w:p>
        </w:tc>
        <w:tc>
          <w:tcPr>
            <w:tcW w:w="1000" w:type="dxa"/>
            <w:vAlign w:val="bottom"/>
            <w:shd w:val="clear" w:color="auto" w:fill="E5F1F8"/>
          </w:tcPr>
          <w:p>
            <w:pPr>
              <w:spacing w:after="0"/>
              <w:rPr>
                <w:sz w:val="17"/>
                <w:szCs w:val="17"/>
                <w:color w:val="auto"/>
              </w:rPr>
            </w:pPr>
          </w:p>
        </w:tc>
      </w:tr>
      <w:tr>
        <w:trPr>
          <w:trHeight w:val="232"/>
        </w:trPr>
        <w:tc>
          <w:tcPr>
            <w:tcW w:w="5580" w:type="dxa"/>
            <w:vAlign w:val="bottom"/>
            <w:tcBorders>
              <w:bottom w:val="single" w:sz="8" w:color="E5F1F8"/>
              <w:right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compensaton cost will be recognized</w:t>
            </w:r>
          </w:p>
        </w:tc>
        <w:tc>
          <w:tcPr>
            <w:tcW w:w="320" w:type="dxa"/>
            <w:vAlign w:val="bottom"/>
            <w:tcBorders>
              <w:bottom w:val="single" w:sz="8" w:color="E5F1F8"/>
            </w:tcBorders>
            <w:shd w:val="clear" w:color="auto" w:fill="E5F1F8"/>
          </w:tcPr>
          <w:p>
            <w:pPr>
              <w:spacing w:after="0"/>
              <w:rPr>
                <w:sz w:val="20"/>
                <w:szCs w:val="20"/>
                <w:color w:val="auto"/>
              </w:rPr>
            </w:pPr>
          </w:p>
        </w:tc>
        <w:tc>
          <w:tcPr>
            <w:tcW w:w="114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1.8 years</w:t>
            </w:r>
          </w:p>
        </w:tc>
        <w:tc>
          <w:tcPr>
            <w:tcW w:w="320" w:type="dxa"/>
            <w:vAlign w:val="bottom"/>
            <w:tcBorders>
              <w:bottom w:val="single" w:sz="8" w:color="E5F1F8"/>
            </w:tcBorders>
            <w:shd w:val="clear" w:color="auto" w:fill="E5F1F8"/>
          </w:tcPr>
          <w:p>
            <w:pPr>
              <w:spacing w:after="0"/>
              <w:rPr>
                <w:sz w:val="20"/>
                <w:szCs w:val="20"/>
                <w:color w:val="auto"/>
              </w:rPr>
            </w:pPr>
          </w:p>
        </w:tc>
        <w:tc>
          <w:tcPr>
            <w:tcW w:w="110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1.3 years</w:t>
            </w:r>
          </w:p>
        </w:tc>
        <w:tc>
          <w:tcPr>
            <w:tcW w:w="260" w:type="dxa"/>
            <w:vAlign w:val="bottom"/>
            <w:tcBorders>
              <w:bottom w:val="single" w:sz="8" w:color="E5F1F8"/>
            </w:tcBorders>
            <w:shd w:val="clear" w:color="auto" w:fill="E5F1F8"/>
          </w:tcPr>
          <w:p>
            <w:pPr>
              <w:spacing w:after="0"/>
              <w:rPr>
                <w:sz w:val="20"/>
                <w:szCs w:val="20"/>
                <w:color w:val="auto"/>
              </w:rPr>
            </w:pPr>
          </w:p>
        </w:tc>
        <w:tc>
          <w:tcPr>
            <w:tcW w:w="1140" w:type="dxa"/>
            <w:vAlign w:val="bottom"/>
            <w:tcBorders>
              <w:bottom w:val="single" w:sz="8" w:color="E5F1F8"/>
              <w:right w:val="single" w:sz="8" w:color="E5F1F8"/>
            </w:tcBorders>
            <w:shd w:val="clear" w:color="auto" w:fill="E5F1F8"/>
          </w:tcPr>
          <w:p>
            <w:pPr>
              <w:spacing w:after="0"/>
              <w:rPr>
                <w:sz w:val="20"/>
                <w:szCs w:val="20"/>
                <w:color w:val="auto"/>
              </w:rPr>
            </w:pPr>
          </w:p>
        </w:tc>
        <w:tc>
          <w:tcPr>
            <w:tcW w:w="380" w:type="dxa"/>
            <w:vAlign w:val="bottom"/>
            <w:tcBorders>
              <w:bottom w:val="single" w:sz="8" w:color="E5F1F8"/>
            </w:tcBorders>
            <w:shd w:val="clear" w:color="auto" w:fill="E5F1F8"/>
          </w:tcPr>
          <w:p>
            <w:pPr>
              <w:spacing w:after="0"/>
              <w:rPr>
                <w:sz w:val="20"/>
                <w:szCs w:val="20"/>
                <w:color w:val="auto"/>
              </w:rPr>
            </w:pPr>
          </w:p>
        </w:tc>
        <w:tc>
          <w:tcPr>
            <w:tcW w:w="1000" w:type="dxa"/>
            <w:vAlign w:val="bottom"/>
            <w:tcBorders>
              <w:bottom w:val="single" w:sz="8" w:color="E5F1F8"/>
            </w:tcBorders>
            <w:shd w:val="clear" w:color="auto" w:fill="E5F1F8"/>
          </w:tcPr>
          <w:p>
            <w:pPr>
              <w:spacing w:after="0"/>
              <w:rPr>
                <w:sz w:val="20"/>
                <w:szCs w:val="20"/>
                <w:color w:val="auto"/>
              </w:rPr>
            </w:pPr>
          </w:p>
        </w:tc>
      </w:tr>
      <w:tr>
        <w:trPr>
          <w:trHeight w:val="20"/>
        </w:trPr>
        <w:tc>
          <w:tcPr>
            <w:tcW w:w="55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3003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-774700</wp:posOffset>
            </wp:positionV>
            <wp:extent cx="33655" cy="7880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33655" cy="788035"/>
                    </a:xfrm>
                    <a:prstGeom prst="rect">
                      <a:avLst/>
                    </a:prstGeom>
                    <a:noFill/>
                  </pic:spPr>
                </pic:pic>
              </a:graphicData>
            </a:graphic>
          </wp:anchor>
        </w:drawing>
        <w:drawing>
          <wp:anchor simplePos="0" relativeHeight="251657728" behindDoc="1" locked="0" layoutInCell="0" allowOverlap="1">
            <wp:simplePos x="0" y="0"/>
            <wp:positionH relativeFrom="column">
              <wp:posOffset>4441190</wp:posOffset>
            </wp:positionH>
            <wp:positionV relativeFrom="paragraph">
              <wp:posOffset>-774700</wp:posOffset>
            </wp:positionV>
            <wp:extent cx="34290" cy="7880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34290" cy="788035"/>
                    </a:xfrm>
                    <a:prstGeom prst="rect">
                      <a:avLst/>
                    </a:prstGeom>
                    <a:noFill/>
                  </pic:spPr>
                </pic:pic>
              </a:graphicData>
            </a:graphic>
          </wp:anchor>
        </w:drawing>
        <w:drawing>
          <wp:anchor simplePos="0" relativeHeight="251657728" behindDoc="1" locked="0" layoutInCell="0" allowOverlap="1">
            <wp:simplePos x="0" y="0"/>
            <wp:positionH relativeFrom="column">
              <wp:posOffset>5349875</wp:posOffset>
            </wp:positionH>
            <wp:positionV relativeFrom="paragraph">
              <wp:posOffset>-774700</wp:posOffset>
            </wp:positionV>
            <wp:extent cx="33655" cy="7880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33655" cy="788035"/>
                    </a:xfrm>
                    <a:prstGeom prst="rect">
                      <a:avLst/>
                    </a:prstGeom>
                    <a:noFill/>
                  </pic:spPr>
                </pic:pic>
              </a:graphicData>
            </a:graphic>
          </wp:anchor>
        </w:drawing>
        <w:drawing>
          <wp:anchor simplePos="0" relativeHeight="251657728" behindDoc="1" locked="0" layoutInCell="0" allowOverlap="1">
            <wp:simplePos x="0" y="0"/>
            <wp:positionH relativeFrom="column">
              <wp:posOffset>6233160</wp:posOffset>
            </wp:positionH>
            <wp:positionV relativeFrom="paragraph">
              <wp:posOffset>-774700</wp:posOffset>
            </wp:positionV>
            <wp:extent cx="33655" cy="7880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33655" cy="78803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213995</wp:posOffset>
            </wp:positionV>
            <wp:extent cx="325755" cy="1968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3" w:name="page104"/>
    <w:bookmarkEnd w:id="103"/>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Total tax benefts related to stock-based compensaton expense were $8.6 million, $7.6 million and $7.9 million for the years ended December 31, 2023, 2022 and 2021, respectvely.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presents expected stock-based compensaton expense in future periods for outstanding awards as of December 31,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8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10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tcBorders>
            <w:shd w:val="clear" w:color="auto" w:fill="007CBA"/>
          </w:tcPr>
          <w:p>
            <w:pPr>
              <w:spacing w:after="0"/>
              <w:rPr>
                <w:sz w:val="20"/>
                <w:szCs w:val="20"/>
                <w:color w:val="auto"/>
              </w:rPr>
            </w:pPr>
          </w:p>
        </w:tc>
      </w:tr>
      <w:tr>
        <w:trPr>
          <w:trHeight w:val="215"/>
        </w:trPr>
        <w:tc>
          <w:tcPr>
            <w:tcW w:w="89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2024</w:t>
            </w:r>
          </w:p>
        </w:tc>
        <w:tc>
          <w:tcPr>
            <w:tcW w:w="1100" w:type="dxa"/>
            <w:vAlign w:val="bottom"/>
          </w:tcPr>
          <w:p>
            <w:pPr>
              <w:jc w:val="right"/>
              <w:ind w:right="65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28.2</w:t>
            </w:r>
          </w:p>
        </w:tc>
      </w:tr>
      <w:tr>
        <w:trPr>
          <w:trHeight w:val="28"/>
        </w:trPr>
        <w:tc>
          <w:tcPr>
            <w:tcW w:w="8980" w:type="dxa"/>
            <w:vAlign w:val="bottom"/>
            <w:tcBorders>
              <w:right w:val="single" w:sz="8" w:color="007CBA"/>
            </w:tcBorders>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9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2025</w:t>
            </w:r>
          </w:p>
        </w:tc>
        <w:tc>
          <w:tcPr>
            <w:tcW w:w="110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9.1</w:t>
            </w:r>
          </w:p>
        </w:tc>
      </w:tr>
      <w:tr>
        <w:trPr>
          <w:trHeight w:val="215"/>
        </w:trPr>
        <w:tc>
          <w:tcPr>
            <w:tcW w:w="89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2026</w:t>
            </w:r>
          </w:p>
        </w:tc>
        <w:tc>
          <w:tcPr>
            <w:tcW w:w="110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1.8</w:t>
            </w:r>
          </w:p>
        </w:tc>
      </w:tr>
      <w:tr>
        <w:trPr>
          <w:trHeight w:val="28"/>
        </w:trPr>
        <w:tc>
          <w:tcPr>
            <w:tcW w:w="8980" w:type="dxa"/>
            <w:vAlign w:val="bottom"/>
            <w:tcBorders>
              <w:right w:val="single" w:sz="8" w:color="007CBA"/>
            </w:tcBorders>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3"/>
        </w:trPr>
        <w:tc>
          <w:tcPr>
            <w:tcW w:w="89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2027</w:t>
            </w:r>
          </w:p>
        </w:tc>
        <w:tc>
          <w:tcPr>
            <w:tcW w:w="110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0.7</w:t>
            </w:r>
          </w:p>
        </w:tc>
      </w:tr>
      <w:tr>
        <w:trPr>
          <w:trHeight w:val="215"/>
        </w:trPr>
        <w:tc>
          <w:tcPr>
            <w:tcW w:w="8980" w:type="dxa"/>
            <w:vAlign w:val="bottom"/>
          </w:tcPr>
          <w:p>
            <w:pPr>
              <w:ind w:left="120"/>
              <w:spacing w:after="0" w:line="215" w:lineRule="exact"/>
              <w:rPr>
                <w:sz w:val="20"/>
                <w:szCs w:val="20"/>
                <w:color w:val="auto"/>
              </w:rPr>
            </w:pPr>
            <w:r>
              <w:rPr>
                <w:rFonts w:ascii="Calibri" w:cs="Calibri" w:eastAsia="Calibri" w:hAnsi="Calibri"/>
                <w:sz w:val="18"/>
                <w:szCs w:val="18"/>
                <w:color w:val="auto"/>
              </w:rPr>
              <w:t>2028</w:t>
            </w:r>
          </w:p>
        </w:tc>
        <w:tc>
          <w:tcPr>
            <w:tcW w:w="110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0.1</w:t>
            </w:r>
          </w:p>
        </w:tc>
      </w:tr>
      <w:tr>
        <w:trPr>
          <w:trHeight w:val="28"/>
        </w:trPr>
        <w:tc>
          <w:tcPr>
            <w:tcW w:w="89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2"/>
        </w:trPr>
        <w:tc>
          <w:tcPr>
            <w:tcW w:w="898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100" w:type="dxa"/>
            <w:vAlign w:val="bottom"/>
            <w:tcBorders>
              <w:bottom w:val="single" w:sz="8" w:color="E5F1F8"/>
            </w:tcBorders>
            <w:shd w:val="clear" w:color="auto" w:fill="E5F1F8"/>
          </w:tcPr>
          <w:p>
            <w:pPr>
              <w:jc w:val="right"/>
              <w:ind w:right="65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39.9</w:t>
            </w:r>
          </w:p>
        </w:tc>
      </w:tr>
      <w:tr>
        <w:trPr>
          <w:trHeight w:val="20"/>
        </w:trPr>
        <w:tc>
          <w:tcPr>
            <w:tcW w:w="8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-968375</wp:posOffset>
            </wp:positionV>
            <wp:extent cx="7132320" cy="16319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5675630</wp:posOffset>
            </wp:positionH>
            <wp:positionV relativeFrom="paragraph">
              <wp:posOffset>-354965</wp:posOffset>
            </wp:positionV>
            <wp:extent cx="33655" cy="3683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Stock-based compensaton expense is included in </w:t>
      </w:r>
      <w:r>
        <w:rPr>
          <w:rFonts w:ascii="Calibri" w:cs="Calibri" w:eastAsia="Calibri" w:hAnsi="Calibri"/>
          <w:sz w:val="18"/>
          <w:szCs w:val="18"/>
          <w:i w:val="1"/>
          <w:iCs w:val="1"/>
          <w:color w:val="auto"/>
        </w:rPr>
        <w:t>Selling, general and administratve expenses</w:t>
      </w:r>
      <w:r>
        <w:rPr>
          <w:rFonts w:ascii="Calibri" w:cs="Calibri" w:eastAsia="Calibri" w:hAnsi="Calibri"/>
          <w:sz w:val="18"/>
          <w:szCs w:val="18"/>
          <w:color w:val="auto"/>
        </w:rPr>
        <w:t xml:space="preserve"> in the Company’s consolidated statements of earnings.</w:t>
      </w:r>
    </w:p>
    <w:p>
      <w:pPr>
        <w:spacing w:after="0" w:line="21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L: Leases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leases, primarily for equipment, railcars, feet vehicles, ofce space, land, informaton technology equipment and sofware. The Company’s leases have remaining lease terms ranging from less than one year to 96 years, some of which may include optons to extend the leases for up to 30 years, and some of which may include optons to terminate the leases within one year.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Certain of the Company’s lease agreements include payments based upon variable rates, including, but not limited to, hours used, tonnage processed and factors related to indices. The Company’s lease agreements do not contain any material residual value guarantees or material restrictve covenants.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0" w:type="dxa"/>
            <w:vAlign w:val="bottom"/>
          </w:tcPr>
          <w:p>
            <w:pPr>
              <w:spacing w:after="0"/>
              <w:rPr>
                <w:sz w:val="20"/>
                <w:szCs w:val="20"/>
                <w:color w:val="auto"/>
              </w:rPr>
            </w:pPr>
            <w:r>
              <w:rPr>
                <w:rFonts w:ascii="Calibri" w:cs="Calibri" w:eastAsia="Calibri" w:hAnsi="Calibri"/>
                <w:sz w:val="18"/>
                <w:szCs w:val="18"/>
                <w:color w:val="auto"/>
              </w:rPr>
              <w:t>The components of lease cost are as follows:</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31"/>
        </w:trPr>
        <w:tc>
          <w:tcPr>
            <w:tcW w:w="6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07"/>
        </w:trPr>
        <w:tc>
          <w:tcPr>
            <w:tcW w:w="6400" w:type="dxa"/>
            <w:vAlign w:val="bottom"/>
            <w:tcBorders>
              <w:right w:val="single" w:sz="8" w:color="007CBA"/>
            </w:tcBorders>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2"/>
        </w:trPr>
        <w:tc>
          <w:tcPr>
            <w:tcW w:w="640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2023</w:t>
            </w:r>
          </w:p>
        </w:tc>
        <w:tc>
          <w:tcPr>
            <w:tcW w:w="46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2022</w:t>
            </w:r>
          </w:p>
        </w:tc>
        <w:tc>
          <w:tcPr>
            <w:tcW w:w="46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2021</w:t>
            </w:r>
          </w:p>
        </w:tc>
      </w:tr>
      <w:tr>
        <w:trPr>
          <w:trHeight w:val="215"/>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Operatng lease cost</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76.5</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73.1</w:t>
            </w:r>
          </w:p>
        </w:tc>
        <w:tc>
          <w:tcPr>
            <w:tcW w:w="46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72.9</w:t>
            </w:r>
          </w:p>
        </w:tc>
      </w:tr>
      <w:tr>
        <w:trPr>
          <w:trHeight w:val="28"/>
        </w:trPr>
        <w:tc>
          <w:tcPr>
            <w:tcW w:w="640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Finance lease cost:</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spacing w:after="0"/>
              <w:rPr>
                <w:sz w:val="19"/>
                <w:szCs w:val="19"/>
                <w:color w:val="auto"/>
              </w:rPr>
            </w:pP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spacing w:after="0"/>
              <w:rPr>
                <w:sz w:val="19"/>
                <w:szCs w:val="19"/>
                <w:color w:val="auto"/>
              </w:rPr>
            </w:pP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spacing w:after="0"/>
              <w:rPr>
                <w:sz w:val="19"/>
                <w:szCs w:val="19"/>
                <w:color w:val="auto"/>
              </w:rPr>
            </w:pPr>
          </w:p>
        </w:tc>
      </w:tr>
      <w:tr>
        <w:trPr>
          <w:trHeight w:val="215"/>
        </w:trPr>
        <w:tc>
          <w:tcPr>
            <w:tcW w:w="640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Amortzaton of right-of-use assets</w:t>
            </w:r>
          </w:p>
        </w:tc>
        <w:tc>
          <w:tcPr>
            <w:tcW w:w="48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21.2</w:t>
            </w:r>
          </w:p>
        </w:tc>
        <w:tc>
          <w:tcPr>
            <w:tcW w:w="460" w:type="dxa"/>
            <w:vAlign w:val="bottom"/>
          </w:tcPr>
          <w:p>
            <w:pPr>
              <w:spacing w:after="0"/>
              <w:rPr>
                <w:sz w:val="18"/>
                <w:szCs w:val="18"/>
                <w:color w:val="auto"/>
              </w:rPr>
            </w:pP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18.3</w:t>
            </w:r>
          </w:p>
        </w:tc>
        <w:tc>
          <w:tcPr>
            <w:tcW w:w="46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14.3</w:t>
            </w:r>
          </w:p>
        </w:tc>
      </w:tr>
      <w:tr>
        <w:trPr>
          <w:trHeight w:val="28"/>
        </w:trPr>
        <w:tc>
          <w:tcPr>
            <w:tcW w:w="640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Interest on lease liabilites</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4.8</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4.4</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3.5</w:t>
            </w:r>
          </w:p>
        </w:tc>
      </w:tr>
      <w:tr>
        <w:trPr>
          <w:trHeight w:val="243"/>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Variable lease cost</w:t>
            </w:r>
          </w:p>
        </w:tc>
        <w:tc>
          <w:tcPr>
            <w:tcW w:w="480" w:type="dxa"/>
            <w:vAlign w:val="bottom"/>
          </w:tcPr>
          <w:p>
            <w:pPr>
              <w:spacing w:after="0"/>
              <w:rPr>
                <w:sz w:val="21"/>
                <w:szCs w:val="21"/>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18.5</w:t>
            </w:r>
          </w:p>
        </w:tc>
        <w:tc>
          <w:tcPr>
            <w:tcW w:w="460" w:type="dxa"/>
            <w:vAlign w:val="bottom"/>
          </w:tcPr>
          <w:p>
            <w:pPr>
              <w:spacing w:after="0"/>
              <w:rPr>
                <w:sz w:val="21"/>
                <w:szCs w:val="21"/>
                <w:color w:val="auto"/>
              </w:rPr>
            </w:pP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16.5</w:t>
            </w:r>
          </w:p>
        </w:tc>
        <w:tc>
          <w:tcPr>
            <w:tcW w:w="460" w:type="dxa"/>
            <w:vAlign w:val="bottom"/>
          </w:tcPr>
          <w:p>
            <w:pPr>
              <w:spacing w:after="0"/>
              <w:rPr>
                <w:sz w:val="21"/>
                <w:szCs w:val="21"/>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17.9</w:t>
            </w:r>
          </w:p>
        </w:tc>
      </w:tr>
      <w:tr>
        <w:trPr>
          <w:trHeight w:val="248"/>
        </w:trPr>
        <w:tc>
          <w:tcPr>
            <w:tcW w:w="64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Short-term lease cost</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46.2</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45.2</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32.3</w:t>
            </w:r>
          </w:p>
        </w:tc>
      </w:tr>
      <w:tr>
        <w:trPr>
          <w:trHeight w:val="208"/>
        </w:trPr>
        <w:tc>
          <w:tcPr>
            <w:tcW w:w="64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lease cost</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167.2</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157.5</w:t>
            </w:r>
          </w:p>
        </w:tc>
        <w:tc>
          <w:tcPr>
            <w:tcW w:w="46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140.9</w:t>
            </w:r>
          </w:p>
        </w:tc>
      </w:tr>
      <w:tr>
        <w:trPr>
          <w:trHeight w:val="28"/>
        </w:trPr>
        <w:tc>
          <w:tcPr>
            <w:tcW w:w="6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-354965</wp:posOffset>
            </wp:positionV>
            <wp:extent cx="33655" cy="3683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-354965</wp:posOffset>
            </wp:positionV>
            <wp:extent cx="33655" cy="3683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-354965</wp:posOffset>
            </wp:positionV>
            <wp:extent cx="34290" cy="3683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34290" cy="36830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royalty agreements that are prescriptvely excluded from the scope of ASC 842 and generally require royalty payments based on tons produced, tons sold or total sales dollars and also contain minimum payments. Royalty expense was $86.2 million, $78.2 million and $67.1 million for the years ended December 31, 2023, 2022 and 2021, respectvely.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229870</wp:posOffset>
            </wp:positionV>
            <wp:extent cx="325755" cy="1968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6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308"/>
        </w:trPr>
        <w:tc>
          <w:tcPr>
            <w:tcW w:w="6140" w:type="dxa"/>
            <w:vAlign w:val="bottom"/>
          </w:tcPr>
          <w:p>
            <w:pPr>
              <w:spacing w:after="0"/>
              <w:rPr>
                <w:sz w:val="24"/>
                <w:szCs w:val="24"/>
                <w:color w:val="auto"/>
              </w:rPr>
            </w:pPr>
          </w:p>
        </w:tc>
        <w:tc>
          <w:tcPr>
            <w:tcW w:w="5100" w:type="dxa"/>
            <w:vAlign w:val="bottom"/>
            <w:gridSpan w:val="5"/>
          </w:tcPr>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tc>
      </w:tr>
      <w:tr>
        <w:trPr>
          <w:trHeight w:val="362"/>
        </w:trPr>
        <w:tc>
          <w:tcPr>
            <w:tcW w:w="6140" w:type="dxa"/>
            <w:vAlign w:val="bottom"/>
          </w:tcPr>
          <w:p>
            <w:pPr>
              <w:spacing w:after="0"/>
              <w:rPr>
                <w:sz w:val="20"/>
                <w:szCs w:val="20"/>
                <w:color w:val="auto"/>
              </w:rPr>
            </w:pPr>
            <w:r>
              <w:rPr>
                <w:rFonts w:ascii="Calibri" w:cs="Calibri" w:eastAsia="Calibri" w:hAnsi="Calibri"/>
                <w:sz w:val="18"/>
                <w:szCs w:val="18"/>
                <w:color w:val="auto"/>
              </w:rPr>
              <w:t>The balance sheet classifcatons of operatng and fnance leases are as follows:</w:t>
            </w: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31"/>
        </w:trPr>
        <w:tc>
          <w:tcPr>
            <w:tcW w:w="6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07"/>
        </w:trPr>
        <w:tc>
          <w:tcPr>
            <w:tcW w:w="6140" w:type="dxa"/>
            <w:vAlign w:val="bottom"/>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December 31</w:t>
            </w:r>
          </w:p>
        </w:tc>
        <w:tc>
          <w:tcPr>
            <w:tcW w:w="1320" w:type="dxa"/>
            <w:vAlign w:val="bottom"/>
            <w:tcBorders>
              <w:right w:val="single" w:sz="8" w:color="007CBA"/>
            </w:tcBorders>
            <w:shd w:val="clear" w:color="auto" w:fill="007CBA"/>
          </w:tcPr>
          <w:p>
            <w:pPr>
              <w:spacing w:after="0"/>
              <w:rPr>
                <w:sz w:val="18"/>
                <w:szCs w:val="18"/>
                <w:color w:val="auto"/>
              </w:rPr>
            </w:pPr>
          </w:p>
        </w:tc>
        <w:tc>
          <w:tcPr>
            <w:tcW w:w="580" w:type="dxa"/>
            <w:vAlign w:val="bottom"/>
            <w:shd w:val="clear" w:color="auto" w:fill="007CBA"/>
          </w:tcPr>
          <w:p>
            <w:pPr>
              <w:spacing w:after="0"/>
              <w:rPr>
                <w:sz w:val="18"/>
                <w:szCs w:val="18"/>
                <w:color w:val="auto"/>
              </w:rPr>
            </w:pPr>
          </w:p>
        </w:tc>
        <w:tc>
          <w:tcPr>
            <w:tcW w:w="1340" w:type="dxa"/>
            <w:vAlign w:val="bottom"/>
            <w:tcBorders>
              <w:right w:val="single" w:sz="8" w:color="007CBA"/>
            </w:tcBorders>
            <w:shd w:val="clear" w:color="auto" w:fill="007CBA"/>
          </w:tcPr>
          <w:p>
            <w:pPr>
              <w:spacing w:after="0"/>
              <w:rPr>
                <w:sz w:val="18"/>
                <w:szCs w:val="18"/>
                <w:color w:val="auto"/>
              </w:rPr>
            </w:pPr>
          </w:p>
        </w:tc>
        <w:tc>
          <w:tcPr>
            <w:tcW w:w="560" w:type="dxa"/>
            <w:vAlign w:val="bottom"/>
            <w:shd w:val="clear" w:color="auto" w:fill="007CBA"/>
          </w:tcPr>
          <w:p>
            <w:pPr>
              <w:spacing w:after="0"/>
              <w:rPr>
                <w:sz w:val="18"/>
                <w:szCs w:val="18"/>
                <w:color w:val="auto"/>
              </w:rPr>
            </w:pPr>
          </w:p>
        </w:tc>
        <w:tc>
          <w:tcPr>
            <w:tcW w:w="1300" w:type="dxa"/>
            <w:vAlign w:val="bottom"/>
            <w:shd w:val="clear" w:color="auto" w:fill="007CBA"/>
          </w:tcPr>
          <w:p>
            <w:pPr>
              <w:spacing w:after="0"/>
              <w:rPr>
                <w:sz w:val="18"/>
                <w:szCs w:val="18"/>
                <w:color w:val="auto"/>
              </w:rPr>
            </w:pPr>
          </w:p>
        </w:tc>
      </w:tr>
      <w:tr>
        <w:trPr>
          <w:trHeight w:val="232"/>
        </w:trPr>
        <w:tc>
          <w:tcPr>
            <w:tcW w:w="6140" w:type="dxa"/>
            <w:vAlign w:val="bottom"/>
            <w:tcBorders>
              <w:bottom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320" w:type="dxa"/>
            <w:vAlign w:val="bottom"/>
            <w:tcBorders>
              <w:bottom w:val="single" w:sz="8" w:color="007CBA"/>
              <w:right w:val="single" w:sz="8" w:color="007CBA"/>
            </w:tcBorders>
            <w:shd w:val="clear" w:color="auto" w:fill="007CBA"/>
          </w:tcPr>
          <w:p>
            <w:pPr>
              <w:spacing w:after="0"/>
              <w:rPr>
                <w:sz w:val="20"/>
                <w:szCs w:val="20"/>
                <w:color w:val="auto"/>
              </w:rPr>
            </w:pPr>
          </w:p>
        </w:tc>
        <w:tc>
          <w:tcPr>
            <w:tcW w:w="580" w:type="dxa"/>
            <w:vAlign w:val="bottom"/>
            <w:tcBorders>
              <w:bottom w:val="single" w:sz="8" w:color="007CBA"/>
            </w:tcBorders>
            <w:shd w:val="clear" w:color="auto" w:fill="007CBA"/>
          </w:tcPr>
          <w:p>
            <w:pPr>
              <w:spacing w:after="0"/>
              <w:rPr>
                <w:sz w:val="20"/>
                <w:szCs w:val="20"/>
                <w:color w:val="auto"/>
              </w:rPr>
            </w:pPr>
          </w:p>
        </w:tc>
        <w:tc>
          <w:tcPr>
            <w:tcW w:w="1340" w:type="dxa"/>
            <w:vAlign w:val="bottom"/>
            <w:tcBorders>
              <w:bottom w:val="single" w:sz="8" w:color="007CBA"/>
              <w:right w:val="single" w:sz="8" w:color="007CBA"/>
            </w:tcBorders>
            <w:shd w:val="clear" w:color="auto" w:fill="007CBA"/>
          </w:tcPr>
          <w:p>
            <w:pPr>
              <w:jc w:val="right"/>
              <w:ind w:right="650"/>
              <w:spacing w:after="0" w:line="215" w:lineRule="exact"/>
              <w:rPr>
                <w:sz w:val="20"/>
                <w:szCs w:val="20"/>
                <w:color w:val="auto"/>
              </w:rPr>
            </w:pPr>
            <w:r>
              <w:rPr>
                <w:rFonts w:ascii="Calibri" w:cs="Calibri" w:eastAsia="Calibri" w:hAnsi="Calibri"/>
                <w:sz w:val="18"/>
                <w:szCs w:val="18"/>
                <w:b w:val="1"/>
                <w:bCs w:val="1"/>
                <w:color w:val="FFFFFF"/>
              </w:rPr>
              <w:t>2023</w:t>
            </w:r>
          </w:p>
        </w:tc>
        <w:tc>
          <w:tcPr>
            <w:tcW w:w="560" w:type="dxa"/>
            <w:vAlign w:val="bottom"/>
            <w:tcBorders>
              <w:bottom w:val="single" w:sz="8" w:color="007CBA"/>
            </w:tcBorders>
            <w:shd w:val="clear" w:color="auto" w:fill="007CBA"/>
          </w:tcPr>
          <w:p>
            <w:pPr>
              <w:spacing w:after="0"/>
              <w:rPr>
                <w:sz w:val="20"/>
                <w:szCs w:val="20"/>
                <w:color w:val="auto"/>
              </w:rPr>
            </w:pPr>
          </w:p>
        </w:tc>
        <w:tc>
          <w:tcPr>
            <w:tcW w:w="1300" w:type="dxa"/>
            <w:vAlign w:val="bottom"/>
            <w:tcBorders>
              <w:bottom w:val="single" w:sz="8" w:color="007CBA"/>
            </w:tcBorders>
            <w:shd w:val="clear" w:color="auto" w:fill="007CBA"/>
          </w:tcPr>
          <w:p>
            <w:pPr>
              <w:jc w:val="right"/>
              <w:ind w:right="610"/>
              <w:spacing w:after="0" w:line="215" w:lineRule="exact"/>
              <w:rPr>
                <w:sz w:val="20"/>
                <w:szCs w:val="20"/>
                <w:color w:val="auto"/>
              </w:rPr>
            </w:pPr>
            <w:r>
              <w:rPr>
                <w:rFonts w:ascii="Calibri" w:cs="Calibri" w:eastAsia="Calibri" w:hAnsi="Calibri"/>
                <w:sz w:val="18"/>
                <w:szCs w:val="18"/>
                <w:color w:val="FFFFFF"/>
              </w:rPr>
              <w:t>2022</w:t>
            </w:r>
          </w:p>
        </w:tc>
      </w:tr>
      <w:tr>
        <w:trPr>
          <w:trHeight w:val="243"/>
        </w:trPr>
        <w:tc>
          <w:tcPr>
            <w:tcW w:w="6140" w:type="dxa"/>
            <w:vAlign w:val="bottom"/>
          </w:tcPr>
          <w:p>
            <w:pPr>
              <w:ind w:left="120"/>
              <w:spacing w:after="0" w:line="215" w:lineRule="exact"/>
              <w:rPr>
                <w:sz w:val="20"/>
                <w:szCs w:val="20"/>
                <w:color w:val="auto"/>
              </w:rPr>
            </w:pPr>
            <w:r>
              <w:rPr>
                <w:rFonts w:ascii="Calibri" w:cs="Calibri" w:eastAsia="Calibri" w:hAnsi="Calibri"/>
                <w:sz w:val="18"/>
                <w:szCs w:val="18"/>
                <w:color w:val="auto"/>
              </w:rPr>
              <w:t>Operatng leases:</w:t>
            </w:r>
          </w:p>
        </w:tc>
        <w:tc>
          <w:tcPr>
            <w:tcW w:w="1320" w:type="dxa"/>
            <w:vAlign w:val="bottom"/>
            <w:tcBorders>
              <w:right w:val="single" w:sz="8" w:color="007CBA"/>
            </w:tcBorders>
          </w:tcPr>
          <w:p>
            <w:pPr>
              <w:spacing w:after="0"/>
              <w:rPr>
                <w:sz w:val="21"/>
                <w:szCs w:val="21"/>
                <w:color w:val="auto"/>
              </w:rPr>
            </w:pPr>
          </w:p>
        </w:tc>
        <w:tc>
          <w:tcPr>
            <w:tcW w:w="580" w:type="dxa"/>
            <w:vAlign w:val="bottom"/>
          </w:tcPr>
          <w:p>
            <w:pPr>
              <w:spacing w:after="0"/>
              <w:rPr>
                <w:sz w:val="21"/>
                <w:szCs w:val="21"/>
                <w:color w:val="auto"/>
              </w:rPr>
            </w:pPr>
          </w:p>
        </w:tc>
        <w:tc>
          <w:tcPr>
            <w:tcW w:w="1340" w:type="dxa"/>
            <w:vAlign w:val="bottom"/>
            <w:tcBorders>
              <w:right w:val="single" w:sz="8" w:color="007CBA"/>
            </w:tcBorders>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88"/>
        </w:trPr>
        <w:tc>
          <w:tcPr>
            <w:tcW w:w="6140" w:type="dxa"/>
            <w:vAlign w:val="bottom"/>
            <w:tcBorders>
              <w:bottom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Operatng lease right-of-use assets</w:t>
            </w:r>
          </w:p>
        </w:tc>
        <w:tc>
          <w:tcPr>
            <w:tcW w:w="1900" w:type="dxa"/>
            <w:vAlign w:val="bottom"/>
            <w:tcBorders>
              <w:bottom w:val="single" w:sz="8" w:color="E5F1F8"/>
            </w:tcBorders>
            <w:gridSpan w:val="2"/>
            <w:shd w:val="clear" w:color="auto" w:fill="E5F1F8"/>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371.6</w:t>
            </w:r>
          </w:p>
        </w:tc>
        <w:tc>
          <w:tcPr>
            <w:tcW w:w="56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383.5</w:t>
            </w:r>
          </w:p>
        </w:tc>
      </w:tr>
      <w:tr>
        <w:trPr>
          <w:trHeight w:val="224"/>
        </w:trPr>
        <w:tc>
          <w:tcPr>
            <w:tcW w:w="614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007CBA"/>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340" w:type="dxa"/>
            <w:vAlign w:val="bottom"/>
            <w:tcBorders>
              <w:top w:val="single" w:sz="8" w:color="auto"/>
              <w:right w:val="single" w:sz="8" w:color="007CBA"/>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23"/>
        </w:trPr>
        <w:tc>
          <w:tcPr>
            <w:tcW w:w="6140" w:type="dxa"/>
            <w:vAlign w:val="bottom"/>
            <w:tcBorders>
              <w:bottom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Current operatng lease liabilites</w:t>
            </w:r>
          </w:p>
        </w:tc>
        <w:tc>
          <w:tcPr>
            <w:tcW w:w="1320" w:type="dxa"/>
            <w:vAlign w:val="bottom"/>
            <w:tcBorders>
              <w:bottom w:val="single" w:sz="8" w:color="E5F1F8"/>
              <w:right w:val="single" w:sz="8" w:color="007CBA"/>
            </w:tcBorders>
            <w:shd w:val="clear" w:color="auto" w:fill="E5F1F8"/>
          </w:tcPr>
          <w:p>
            <w:pPr>
              <w:spacing w:after="0"/>
              <w:rPr>
                <w:sz w:val="19"/>
                <w:szCs w:val="19"/>
                <w:color w:val="auto"/>
              </w:rPr>
            </w:pPr>
          </w:p>
        </w:tc>
        <w:tc>
          <w:tcPr>
            <w:tcW w:w="58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53.3</w:t>
            </w:r>
          </w:p>
        </w:tc>
        <w:tc>
          <w:tcPr>
            <w:tcW w:w="560" w:type="dxa"/>
            <w:vAlign w:val="bottom"/>
            <w:tcBorders>
              <w:bottom w:val="single" w:sz="8" w:color="E5F1F8"/>
            </w:tcBorders>
            <w:shd w:val="clear" w:color="auto" w:fill="E5F1F8"/>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52.1</w:t>
            </w:r>
          </w:p>
        </w:tc>
      </w:tr>
      <w:tr>
        <w:trPr>
          <w:trHeight w:val="215"/>
        </w:trPr>
        <w:tc>
          <w:tcPr>
            <w:tcW w:w="6140" w:type="dxa"/>
            <w:vAlign w:val="bottom"/>
          </w:tcPr>
          <w:p>
            <w:pPr>
              <w:ind w:left="200"/>
              <w:spacing w:after="0" w:line="215" w:lineRule="exact"/>
              <w:rPr>
                <w:sz w:val="20"/>
                <w:szCs w:val="20"/>
                <w:color w:val="auto"/>
              </w:rPr>
            </w:pPr>
            <w:r>
              <w:rPr>
                <w:rFonts w:ascii="Calibri" w:cs="Calibri" w:eastAsia="Calibri" w:hAnsi="Calibri"/>
                <w:sz w:val="18"/>
                <w:szCs w:val="18"/>
                <w:color w:val="auto"/>
              </w:rPr>
              <w:t>Noncurrent operatng lease liabilites</w:t>
            </w: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326.7</w:t>
            </w:r>
          </w:p>
        </w:tc>
        <w:tc>
          <w:tcPr>
            <w:tcW w:w="560" w:type="dxa"/>
            <w:vAlign w:val="bottom"/>
          </w:tcPr>
          <w:p>
            <w:pPr>
              <w:spacing w:after="0"/>
              <w:rPr>
                <w:sz w:val="18"/>
                <w:szCs w:val="18"/>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335.9</w:t>
            </w:r>
          </w:p>
        </w:tc>
      </w:tr>
      <w:tr>
        <w:trPr>
          <w:trHeight w:val="28"/>
        </w:trPr>
        <w:tc>
          <w:tcPr>
            <w:tcW w:w="6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1"/>
        </w:trPr>
        <w:tc>
          <w:tcPr>
            <w:tcW w:w="6140" w:type="dxa"/>
            <w:vAlign w:val="bottom"/>
            <w:tcBorders>
              <w:bottom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operatng lease liabilites</w:t>
            </w:r>
          </w:p>
        </w:tc>
        <w:tc>
          <w:tcPr>
            <w:tcW w:w="1900" w:type="dxa"/>
            <w:vAlign w:val="bottom"/>
            <w:tcBorders>
              <w:bottom w:val="single" w:sz="8" w:color="E5F1F8"/>
            </w:tcBorders>
            <w:gridSpan w:val="2"/>
            <w:shd w:val="clear" w:color="auto" w:fill="E5F1F8"/>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380.0</w:t>
            </w:r>
          </w:p>
        </w:tc>
        <w:tc>
          <w:tcPr>
            <w:tcW w:w="560" w:type="dxa"/>
            <w:vAlign w:val="bottom"/>
            <w:tcBorders>
              <w:bottom w:val="single" w:sz="8" w:color="E5F1F8"/>
            </w:tcBorders>
            <w:shd w:val="clear" w:color="auto" w:fill="E5F1F8"/>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30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388.0</w:t>
            </w:r>
          </w:p>
        </w:tc>
      </w:tr>
      <w:tr>
        <w:trPr>
          <w:trHeight w:val="224"/>
        </w:trPr>
        <w:tc>
          <w:tcPr>
            <w:tcW w:w="6140" w:type="dxa"/>
            <w:vAlign w:val="bottom"/>
            <w:tcBorders>
              <w:top w:val="single" w:sz="8" w:color="auto"/>
            </w:tcBorders>
          </w:tcPr>
          <w:p>
            <w:pPr>
              <w:spacing w:after="0"/>
              <w:rPr>
                <w:sz w:val="19"/>
                <w:szCs w:val="19"/>
                <w:color w:val="auto"/>
              </w:rPr>
            </w:pPr>
          </w:p>
        </w:tc>
        <w:tc>
          <w:tcPr>
            <w:tcW w:w="1320" w:type="dxa"/>
            <w:vAlign w:val="bottom"/>
            <w:tcBorders>
              <w:top w:val="single" w:sz="8" w:color="auto"/>
              <w:right w:val="single" w:sz="8" w:color="007CBA"/>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340" w:type="dxa"/>
            <w:vAlign w:val="bottom"/>
            <w:tcBorders>
              <w:top w:val="single" w:sz="8" w:color="auto"/>
              <w:right w:val="single" w:sz="8" w:color="007CBA"/>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23"/>
        </w:trPr>
        <w:tc>
          <w:tcPr>
            <w:tcW w:w="614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Finance leases:</w:t>
            </w:r>
          </w:p>
        </w:tc>
        <w:tc>
          <w:tcPr>
            <w:tcW w:w="1320" w:type="dxa"/>
            <w:vAlign w:val="bottom"/>
            <w:tcBorders>
              <w:bottom w:val="single" w:sz="8" w:color="E5F1F8"/>
              <w:right w:val="single" w:sz="8" w:color="007CBA"/>
            </w:tcBorders>
            <w:shd w:val="clear" w:color="auto" w:fill="E5F1F8"/>
          </w:tcPr>
          <w:p>
            <w:pPr>
              <w:spacing w:after="0"/>
              <w:rPr>
                <w:sz w:val="19"/>
                <w:szCs w:val="19"/>
                <w:color w:val="auto"/>
              </w:rPr>
            </w:pPr>
          </w:p>
        </w:tc>
        <w:tc>
          <w:tcPr>
            <w:tcW w:w="580" w:type="dxa"/>
            <w:vAlign w:val="bottom"/>
            <w:tcBorders>
              <w:bottom w:val="single" w:sz="8" w:color="E5F1F8"/>
            </w:tcBorders>
            <w:shd w:val="clear" w:color="auto" w:fill="E5F1F8"/>
          </w:tcPr>
          <w:p>
            <w:pPr>
              <w:spacing w:after="0"/>
              <w:rPr>
                <w:sz w:val="19"/>
                <w:szCs w:val="19"/>
                <w:color w:val="auto"/>
              </w:rPr>
            </w:pPr>
          </w:p>
        </w:tc>
        <w:tc>
          <w:tcPr>
            <w:tcW w:w="1340" w:type="dxa"/>
            <w:vAlign w:val="bottom"/>
            <w:tcBorders>
              <w:bottom w:val="single" w:sz="8" w:color="E5F1F8"/>
              <w:right w:val="single" w:sz="8" w:color="007CBA"/>
            </w:tcBorders>
            <w:shd w:val="clear" w:color="auto" w:fill="E5F1F8"/>
          </w:tcPr>
          <w:p>
            <w:pPr>
              <w:spacing w:after="0"/>
              <w:rPr>
                <w:sz w:val="19"/>
                <w:szCs w:val="19"/>
                <w:color w:val="auto"/>
              </w:rPr>
            </w:pPr>
          </w:p>
        </w:tc>
        <w:tc>
          <w:tcPr>
            <w:tcW w:w="560" w:type="dxa"/>
            <w:vAlign w:val="bottom"/>
            <w:tcBorders>
              <w:bottom w:val="single" w:sz="8" w:color="E5F1F8"/>
            </w:tcBorders>
            <w:shd w:val="clear" w:color="auto" w:fill="E5F1F8"/>
          </w:tcPr>
          <w:p>
            <w:pPr>
              <w:spacing w:after="0"/>
              <w:rPr>
                <w:sz w:val="19"/>
                <w:szCs w:val="19"/>
                <w:color w:val="auto"/>
              </w:rPr>
            </w:pPr>
          </w:p>
        </w:tc>
        <w:tc>
          <w:tcPr>
            <w:tcW w:w="1300" w:type="dxa"/>
            <w:vAlign w:val="bottom"/>
            <w:tcBorders>
              <w:bottom w:val="single" w:sz="8" w:color="E5F1F8"/>
            </w:tcBorders>
            <w:shd w:val="clear" w:color="auto" w:fill="E5F1F8"/>
          </w:tcPr>
          <w:p>
            <w:pPr>
              <w:spacing w:after="0"/>
              <w:rPr>
                <w:sz w:val="19"/>
                <w:szCs w:val="19"/>
                <w:color w:val="auto"/>
              </w:rPr>
            </w:pPr>
          </w:p>
        </w:tc>
      </w:tr>
      <w:tr>
        <w:trPr>
          <w:trHeight w:val="243"/>
        </w:trPr>
        <w:tc>
          <w:tcPr>
            <w:tcW w:w="6140" w:type="dxa"/>
            <w:vAlign w:val="bottom"/>
          </w:tcPr>
          <w:p>
            <w:pPr>
              <w:ind w:left="200"/>
              <w:spacing w:after="0" w:line="215" w:lineRule="exact"/>
              <w:rPr>
                <w:sz w:val="20"/>
                <w:szCs w:val="20"/>
                <w:color w:val="auto"/>
              </w:rPr>
            </w:pPr>
            <w:r>
              <w:rPr>
                <w:rFonts w:ascii="Calibri" w:cs="Calibri" w:eastAsia="Calibri" w:hAnsi="Calibri"/>
                <w:sz w:val="18"/>
                <w:szCs w:val="18"/>
                <w:color w:val="auto"/>
              </w:rPr>
              <w:t>Property, plant and equipment</w:t>
            </w:r>
          </w:p>
        </w:tc>
        <w:tc>
          <w:tcPr>
            <w:tcW w:w="1320" w:type="dxa"/>
            <w:vAlign w:val="bottom"/>
            <w:tcBorders>
              <w:right w:val="single" w:sz="8" w:color="007CBA"/>
            </w:tcBorders>
          </w:tcPr>
          <w:p>
            <w:pPr>
              <w:spacing w:after="0"/>
              <w:rPr>
                <w:sz w:val="21"/>
                <w:szCs w:val="21"/>
                <w:color w:val="auto"/>
              </w:rPr>
            </w:pP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253.5</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236.9</w:t>
            </w:r>
          </w:p>
        </w:tc>
      </w:tr>
      <w:tr>
        <w:trPr>
          <w:trHeight w:val="248"/>
        </w:trPr>
        <w:tc>
          <w:tcPr>
            <w:tcW w:w="6140" w:type="dxa"/>
            <w:vAlign w:val="bottom"/>
            <w:tcBorders>
              <w:bottom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Accumulated depreciaton</w:t>
            </w:r>
          </w:p>
        </w:tc>
        <w:tc>
          <w:tcPr>
            <w:tcW w:w="1320" w:type="dxa"/>
            <w:vAlign w:val="bottom"/>
            <w:tcBorders>
              <w:bottom w:val="single" w:sz="8" w:color="E5F1F8"/>
              <w:right w:val="single" w:sz="8" w:color="E5F1F8"/>
            </w:tcBorders>
            <w:shd w:val="clear" w:color="auto" w:fill="E5F1F8"/>
          </w:tcPr>
          <w:p>
            <w:pPr>
              <w:spacing w:after="0"/>
              <w:rPr>
                <w:sz w:val="21"/>
                <w:szCs w:val="21"/>
                <w:color w:val="auto"/>
              </w:rPr>
            </w:pPr>
          </w:p>
        </w:tc>
        <w:tc>
          <w:tcPr>
            <w:tcW w:w="580" w:type="dxa"/>
            <w:vAlign w:val="bottom"/>
            <w:tcBorders>
              <w:bottom w:val="single" w:sz="8" w:color="E5F1F8"/>
            </w:tcBorders>
            <w:shd w:val="clear" w:color="auto" w:fill="E5F1F8"/>
          </w:tcPr>
          <w:p>
            <w:pPr>
              <w:spacing w:after="0"/>
              <w:rPr>
                <w:sz w:val="21"/>
                <w:szCs w:val="21"/>
                <w:color w:val="auto"/>
              </w:rPr>
            </w:pPr>
          </w:p>
        </w:tc>
        <w:tc>
          <w:tcPr>
            <w:tcW w:w="13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(58.8 )</w:t>
            </w:r>
          </w:p>
        </w:tc>
        <w:tc>
          <w:tcPr>
            <w:tcW w:w="560" w:type="dxa"/>
            <w:vAlign w:val="bottom"/>
            <w:tcBorders>
              <w:bottom w:val="single" w:sz="8" w:color="E5F1F8"/>
            </w:tcBorders>
            <w:shd w:val="clear" w:color="auto" w:fill="E5F1F8"/>
          </w:tcPr>
          <w:p>
            <w:pPr>
              <w:spacing w:after="0"/>
              <w:rPr>
                <w:sz w:val="21"/>
                <w:szCs w:val="21"/>
                <w:color w:val="auto"/>
              </w:rPr>
            </w:pPr>
          </w:p>
        </w:tc>
        <w:tc>
          <w:tcPr>
            <w:tcW w:w="13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(39.4 )</w:t>
            </w:r>
          </w:p>
        </w:tc>
      </w:tr>
      <w:tr>
        <w:trPr>
          <w:trHeight w:val="208"/>
        </w:trPr>
        <w:tc>
          <w:tcPr>
            <w:tcW w:w="61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Property, plant and equipment, net</w:t>
            </w:r>
          </w:p>
        </w:tc>
        <w:tc>
          <w:tcPr>
            <w:tcW w:w="1900" w:type="dxa"/>
            <w:vAlign w:val="bottom"/>
            <w:tcBorders>
              <w:top w:val="single" w:sz="8" w:color="auto"/>
            </w:tcBorders>
            <w:gridSpan w:val="2"/>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194.7</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3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197.5</w:t>
            </w:r>
          </w:p>
        </w:tc>
      </w:tr>
      <w:tr>
        <w:trPr>
          <w:trHeight w:val="28"/>
        </w:trPr>
        <w:tc>
          <w:tcPr>
            <w:tcW w:w="6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4"/>
        </w:trPr>
        <w:tc>
          <w:tcPr>
            <w:tcW w:w="6140" w:type="dxa"/>
            <w:vAlign w:val="bottom"/>
            <w:shd w:val="clear" w:color="auto" w:fill="E5F1F8"/>
          </w:tcPr>
          <w:p>
            <w:pPr>
              <w:spacing w:after="0"/>
              <w:rPr>
                <w:sz w:val="19"/>
                <w:szCs w:val="19"/>
                <w:color w:val="auto"/>
              </w:rPr>
            </w:pPr>
          </w:p>
        </w:tc>
        <w:tc>
          <w:tcPr>
            <w:tcW w:w="1320" w:type="dxa"/>
            <w:vAlign w:val="bottom"/>
            <w:tcBorders>
              <w:right w:val="single" w:sz="8" w:color="007CBA"/>
            </w:tcBorders>
            <w:shd w:val="clear" w:color="auto" w:fill="E5F1F8"/>
          </w:tcPr>
          <w:p>
            <w:pPr>
              <w:spacing w:after="0"/>
              <w:rPr>
                <w:sz w:val="19"/>
                <w:szCs w:val="19"/>
                <w:color w:val="auto"/>
              </w:rPr>
            </w:pPr>
          </w:p>
        </w:tc>
        <w:tc>
          <w:tcPr>
            <w:tcW w:w="580" w:type="dxa"/>
            <w:vAlign w:val="bottom"/>
            <w:shd w:val="clear" w:color="auto" w:fill="E5F1F8"/>
          </w:tcPr>
          <w:p>
            <w:pPr>
              <w:spacing w:after="0"/>
              <w:rPr>
                <w:sz w:val="19"/>
                <w:szCs w:val="19"/>
                <w:color w:val="auto"/>
              </w:rPr>
            </w:pPr>
          </w:p>
        </w:tc>
        <w:tc>
          <w:tcPr>
            <w:tcW w:w="1340" w:type="dxa"/>
            <w:vAlign w:val="bottom"/>
            <w:tcBorders>
              <w:right w:val="single" w:sz="8" w:color="007CBA"/>
            </w:tcBorders>
            <w:shd w:val="clear" w:color="auto" w:fill="E5F1F8"/>
          </w:tcPr>
          <w:p>
            <w:pPr>
              <w:spacing w:after="0"/>
              <w:rPr>
                <w:sz w:val="19"/>
                <w:szCs w:val="19"/>
                <w:color w:val="auto"/>
              </w:rPr>
            </w:pPr>
          </w:p>
        </w:tc>
        <w:tc>
          <w:tcPr>
            <w:tcW w:w="560" w:type="dxa"/>
            <w:vAlign w:val="bottom"/>
            <w:shd w:val="clear" w:color="auto" w:fill="E5F1F8"/>
          </w:tcPr>
          <w:p>
            <w:pPr>
              <w:spacing w:after="0"/>
              <w:rPr>
                <w:sz w:val="19"/>
                <w:szCs w:val="19"/>
                <w:color w:val="auto"/>
              </w:rPr>
            </w:pPr>
          </w:p>
        </w:tc>
        <w:tc>
          <w:tcPr>
            <w:tcW w:w="1300" w:type="dxa"/>
            <w:vAlign w:val="bottom"/>
            <w:shd w:val="clear" w:color="auto" w:fill="E5F1F8"/>
          </w:tcPr>
          <w:p>
            <w:pPr>
              <w:spacing w:after="0"/>
              <w:rPr>
                <w:sz w:val="19"/>
                <w:szCs w:val="19"/>
                <w:color w:val="auto"/>
              </w:rPr>
            </w:pPr>
          </w:p>
        </w:tc>
      </w:tr>
      <w:tr>
        <w:trPr>
          <w:trHeight w:val="243"/>
        </w:trPr>
        <w:tc>
          <w:tcPr>
            <w:tcW w:w="6140" w:type="dxa"/>
            <w:vAlign w:val="bottom"/>
          </w:tcPr>
          <w:p>
            <w:pPr>
              <w:ind w:left="200"/>
              <w:spacing w:after="0" w:line="215" w:lineRule="exact"/>
              <w:rPr>
                <w:sz w:val="20"/>
                <w:szCs w:val="20"/>
                <w:color w:val="auto"/>
              </w:rPr>
            </w:pPr>
            <w:r>
              <w:rPr>
                <w:rFonts w:ascii="Calibri" w:cs="Calibri" w:eastAsia="Calibri" w:hAnsi="Calibri"/>
                <w:sz w:val="18"/>
                <w:szCs w:val="18"/>
                <w:color w:val="auto"/>
              </w:rPr>
              <w:t>Other current liabilites</w:t>
            </w:r>
          </w:p>
        </w:tc>
        <w:tc>
          <w:tcPr>
            <w:tcW w:w="1320" w:type="dxa"/>
            <w:vAlign w:val="bottom"/>
            <w:tcBorders>
              <w:right w:val="single" w:sz="8" w:color="007CBA"/>
            </w:tcBorders>
          </w:tcPr>
          <w:p>
            <w:pPr>
              <w:spacing w:after="0"/>
              <w:rPr>
                <w:sz w:val="21"/>
                <w:szCs w:val="21"/>
                <w:color w:val="auto"/>
              </w:rPr>
            </w:pPr>
          </w:p>
        </w:tc>
        <w:tc>
          <w:tcPr>
            <w:tcW w:w="580" w:type="dxa"/>
            <w:vAlign w:val="bottom"/>
          </w:tcPr>
          <w:p>
            <w:pPr>
              <w:jc w:val="right"/>
              <w:ind w:right="170"/>
              <w:spacing w:after="0" w:line="215"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20.1</w:t>
            </w:r>
          </w:p>
        </w:tc>
        <w:tc>
          <w:tcPr>
            <w:tcW w:w="5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17.8</w:t>
            </w:r>
          </w:p>
        </w:tc>
      </w:tr>
      <w:tr>
        <w:trPr>
          <w:trHeight w:val="248"/>
        </w:trPr>
        <w:tc>
          <w:tcPr>
            <w:tcW w:w="6140" w:type="dxa"/>
            <w:vAlign w:val="bottom"/>
            <w:tcBorders>
              <w:bottom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Other noncurrent liabilites</w:t>
            </w:r>
          </w:p>
        </w:tc>
        <w:tc>
          <w:tcPr>
            <w:tcW w:w="1320" w:type="dxa"/>
            <w:vAlign w:val="bottom"/>
            <w:tcBorders>
              <w:bottom w:val="single" w:sz="8" w:color="E5F1F8"/>
              <w:right w:val="single" w:sz="8" w:color="E5F1F8"/>
            </w:tcBorders>
            <w:shd w:val="clear" w:color="auto" w:fill="E5F1F8"/>
          </w:tcPr>
          <w:p>
            <w:pPr>
              <w:spacing w:after="0"/>
              <w:rPr>
                <w:sz w:val="21"/>
                <w:szCs w:val="21"/>
                <w:color w:val="auto"/>
              </w:rPr>
            </w:pPr>
          </w:p>
        </w:tc>
        <w:tc>
          <w:tcPr>
            <w:tcW w:w="580" w:type="dxa"/>
            <w:vAlign w:val="bottom"/>
            <w:tcBorders>
              <w:bottom w:val="single" w:sz="8" w:color="E5F1F8"/>
            </w:tcBorders>
            <w:shd w:val="clear" w:color="auto" w:fill="E5F1F8"/>
          </w:tcPr>
          <w:p>
            <w:pPr>
              <w:spacing w:after="0"/>
              <w:rPr>
                <w:sz w:val="21"/>
                <w:szCs w:val="21"/>
                <w:color w:val="auto"/>
              </w:rPr>
            </w:pPr>
          </w:p>
        </w:tc>
        <w:tc>
          <w:tcPr>
            <w:tcW w:w="134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179.5</w:t>
            </w:r>
          </w:p>
        </w:tc>
        <w:tc>
          <w:tcPr>
            <w:tcW w:w="560" w:type="dxa"/>
            <w:vAlign w:val="bottom"/>
            <w:tcBorders>
              <w:bottom w:val="single" w:sz="8" w:color="E5F1F8"/>
            </w:tcBorders>
            <w:shd w:val="clear" w:color="auto" w:fill="E5F1F8"/>
          </w:tcPr>
          <w:p>
            <w:pPr>
              <w:spacing w:after="0"/>
              <w:rPr>
                <w:sz w:val="21"/>
                <w:szCs w:val="21"/>
                <w:color w:val="auto"/>
              </w:rPr>
            </w:pPr>
          </w:p>
        </w:tc>
        <w:tc>
          <w:tcPr>
            <w:tcW w:w="13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182.1</w:t>
            </w:r>
          </w:p>
        </w:tc>
      </w:tr>
      <w:tr>
        <w:trPr>
          <w:trHeight w:val="208"/>
        </w:trPr>
        <w:tc>
          <w:tcPr>
            <w:tcW w:w="61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 fnance lease liabilites</w:t>
            </w:r>
          </w:p>
        </w:tc>
        <w:tc>
          <w:tcPr>
            <w:tcW w:w="1900" w:type="dxa"/>
            <w:vAlign w:val="bottom"/>
            <w:tcBorders>
              <w:top w:val="single" w:sz="8" w:color="auto"/>
            </w:tcBorders>
            <w:gridSpan w:val="2"/>
          </w:tcPr>
          <w:p>
            <w:pPr>
              <w:jc w:val="right"/>
              <w:ind w:right="170"/>
              <w:spacing w:after="0" w:line="208" w:lineRule="exact"/>
              <w:rPr>
                <w:sz w:val="20"/>
                <w:szCs w:val="20"/>
                <w:color w:val="auto"/>
              </w:rPr>
            </w:pPr>
            <w:r>
              <w:rPr>
                <w:rFonts w:ascii="Calibri" w:cs="Calibri" w:eastAsia="Calibri" w:hAnsi="Calibri"/>
                <w:sz w:val="18"/>
                <w:szCs w:val="18"/>
                <w:b w:val="1"/>
                <w:bCs w:val="1"/>
                <w:color w:val="auto"/>
              </w:rPr>
              <w:t>$</w:t>
            </w:r>
          </w:p>
        </w:tc>
        <w:tc>
          <w:tcPr>
            <w:tcW w:w="13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199.6</w:t>
            </w:r>
          </w:p>
        </w:tc>
        <w:tc>
          <w:tcPr>
            <w:tcW w:w="56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color w:val="auto"/>
              </w:rPr>
              <w:t>$</w:t>
            </w:r>
          </w:p>
        </w:tc>
        <w:tc>
          <w:tcPr>
            <w:tcW w:w="13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199.9</w:t>
            </w:r>
          </w:p>
        </w:tc>
      </w:tr>
      <w:tr>
        <w:trPr>
          <w:trHeight w:val="28"/>
        </w:trPr>
        <w:tc>
          <w:tcPr>
            <w:tcW w:w="6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-2300605</wp:posOffset>
            </wp:positionV>
            <wp:extent cx="34290" cy="2051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34290" cy="205105"/>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-2300605</wp:posOffset>
            </wp:positionV>
            <wp:extent cx="33655" cy="20510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33655" cy="20510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-1812290</wp:posOffset>
            </wp:positionV>
            <wp:extent cx="34290" cy="3683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-1812290</wp:posOffset>
            </wp:positionV>
            <wp:extent cx="33655" cy="3683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-1006475</wp:posOffset>
            </wp:positionV>
            <wp:extent cx="34290" cy="3683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-1006475</wp:posOffset>
            </wp:positionV>
            <wp:extent cx="33655" cy="3683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-354965</wp:posOffset>
            </wp:positionV>
            <wp:extent cx="34290" cy="3683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-354965</wp:posOffset>
            </wp:positionV>
            <wp:extent cx="33655" cy="3683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incremental borrowing rate ranged from 0.0% to 6.0% for the years ended December 31, 2023 and 2022. Weighted-average remaining lease terms and discount rates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6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480" w:type="dxa"/>
            <w:vAlign w:val="bottom"/>
            <w:shd w:val="clear" w:color="auto" w:fill="007CBA"/>
          </w:tcPr>
          <w:p>
            <w:pPr>
              <w:spacing w:after="0"/>
              <w:rPr>
                <w:sz w:val="21"/>
                <w:szCs w:val="21"/>
                <w:color w:val="auto"/>
              </w:rPr>
            </w:pPr>
          </w:p>
        </w:tc>
        <w:tc>
          <w:tcPr>
            <w:tcW w:w="1440" w:type="dxa"/>
            <w:vAlign w:val="bottom"/>
            <w:tcBorders>
              <w:right w:val="single" w:sz="8" w:color="007CBA"/>
            </w:tcBorders>
            <w:shd w:val="clear" w:color="auto" w:fill="007CBA"/>
          </w:tcPr>
          <w:p>
            <w:pPr>
              <w:jc w:val="right"/>
              <w:ind w:right="590"/>
              <w:spacing w:after="0"/>
              <w:rPr>
                <w:sz w:val="20"/>
                <w:szCs w:val="20"/>
                <w:color w:val="auto"/>
              </w:rPr>
            </w:pPr>
            <w:r>
              <w:rPr>
                <w:rFonts w:ascii="Calibri" w:cs="Calibri" w:eastAsia="Calibri" w:hAnsi="Calibri"/>
                <w:sz w:val="18"/>
                <w:szCs w:val="18"/>
                <w:b w:val="1"/>
                <w:bCs w:val="1"/>
                <w:color w:val="FFFFFF"/>
              </w:rPr>
              <w:t>2023</w:t>
            </w:r>
          </w:p>
        </w:tc>
        <w:tc>
          <w:tcPr>
            <w:tcW w:w="500" w:type="dxa"/>
            <w:vAlign w:val="bottom"/>
            <w:shd w:val="clear" w:color="auto" w:fill="007CBA"/>
          </w:tcPr>
          <w:p>
            <w:pPr>
              <w:spacing w:after="0"/>
              <w:rPr>
                <w:sz w:val="21"/>
                <w:szCs w:val="21"/>
                <w:color w:val="auto"/>
              </w:rPr>
            </w:pPr>
          </w:p>
        </w:tc>
        <w:tc>
          <w:tcPr>
            <w:tcW w:w="1360" w:type="dxa"/>
            <w:vAlign w:val="bottom"/>
            <w:shd w:val="clear" w:color="auto" w:fill="007CBA"/>
          </w:tcPr>
          <w:p>
            <w:pPr>
              <w:jc w:val="right"/>
              <w:ind w:right="570"/>
              <w:spacing w:after="0"/>
              <w:rPr>
                <w:sz w:val="20"/>
                <w:szCs w:val="20"/>
                <w:color w:val="auto"/>
              </w:rPr>
            </w:pPr>
            <w:r>
              <w:rPr>
                <w:rFonts w:ascii="Calibri" w:cs="Calibri" w:eastAsia="Calibri" w:hAnsi="Calibri"/>
                <w:sz w:val="18"/>
                <w:szCs w:val="18"/>
                <w:color w:val="FFFFFF"/>
              </w:rPr>
              <w:t>2022</w:t>
            </w: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Weighted-average remaining lease terms (years):</w:t>
            </w:r>
          </w:p>
        </w:tc>
        <w:tc>
          <w:tcPr>
            <w:tcW w:w="480" w:type="dxa"/>
            <w:vAlign w:val="bottom"/>
          </w:tcPr>
          <w:p>
            <w:pPr>
              <w:spacing w:after="0"/>
              <w:rPr>
                <w:sz w:val="18"/>
                <w:szCs w:val="18"/>
                <w:color w:val="auto"/>
              </w:rPr>
            </w:pPr>
          </w:p>
        </w:tc>
        <w:tc>
          <w:tcPr>
            <w:tcW w:w="1440" w:type="dxa"/>
            <w:vAlign w:val="bottom"/>
            <w:tcBorders>
              <w:right w:val="single" w:sz="8" w:color="007CBA"/>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8"/>
        </w:trPr>
        <w:tc>
          <w:tcPr>
            <w:tcW w:w="74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Borders>
              <w:right w:val="single" w:sz="8" w:color="007CBA"/>
            </w:tcBorders>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7460" w:type="dxa"/>
            <w:vAlign w:val="bottom"/>
            <w:tcBorders>
              <w:bottom w:val="single" w:sz="8" w:color="E5F1F8"/>
              <w:right w:val="single" w:sz="8" w:color="007CBA"/>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Operatng leases</w:t>
            </w:r>
          </w:p>
        </w:tc>
        <w:tc>
          <w:tcPr>
            <w:tcW w:w="480" w:type="dxa"/>
            <w:vAlign w:val="bottom"/>
            <w:tcBorders>
              <w:bottom w:val="single" w:sz="8" w:color="E5F1F8"/>
            </w:tcBorders>
            <w:shd w:val="clear" w:color="auto" w:fill="E5F1F8"/>
          </w:tcPr>
          <w:p>
            <w:pPr>
              <w:spacing w:after="0"/>
              <w:rPr>
                <w:sz w:val="19"/>
                <w:szCs w:val="19"/>
                <w:color w:val="auto"/>
              </w:rPr>
            </w:pPr>
          </w:p>
        </w:tc>
        <w:tc>
          <w:tcPr>
            <w:tcW w:w="1440" w:type="dxa"/>
            <w:vAlign w:val="bottom"/>
            <w:tcBorders>
              <w:bottom w:val="single" w:sz="8" w:color="E5F1F8"/>
              <w:right w:val="single" w:sz="8" w:color="007CBA"/>
            </w:tcBorders>
            <w:shd w:val="clear" w:color="auto" w:fill="E5F1F8"/>
          </w:tcPr>
          <w:p>
            <w:pPr>
              <w:jc w:val="center"/>
              <w:ind w:right="430"/>
              <w:spacing w:after="0" w:line="215" w:lineRule="exact"/>
              <w:rPr>
                <w:sz w:val="20"/>
                <w:szCs w:val="20"/>
                <w:color w:val="auto"/>
              </w:rPr>
            </w:pPr>
            <w:r>
              <w:rPr>
                <w:rFonts w:ascii="Calibri" w:cs="Calibri" w:eastAsia="Calibri" w:hAnsi="Calibri"/>
                <w:sz w:val="18"/>
                <w:szCs w:val="18"/>
                <w:b w:val="1"/>
                <w:bCs w:val="1"/>
                <w:color w:val="auto"/>
                <w:w w:val="99"/>
              </w:rPr>
              <w:t>11.7</w:t>
            </w:r>
          </w:p>
        </w:tc>
        <w:tc>
          <w:tcPr>
            <w:tcW w:w="50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tcBorders>
            <w:shd w:val="clear" w:color="auto" w:fill="E5F1F8"/>
          </w:tcPr>
          <w:p>
            <w:pPr>
              <w:jc w:val="center"/>
              <w:ind w:right="430"/>
              <w:spacing w:after="0" w:line="215" w:lineRule="exact"/>
              <w:rPr>
                <w:sz w:val="20"/>
                <w:szCs w:val="20"/>
                <w:color w:val="auto"/>
              </w:rPr>
            </w:pPr>
            <w:r>
              <w:rPr>
                <w:rFonts w:ascii="Calibri" w:cs="Calibri" w:eastAsia="Calibri" w:hAnsi="Calibri"/>
                <w:sz w:val="18"/>
                <w:szCs w:val="18"/>
                <w:color w:val="auto"/>
              </w:rPr>
              <w:t>12.2</w:t>
            </w:r>
          </w:p>
        </w:tc>
      </w:tr>
      <w:tr>
        <w:trPr>
          <w:trHeight w:val="215"/>
        </w:trPr>
        <w:tc>
          <w:tcPr>
            <w:tcW w:w="7460" w:type="dxa"/>
            <w:vAlign w:val="bottom"/>
            <w:tcBorders>
              <w:right w:val="single" w:sz="8" w:color="007CBA"/>
            </w:tcBorders>
          </w:tcPr>
          <w:p>
            <w:pPr>
              <w:ind w:left="320"/>
              <w:spacing w:after="0" w:line="215" w:lineRule="exact"/>
              <w:rPr>
                <w:sz w:val="20"/>
                <w:szCs w:val="20"/>
                <w:color w:val="auto"/>
              </w:rPr>
            </w:pPr>
            <w:r>
              <w:rPr>
                <w:rFonts w:ascii="Calibri" w:cs="Calibri" w:eastAsia="Calibri" w:hAnsi="Calibri"/>
                <w:sz w:val="18"/>
                <w:szCs w:val="18"/>
                <w:color w:val="auto"/>
              </w:rPr>
              <w:t>Finance leases</w:t>
            </w:r>
          </w:p>
        </w:tc>
        <w:tc>
          <w:tcPr>
            <w:tcW w:w="480" w:type="dxa"/>
            <w:vAlign w:val="bottom"/>
          </w:tcPr>
          <w:p>
            <w:pPr>
              <w:spacing w:after="0"/>
              <w:rPr>
                <w:sz w:val="18"/>
                <w:szCs w:val="18"/>
                <w:color w:val="auto"/>
              </w:rPr>
            </w:pPr>
          </w:p>
        </w:tc>
        <w:tc>
          <w:tcPr>
            <w:tcW w:w="1440" w:type="dxa"/>
            <w:vAlign w:val="bottom"/>
            <w:tcBorders>
              <w:right w:val="single" w:sz="8" w:color="007CBA"/>
            </w:tcBorders>
          </w:tcPr>
          <w:p>
            <w:pPr>
              <w:jc w:val="center"/>
              <w:ind w:right="430"/>
              <w:spacing w:after="0" w:line="215" w:lineRule="exact"/>
              <w:rPr>
                <w:sz w:val="20"/>
                <w:szCs w:val="20"/>
                <w:color w:val="auto"/>
              </w:rPr>
            </w:pPr>
            <w:r>
              <w:rPr>
                <w:rFonts w:ascii="Calibri" w:cs="Calibri" w:eastAsia="Calibri" w:hAnsi="Calibri"/>
                <w:sz w:val="18"/>
                <w:szCs w:val="18"/>
                <w:b w:val="1"/>
                <w:bCs w:val="1"/>
                <w:color w:val="auto"/>
                <w:w w:val="99"/>
              </w:rPr>
              <w:t>18.3</w:t>
            </w:r>
          </w:p>
        </w:tc>
        <w:tc>
          <w:tcPr>
            <w:tcW w:w="500" w:type="dxa"/>
            <w:vAlign w:val="bottom"/>
          </w:tcPr>
          <w:p>
            <w:pPr>
              <w:spacing w:after="0"/>
              <w:rPr>
                <w:sz w:val="18"/>
                <w:szCs w:val="18"/>
                <w:color w:val="auto"/>
              </w:rPr>
            </w:pPr>
          </w:p>
        </w:tc>
        <w:tc>
          <w:tcPr>
            <w:tcW w:w="1360" w:type="dxa"/>
            <w:vAlign w:val="bottom"/>
          </w:tcPr>
          <w:p>
            <w:pPr>
              <w:jc w:val="center"/>
              <w:ind w:right="430"/>
              <w:spacing w:after="0" w:line="215" w:lineRule="exact"/>
              <w:rPr>
                <w:sz w:val="20"/>
                <w:szCs w:val="20"/>
                <w:color w:val="auto"/>
              </w:rPr>
            </w:pPr>
            <w:r>
              <w:rPr>
                <w:rFonts w:ascii="Calibri" w:cs="Calibri" w:eastAsia="Calibri" w:hAnsi="Calibri"/>
                <w:sz w:val="18"/>
                <w:szCs w:val="18"/>
                <w:color w:val="auto"/>
              </w:rPr>
              <w:t>19.1</w:t>
            </w:r>
          </w:p>
        </w:tc>
      </w:tr>
      <w:tr>
        <w:trPr>
          <w:trHeight w:val="28"/>
        </w:trPr>
        <w:tc>
          <w:tcPr>
            <w:tcW w:w="74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Borders>
              <w:right w:val="single" w:sz="8" w:color="007CBA"/>
            </w:tcBorders>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460" w:type="dxa"/>
            <w:vAlign w:val="bottom"/>
            <w:tcBorders>
              <w:right w:val="single" w:sz="8" w:color="007CBA"/>
            </w:tcBorders>
            <w:shd w:val="clear" w:color="auto" w:fill="E5F1F8"/>
          </w:tcPr>
          <w:p>
            <w:pPr>
              <w:spacing w:after="0"/>
              <w:rPr>
                <w:sz w:val="21"/>
                <w:szCs w:val="21"/>
                <w:color w:val="auto"/>
              </w:rPr>
            </w:pPr>
          </w:p>
        </w:tc>
        <w:tc>
          <w:tcPr>
            <w:tcW w:w="480" w:type="dxa"/>
            <w:vAlign w:val="bottom"/>
            <w:shd w:val="clear" w:color="auto" w:fill="E5F1F8"/>
          </w:tcPr>
          <w:p>
            <w:pPr>
              <w:spacing w:after="0"/>
              <w:rPr>
                <w:sz w:val="21"/>
                <w:szCs w:val="21"/>
                <w:color w:val="auto"/>
              </w:rPr>
            </w:pPr>
          </w:p>
        </w:tc>
        <w:tc>
          <w:tcPr>
            <w:tcW w:w="1440" w:type="dxa"/>
            <w:vAlign w:val="bottom"/>
            <w:tcBorders>
              <w:right w:val="single" w:sz="8" w:color="007CBA"/>
            </w:tcBorders>
            <w:shd w:val="clear" w:color="auto" w:fill="E5F1F8"/>
          </w:tcPr>
          <w:p>
            <w:pPr>
              <w:spacing w:after="0"/>
              <w:rPr>
                <w:sz w:val="21"/>
                <w:szCs w:val="21"/>
                <w:color w:val="auto"/>
              </w:rPr>
            </w:pPr>
          </w:p>
        </w:tc>
        <w:tc>
          <w:tcPr>
            <w:tcW w:w="500" w:type="dxa"/>
            <w:vAlign w:val="bottom"/>
            <w:shd w:val="clear" w:color="auto" w:fill="E5F1F8"/>
          </w:tcPr>
          <w:p>
            <w:pPr>
              <w:spacing w:after="0"/>
              <w:rPr>
                <w:sz w:val="21"/>
                <w:szCs w:val="21"/>
                <w:color w:val="auto"/>
              </w:rPr>
            </w:pPr>
          </w:p>
        </w:tc>
        <w:tc>
          <w:tcPr>
            <w:tcW w:w="1360" w:type="dxa"/>
            <w:vAlign w:val="bottom"/>
            <w:shd w:val="clear" w:color="auto" w:fill="E5F1F8"/>
          </w:tcPr>
          <w:p>
            <w:pPr>
              <w:spacing w:after="0"/>
              <w:rPr>
                <w:sz w:val="21"/>
                <w:szCs w:val="21"/>
                <w:color w:val="auto"/>
              </w:rPr>
            </w:pP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Weighted-average discount rates:</w:t>
            </w:r>
          </w:p>
        </w:tc>
        <w:tc>
          <w:tcPr>
            <w:tcW w:w="480" w:type="dxa"/>
            <w:vAlign w:val="bottom"/>
          </w:tcPr>
          <w:p>
            <w:pPr>
              <w:spacing w:after="0"/>
              <w:rPr>
                <w:sz w:val="18"/>
                <w:szCs w:val="18"/>
                <w:color w:val="auto"/>
              </w:rPr>
            </w:pPr>
          </w:p>
        </w:tc>
        <w:tc>
          <w:tcPr>
            <w:tcW w:w="1440" w:type="dxa"/>
            <w:vAlign w:val="bottom"/>
            <w:tcBorders>
              <w:right w:val="single" w:sz="8" w:color="007CBA"/>
            </w:tcBorders>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8"/>
        </w:trPr>
        <w:tc>
          <w:tcPr>
            <w:tcW w:w="74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Borders>
              <w:right w:val="single" w:sz="8" w:color="007CBA"/>
            </w:tcBorders>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7460" w:type="dxa"/>
            <w:vAlign w:val="bottom"/>
            <w:tcBorders>
              <w:bottom w:val="single" w:sz="8" w:color="E5F1F8"/>
              <w:right w:val="single" w:sz="8" w:color="007CBA"/>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Operatng leases</w:t>
            </w:r>
          </w:p>
        </w:tc>
        <w:tc>
          <w:tcPr>
            <w:tcW w:w="480" w:type="dxa"/>
            <w:vAlign w:val="bottom"/>
            <w:tcBorders>
              <w:bottom w:val="single" w:sz="8" w:color="E5F1F8"/>
            </w:tcBorders>
            <w:shd w:val="clear" w:color="auto" w:fill="E5F1F8"/>
          </w:tcPr>
          <w:p>
            <w:pPr>
              <w:spacing w:after="0"/>
              <w:rPr>
                <w:sz w:val="19"/>
                <w:szCs w:val="19"/>
                <w:color w:val="auto"/>
              </w:rPr>
            </w:pPr>
          </w:p>
        </w:tc>
        <w:tc>
          <w:tcPr>
            <w:tcW w:w="1440" w:type="dxa"/>
            <w:vAlign w:val="bottom"/>
            <w:tcBorders>
              <w:bottom w:val="single" w:sz="8" w:color="E5F1F8"/>
              <w:right w:val="single" w:sz="8" w:color="007CBA"/>
            </w:tcBorders>
            <w:shd w:val="clear" w:color="auto" w:fill="E5F1F8"/>
          </w:tcPr>
          <w:p>
            <w:pPr>
              <w:jc w:val="center"/>
              <w:ind w:right="430"/>
              <w:spacing w:after="0" w:line="215" w:lineRule="exact"/>
              <w:rPr>
                <w:sz w:val="20"/>
                <w:szCs w:val="20"/>
                <w:color w:val="auto"/>
              </w:rPr>
            </w:pPr>
            <w:r>
              <w:rPr>
                <w:rFonts w:ascii="Calibri" w:cs="Calibri" w:eastAsia="Calibri" w:hAnsi="Calibri"/>
                <w:sz w:val="18"/>
                <w:szCs w:val="18"/>
                <w:b w:val="1"/>
                <w:bCs w:val="1"/>
                <w:color w:val="auto"/>
                <w:w w:val="99"/>
              </w:rPr>
              <w:t>4.3%</w:t>
            </w:r>
          </w:p>
        </w:tc>
        <w:tc>
          <w:tcPr>
            <w:tcW w:w="50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tcBorders>
            <w:shd w:val="clear" w:color="auto" w:fill="E5F1F8"/>
          </w:tcPr>
          <w:p>
            <w:pPr>
              <w:jc w:val="center"/>
              <w:ind w:right="430"/>
              <w:spacing w:after="0" w:line="215" w:lineRule="exact"/>
              <w:rPr>
                <w:sz w:val="20"/>
                <w:szCs w:val="20"/>
                <w:color w:val="auto"/>
              </w:rPr>
            </w:pPr>
            <w:r>
              <w:rPr>
                <w:rFonts w:ascii="Calibri" w:cs="Calibri" w:eastAsia="Calibri" w:hAnsi="Calibri"/>
                <w:sz w:val="18"/>
                <w:szCs w:val="18"/>
                <w:color w:val="auto"/>
              </w:rPr>
              <w:t>4.0%</w:t>
            </w:r>
          </w:p>
        </w:tc>
      </w:tr>
      <w:tr>
        <w:trPr>
          <w:trHeight w:val="215"/>
        </w:trPr>
        <w:tc>
          <w:tcPr>
            <w:tcW w:w="7460" w:type="dxa"/>
            <w:vAlign w:val="bottom"/>
          </w:tcPr>
          <w:p>
            <w:pPr>
              <w:ind w:left="320"/>
              <w:spacing w:after="0" w:line="215" w:lineRule="exact"/>
              <w:rPr>
                <w:sz w:val="20"/>
                <w:szCs w:val="20"/>
                <w:color w:val="auto"/>
              </w:rPr>
            </w:pPr>
            <w:r>
              <w:rPr>
                <w:rFonts w:ascii="Calibri" w:cs="Calibri" w:eastAsia="Calibri" w:hAnsi="Calibri"/>
                <w:sz w:val="18"/>
                <w:szCs w:val="18"/>
                <w:color w:val="auto"/>
              </w:rPr>
              <w:t>Finance leases</w:t>
            </w:r>
          </w:p>
        </w:tc>
        <w:tc>
          <w:tcPr>
            <w:tcW w:w="480" w:type="dxa"/>
            <w:vAlign w:val="bottom"/>
          </w:tcPr>
          <w:p>
            <w:pPr>
              <w:spacing w:after="0"/>
              <w:rPr>
                <w:sz w:val="18"/>
                <w:szCs w:val="18"/>
                <w:color w:val="auto"/>
              </w:rPr>
            </w:pPr>
          </w:p>
        </w:tc>
        <w:tc>
          <w:tcPr>
            <w:tcW w:w="1440" w:type="dxa"/>
            <w:vAlign w:val="bottom"/>
          </w:tcPr>
          <w:p>
            <w:pPr>
              <w:jc w:val="center"/>
              <w:ind w:right="430"/>
              <w:spacing w:after="0" w:line="215" w:lineRule="exact"/>
              <w:rPr>
                <w:sz w:val="20"/>
                <w:szCs w:val="20"/>
                <w:color w:val="auto"/>
              </w:rPr>
            </w:pPr>
            <w:r>
              <w:rPr>
                <w:rFonts w:ascii="Calibri" w:cs="Calibri" w:eastAsia="Calibri" w:hAnsi="Calibri"/>
                <w:sz w:val="18"/>
                <w:szCs w:val="18"/>
                <w:b w:val="1"/>
                <w:bCs w:val="1"/>
                <w:color w:val="auto"/>
                <w:w w:val="99"/>
              </w:rPr>
              <w:t>2.6%</w:t>
            </w:r>
          </w:p>
        </w:tc>
        <w:tc>
          <w:tcPr>
            <w:tcW w:w="500" w:type="dxa"/>
            <w:vAlign w:val="bottom"/>
          </w:tcPr>
          <w:p>
            <w:pPr>
              <w:spacing w:after="0"/>
              <w:rPr>
                <w:sz w:val="18"/>
                <w:szCs w:val="18"/>
                <w:color w:val="auto"/>
              </w:rPr>
            </w:pPr>
          </w:p>
        </w:tc>
        <w:tc>
          <w:tcPr>
            <w:tcW w:w="1360" w:type="dxa"/>
            <w:vAlign w:val="bottom"/>
          </w:tcPr>
          <w:p>
            <w:pPr>
              <w:jc w:val="center"/>
              <w:ind w:right="430"/>
              <w:spacing w:after="0" w:line="215" w:lineRule="exact"/>
              <w:rPr>
                <w:sz w:val="20"/>
                <w:szCs w:val="20"/>
                <w:color w:val="auto"/>
              </w:rPr>
            </w:pPr>
            <w:r>
              <w:rPr>
                <w:rFonts w:ascii="Calibri" w:cs="Calibri" w:eastAsia="Calibri" w:hAnsi="Calibri"/>
                <w:sz w:val="18"/>
                <w:szCs w:val="18"/>
                <w:color w:val="auto"/>
              </w:rPr>
              <w:t>2.3%</w:t>
            </w:r>
          </w:p>
        </w:tc>
      </w:tr>
      <w:tr>
        <w:trPr>
          <w:trHeight w:val="28"/>
        </w:trPr>
        <w:tc>
          <w:tcPr>
            <w:tcW w:w="7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62"/>
        </w:trPr>
        <w:tc>
          <w:tcPr>
            <w:tcW w:w="7460" w:type="dxa"/>
            <w:vAlign w:val="bottom"/>
          </w:tcPr>
          <w:p>
            <w:pPr>
              <w:spacing w:after="0"/>
              <w:rPr>
                <w:sz w:val="20"/>
                <w:szCs w:val="20"/>
                <w:color w:val="auto"/>
              </w:rPr>
            </w:pPr>
            <w:r>
              <w:rPr>
                <w:rFonts w:ascii="Calibri" w:cs="Calibri" w:eastAsia="Calibri" w:hAnsi="Calibri"/>
                <w:sz w:val="18"/>
                <w:szCs w:val="18"/>
                <w:color w:val="auto"/>
              </w:rPr>
              <w:t>Future lease payments as of December 31, 2023 are as follows:</w:t>
            </w: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1"/>
        </w:trPr>
        <w:tc>
          <w:tcPr>
            <w:tcW w:w="7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15"/>
        </w:trPr>
        <w:tc>
          <w:tcPr>
            <w:tcW w:w="74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440" w:type="dxa"/>
            <w:vAlign w:val="bottom"/>
            <w:tcBorders>
              <w:right w:val="single" w:sz="8" w:color="007CBA"/>
            </w:tcBorders>
            <w:shd w:val="clear" w:color="auto" w:fill="007CBA"/>
          </w:tcPr>
          <w:p>
            <w:pPr>
              <w:jc w:val="right"/>
              <w:ind w:right="450"/>
              <w:spacing w:after="0" w:line="215" w:lineRule="exact"/>
              <w:rPr>
                <w:sz w:val="20"/>
                <w:szCs w:val="20"/>
                <w:color w:val="auto"/>
              </w:rPr>
            </w:pPr>
            <w:r>
              <w:rPr>
                <w:rFonts w:ascii="Calibri" w:cs="Calibri" w:eastAsia="Calibri" w:hAnsi="Calibri"/>
                <w:sz w:val="18"/>
                <w:szCs w:val="18"/>
                <w:b w:val="1"/>
                <w:bCs w:val="1"/>
                <w:color w:val="FFFFFF"/>
              </w:rPr>
              <w:t>Operatng</w:t>
            </w:r>
          </w:p>
        </w:tc>
        <w:tc>
          <w:tcPr>
            <w:tcW w:w="500" w:type="dxa"/>
            <w:vAlign w:val="bottom"/>
            <w:shd w:val="clear" w:color="auto" w:fill="007CBA"/>
          </w:tcPr>
          <w:p>
            <w:pPr>
              <w:spacing w:after="0"/>
              <w:rPr>
                <w:sz w:val="18"/>
                <w:szCs w:val="18"/>
                <w:color w:val="auto"/>
              </w:rPr>
            </w:pPr>
          </w:p>
        </w:tc>
        <w:tc>
          <w:tcPr>
            <w:tcW w:w="1360" w:type="dxa"/>
            <w:vAlign w:val="bottom"/>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Finance</w:t>
            </w:r>
          </w:p>
        </w:tc>
      </w:tr>
      <w:tr>
        <w:trPr>
          <w:trHeight w:val="265"/>
        </w:trPr>
        <w:tc>
          <w:tcPr>
            <w:tcW w:w="746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480" w:type="dxa"/>
            <w:vAlign w:val="bottom"/>
            <w:tcBorders>
              <w:bottom w:val="single" w:sz="8" w:color="007CBA"/>
            </w:tcBorders>
            <w:shd w:val="clear" w:color="auto" w:fill="007CBA"/>
          </w:tcPr>
          <w:p>
            <w:pPr>
              <w:spacing w:after="0"/>
              <w:rPr>
                <w:sz w:val="23"/>
                <w:szCs w:val="23"/>
                <w:color w:val="auto"/>
              </w:rPr>
            </w:pPr>
          </w:p>
        </w:tc>
        <w:tc>
          <w:tcPr>
            <w:tcW w:w="1440" w:type="dxa"/>
            <w:vAlign w:val="bottom"/>
            <w:tcBorders>
              <w:bottom w:val="single" w:sz="8" w:color="007CBA"/>
              <w:right w:val="single" w:sz="8" w:color="007CBA"/>
            </w:tcBorders>
            <w:shd w:val="clear" w:color="auto" w:fill="007CBA"/>
          </w:tcPr>
          <w:p>
            <w:pPr>
              <w:jc w:val="right"/>
              <w:ind w:right="590"/>
              <w:spacing w:after="0"/>
              <w:rPr>
                <w:sz w:val="20"/>
                <w:szCs w:val="20"/>
                <w:color w:val="auto"/>
              </w:rPr>
            </w:pPr>
            <w:r>
              <w:rPr>
                <w:rFonts w:ascii="Calibri" w:cs="Calibri" w:eastAsia="Calibri" w:hAnsi="Calibri"/>
                <w:sz w:val="18"/>
                <w:szCs w:val="18"/>
                <w:b w:val="1"/>
                <w:bCs w:val="1"/>
                <w:color w:val="FFFFFF"/>
              </w:rPr>
              <w:t>Leases</w:t>
            </w:r>
          </w:p>
        </w:tc>
        <w:tc>
          <w:tcPr>
            <w:tcW w:w="500" w:type="dxa"/>
            <w:vAlign w:val="bottom"/>
            <w:tcBorders>
              <w:bottom w:val="single" w:sz="8" w:color="007CBA"/>
            </w:tcBorders>
            <w:shd w:val="clear" w:color="auto" w:fill="007CBA"/>
          </w:tcPr>
          <w:p>
            <w:pPr>
              <w:spacing w:after="0"/>
              <w:rPr>
                <w:sz w:val="23"/>
                <w:szCs w:val="23"/>
                <w:color w:val="auto"/>
              </w:rPr>
            </w:pPr>
          </w:p>
        </w:tc>
        <w:tc>
          <w:tcPr>
            <w:tcW w:w="1360" w:type="dxa"/>
            <w:vAlign w:val="bottom"/>
            <w:tcBorders>
              <w:bottom w:val="single" w:sz="8" w:color="007CBA"/>
            </w:tcBorders>
            <w:shd w:val="clear" w:color="auto" w:fill="007CBA"/>
          </w:tcPr>
          <w:p>
            <w:pPr>
              <w:jc w:val="right"/>
              <w:ind w:right="550"/>
              <w:spacing w:after="0"/>
              <w:rPr>
                <w:sz w:val="20"/>
                <w:szCs w:val="20"/>
                <w:color w:val="auto"/>
              </w:rPr>
            </w:pPr>
            <w:r>
              <w:rPr>
                <w:rFonts w:ascii="Calibri" w:cs="Calibri" w:eastAsia="Calibri" w:hAnsi="Calibri"/>
                <w:sz w:val="18"/>
                <w:szCs w:val="18"/>
                <w:b w:val="1"/>
                <w:bCs w:val="1"/>
                <w:color w:val="FFFFFF"/>
              </w:rPr>
              <w:t>Leases</w:t>
            </w: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2024</w:t>
            </w:r>
          </w:p>
        </w:tc>
        <w:tc>
          <w:tcPr>
            <w:tcW w:w="48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14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69.1</w:t>
            </w:r>
          </w:p>
        </w:tc>
        <w:tc>
          <w:tcPr>
            <w:tcW w:w="5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25.0</w:t>
            </w:r>
          </w:p>
        </w:tc>
      </w:tr>
      <w:tr>
        <w:trPr>
          <w:trHeight w:val="28"/>
        </w:trPr>
        <w:tc>
          <w:tcPr>
            <w:tcW w:w="74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Borders>
              <w:right w:val="single" w:sz="8" w:color="007CBA"/>
            </w:tcBorders>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74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2025</w:t>
            </w:r>
          </w:p>
        </w:tc>
        <w:tc>
          <w:tcPr>
            <w:tcW w:w="480" w:type="dxa"/>
            <w:vAlign w:val="bottom"/>
            <w:tcBorders>
              <w:bottom w:val="single" w:sz="8" w:color="E5F1F8"/>
            </w:tcBorders>
            <w:shd w:val="clear" w:color="auto" w:fill="E5F1F8"/>
          </w:tcPr>
          <w:p>
            <w:pPr>
              <w:spacing w:after="0"/>
              <w:rPr>
                <w:sz w:val="19"/>
                <w:szCs w:val="19"/>
                <w:color w:val="auto"/>
              </w:rPr>
            </w:pPr>
          </w:p>
        </w:tc>
        <w:tc>
          <w:tcPr>
            <w:tcW w:w="14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60.8</w:t>
            </w:r>
          </w:p>
        </w:tc>
        <w:tc>
          <w:tcPr>
            <w:tcW w:w="50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21.1</w:t>
            </w:r>
          </w:p>
        </w:tc>
      </w:tr>
      <w:tr>
        <w:trPr>
          <w:trHeight w:val="215"/>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2026</w:t>
            </w:r>
          </w:p>
        </w:tc>
        <w:tc>
          <w:tcPr>
            <w:tcW w:w="480" w:type="dxa"/>
            <w:vAlign w:val="bottom"/>
          </w:tcPr>
          <w:p>
            <w:pPr>
              <w:spacing w:after="0"/>
              <w:rPr>
                <w:sz w:val="18"/>
                <w:szCs w:val="18"/>
                <w:color w:val="auto"/>
              </w:rPr>
            </w:pPr>
          </w:p>
        </w:tc>
        <w:tc>
          <w:tcPr>
            <w:tcW w:w="14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52.2</w:t>
            </w:r>
          </w:p>
        </w:tc>
        <w:tc>
          <w:tcPr>
            <w:tcW w:w="500" w:type="dxa"/>
            <w:vAlign w:val="bottom"/>
          </w:tcPr>
          <w:p>
            <w:pPr>
              <w:spacing w:after="0"/>
              <w:rPr>
                <w:sz w:val="18"/>
                <w:szCs w:val="18"/>
                <w:color w:val="auto"/>
              </w:rPr>
            </w:pPr>
          </w:p>
        </w:tc>
        <w:tc>
          <w:tcPr>
            <w:tcW w:w="13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13.9</w:t>
            </w:r>
          </w:p>
        </w:tc>
      </w:tr>
      <w:tr>
        <w:trPr>
          <w:trHeight w:val="28"/>
        </w:trPr>
        <w:tc>
          <w:tcPr>
            <w:tcW w:w="74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Borders>
              <w:right w:val="single" w:sz="8" w:color="007CBA"/>
            </w:tcBorders>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74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2027</w:t>
            </w:r>
          </w:p>
        </w:tc>
        <w:tc>
          <w:tcPr>
            <w:tcW w:w="480" w:type="dxa"/>
            <w:vAlign w:val="bottom"/>
            <w:tcBorders>
              <w:bottom w:val="single" w:sz="8" w:color="E5F1F8"/>
            </w:tcBorders>
            <w:shd w:val="clear" w:color="auto" w:fill="E5F1F8"/>
          </w:tcPr>
          <w:p>
            <w:pPr>
              <w:spacing w:after="0"/>
              <w:rPr>
                <w:sz w:val="19"/>
                <w:szCs w:val="19"/>
                <w:color w:val="auto"/>
              </w:rPr>
            </w:pPr>
          </w:p>
        </w:tc>
        <w:tc>
          <w:tcPr>
            <w:tcW w:w="144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42.1</w:t>
            </w:r>
          </w:p>
        </w:tc>
        <w:tc>
          <w:tcPr>
            <w:tcW w:w="50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12.8</w:t>
            </w:r>
          </w:p>
        </w:tc>
      </w:tr>
      <w:tr>
        <w:trPr>
          <w:trHeight w:val="243"/>
        </w:trPr>
        <w:tc>
          <w:tcPr>
            <w:tcW w:w="746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2028</w:t>
            </w:r>
          </w:p>
        </w:tc>
        <w:tc>
          <w:tcPr>
            <w:tcW w:w="480" w:type="dxa"/>
            <w:vAlign w:val="bottom"/>
          </w:tcPr>
          <w:p>
            <w:pPr>
              <w:spacing w:after="0"/>
              <w:rPr>
                <w:sz w:val="21"/>
                <w:szCs w:val="21"/>
                <w:color w:val="auto"/>
              </w:rPr>
            </w:pPr>
          </w:p>
        </w:tc>
        <w:tc>
          <w:tcPr>
            <w:tcW w:w="144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36.4</w:t>
            </w:r>
          </w:p>
        </w:tc>
        <w:tc>
          <w:tcPr>
            <w:tcW w:w="500" w:type="dxa"/>
            <w:vAlign w:val="bottom"/>
          </w:tcPr>
          <w:p>
            <w:pPr>
              <w:spacing w:after="0"/>
              <w:rPr>
                <w:sz w:val="21"/>
                <w:szCs w:val="21"/>
                <w:color w:val="auto"/>
              </w:rPr>
            </w:pPr>
          </w:p>
        </w:tc>
        <w:tc>
          <w:tcPr>
            <w:tcW w:w="13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12.0</w:t>
            </w:r>
          </w:p>
        </w:tc>
      </w:tr>
      <w:tr>
        <w:trPr>
          <w:trHeight w:val="248"/>
        </w:trPr>
        <w:tc>
          <w:tcPr>
            <w:tcW w:w="74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Thereafer</w:t>
            </w:r>
          </w:p>
        </w:tc>
        <w:tc>
          <w:tcPr>
            <w:tcW w:w="480" w:type="dxa"/>
            <w:vAlign w:val="bottom"/>
            <w:tcBorders>
              <w:bottom w:val="single" w:sz="8" w:color="E5F1F8"/>
            </w:tcBorders>
            <w:shd w:val="clear" w:color="auto" w:fill="E5F1F8"/>
          </w:tcPr>
          <w:p>
            <w:pPr>
              <w:spacing w:after="0"/>
              <w:rPr>
                <w:sz w:val="21"/>
                <w:szCs w:val="21"/>
                <w:color w:val="auto"/>
              </w:rPr>
            </w:pPr>
          </w:p>
        </w:tc>
        <w:tc>
          <w:tcPr>
            <w:tcW w:w="144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254.3</w:t>
            </w:r>
          </w:p>
        </w:tc>
        <w:tc>
          <w:tcPr>
            <w:tcW w:w="500" w:type="dxa"/>
            <w:vAlign w:val="bottom"/>
            <w:tcBorders>
              <w:bottom w:val="single" w:sz="8" w:color="E5F1F8"/>
            </w:tcBorders>
            <w:shd w:val="clear" w:color="auto" w:fill="E5F1F8"/>
          </w:tcPr>
          <w:p>
            <w:pPr>
              <w:spacing w:after="0"/>
              <w:rPr>
                <w:sz w:val="21"/>
                <w:szCs w:val="21"/>
                <w:color w:val="auto"/>
              </w:rPr>
            </w:pPr>
          </w:p>
        </w:tc>
        <w:tc>
          <w:tcPr>
            <w:tcW w:w="13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171.5</w:t>
            </w:r>
          </w:p>
        </w:tc>
      </w:tr>
      <w:tr>
        <w:trPr>
          <w:trHeight w:val="237"/>
        </w:trPr>
        <w:tc>
          <w:tcPr>
            <w:tcW w:w="746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lease payments</w:t>
            </w:r>
          </w:p>
        </w:tc>
        <w:tc>
          <w:tcPr>
            <w:tcW w:w="480" w:type="dxa"/>
            <w:vAlign w:val="bottom"/>
            <w:tcBorders>
              <w:top w:val="single" w:sz="8" w:color="auto"/>
            </w:tcBorders>
          </w:tcPr>
          <w:p>
            <w:pPr>
              <w:spacing w:after="0"/>
              <w:rPr>
                <w:sz w:val="20"/>
                <w:szCs w:val="20"/>
                <w:color w:val="auto"/>
              </w:rPr>
            </w:pPr>
          </w:p>
        </w:tc>
        <w:tc>
          <w:tcPr>
            <w:tcW w:w="144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color w:val="auto"/>
              </w:rPr>
              <w:t>514.9</w:t>
            </w:r>
          </w:p>
        </w:tc>
        <w:tc>
          <w:tcPr>
            <w:tcW w:w="5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256.3</w:t>
            </w:r>
          </w:p>
        </w:tc>
      </w:tr>
      <w:tr>
        <w:trPr>
          <w:trHeight w:val="248"/>
        </w:trPr>
        <w:tc>
          <w:tcPr>
            <w:tcW w:w="746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Less: imputed interest</w:t>
            </w:r>
          </w:p>
        </w:tc>
        <w:tc>
          <w:tcPr>
            <w:tcW w:w="480" w:type="dxa"/>
            <w:vAlign w:val="bottom"/>
            <w:tcBorders>
              <w:bottom w:val="single" w:sz="8" w:color="E5F1F8"/>
            </w:tcBorders>
            <w:shd w:val="clear" w:color="auto" w:fill="E5F1F8"/>
          </w:tcPr>
          <w:p>
            <w:pPr>
              <w:spacing w:after="0"/>
              <w:rPr>
                <w:sz w:val="21"/>
                <w:szCs w:val="21"/>
                <w:color w:val="auto"/>
              </w:rPr>
            </w:pPr>
          </w:p>
        </w:tc>
        <w:tc>
          <w:tcPr>
            <w:tcW w:w="14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(119.4 )</w:t>
            </w:r>
          </w:p>
        </w:tc>
        <w:tc>
          <w:tcPr>
            <w:tcW w:w="500" w:type="dxa"/>
            <w:vAlign w:val="bottom"/>
            <w:tcBorders>
              <w:bottom w:val="single" w:sz="8" w:color="E5F1F8"/>
            </w:tcBorders>
            <w:shd w:val="clear" w:color="auto" w:fill="E5F1F8"/>
          </w:tcPr>
          <w:p>
            <w:pPr>
              <w:spacing w:after="0"/>
              <w:rPr>
                <w:sz w:val="21"/>
                <w:szCs w:val="21"/>
                <w:color w:val="auto"/>
              </w:rPr>
            </w:pPr>
          </w:p>
        </w:tc>
        <w:tc>
          <w:tcPr>
            <w:tcW w:w="13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(55.9 )</w:t>
            </w:r>
          </w:p>
        </w:tc>
      </w:tr>
      <w:tr>
        <w:trPr>
          <w:trHeight w:val="208"/>
        </w:trPr>
        <w:tc>
          <w:tcPr>
            <w:tcW w:w="746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Present value of lease payments</w:t>
            </w:r>
          </w:p>
        </w:tc>
        <w:tc>
          <w:tcPr>
            <w:tcW w:w="480" w:type="dxa"/>
            <w:vAlign w:val="bottom"/>
            <w:tcBorders>
              <w:top w:val="single" w:sz="8" w:color="auto"/>
            </w:tcBorders>
          </w:tcPr>
          <w:p>
            <w:pPr>
              <w:spacing w:after="0"/>
              <w:rPr>
                <w:sz w:val="18"/>
                <w:szCs w:val="18"/>
                <w:color w:val="auto"/>
              </w:rPr>
            </w:pPr>
          </w:p>
        </w:tc>
        <w:tc>
          <w:tcPr>
            <w:tcW w:w="144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color w:val="auto"/>
              </w:rPr>
              <w:t>395.5</w:t>
            </w:r>
          </w:p>
        </w:tc>
        <w:tc>
          <w:tcPr>
            <w:tcW w:w="5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200.4</w:t>
            </w:r>
          </w:p>
        </w:tc>
      </w:tr>
      <w:tr>
        <w:trPr>
          <w:trHeight w:val="28"/>
        </w:trPr>
        <w:tc>
          <w:tcPr>
            <w:tcW w:w="74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Borders>
              <w:right w:val="single" w:sz="8" w:color="007CBA"/>
            </w:tcBorders>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3"/>
        </w:trPr>
        <w:tc>
          <w:tcPr>
            <w:tcW w:w="746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Less: leases classifed as held for sale</w:t>
            </w:r>
          </w:p>
        </w:tc>
        <w:tc>
          <w:tcPr>
            <w:tcW w:w="480" w:type="dxa"/>
            <w:vAlign w:val="bottom"/>
            <w:tcBorders>
              <w:bottom w:val="single" w:sz="8" w:color="E5F1F8"/>
            </w:tcBorders>
            <w:shd w:val="clear" w:color="auto" w:fill="E5F1F8"/>
          </w:tcPr>
          <w:p>
            <w:pPr>
              <w:spacing w:after="0"/>
              <w:rPr>
                <w:sz w:val="19"/>
                <w:szCs w:val="19"/>
                <w:color w:val="auto"/>
              </w:rPr>
            </w:pPr>
          </w:p>
        </w:tc>
        <w:tc>
          <w:tcPr>
            <w:tcW w:w="14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(15.5 )</w:t>
            </w:r>
          </w:p>
        </w:tc>
        <w:tc>
          <w:tcPr>
            <w:tcW w:w="500" w:type="dxa"/>
            <w:vAlign w:val="bottom"/>
            <w:tcBorders>
              <w:bottom w:val="single" w:sz="8" w:color="E5F1F8"/>
            </w:tcBorders>
            <w:shd w:val="clear" w:color="auto" w:fill="E5F1F8"/>
          </w:tcPr>
          <w:p>
            <w:pPr>
              <w:spacing w:after="0"/>
              <w:rPr>
                <w:sz w:val="19"/>
                <w:szCs w:val="19"/>
                <w:color w:val="auto"/>
              </w:rPr>
            </w:pPr>
          </w:p>
        </w:tc>
        <w:tc>
          <w:tcPr>
            <w:tcW w:w="136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(0.8 )</w:t>
            </w:r>
          </w:p>
        </w:tc>
      </w:tr>
      <w:tr>
        <w:trPr>
          <w:trHeight w:val="215"/>
        </w:trPr>
        <w:tc>
          <w:tcPr>
            <w:tcW w:w="7460" w:type="dxa"/>
            <w:vAlign w:val="bottom"/>
          </w:tcPr>
          <w:p>
            <w:pPr>
              <w:ind w:left="120"/>
              <w:spacing w:after="0" w:line="215" w:lineRule="exact"/>
              <w:rPr>
                <w:sz w:val="20"/>
                <w:szCs w:val="20"/>
                <w:color w:val="auto"/>
              </w:rPr>
            </w:pPr>
            <w:r>
              <w:rPr>
                <w:rFonts w:ascii="Calibri" w:cs="Calibri" w:eastAsia="Calibri" w:hAnsi="Calibri"/>
                <w:sz w:val="18"/>
                <w:szCs w:val="18"/>
                <w:color w:val="auto"/>
              </w:rPr>
              <w:t>Less: current lease obligatons</w:t>
            </w:r>
          </w:p>
        </w:tc>
        <w:tc>
          <w:tcPr>
            <w:tcW w:w="480" w:type="dxa"/>
            <w:vAlign w:val="bottom"/>
          </w:tcPr>
          <w:p>
            <w:pPr>
              <w:spacing w:after="0"/>
              <w:rPr>
                <w:sz w:val="18"/>
                <w:szCs w:val="18"/>
                <w:color w:val="auto"/>
              </w:rPr>
            </w:pPr>
          </w:p>
        </w:tc>
        <w:tc>
          <w:tcPr>
            <w:tcW w:w="1440" w:type="dxa"/>
            <w:vAlign w:val="bottom"/>
          </w:tcPr>
          <w:p>
            <w:pPr>
              <w:jc w:val="right"/>
              <w:spacing w:after="0" w:line="215" w:lineRule="exact"/>
              <w:rPr>
                <w:sz w:val="20"/>
                <w:szCs w:val="20"/>
                <w:color w:val="auto"/>
              </w:rPr>
            </w:pPr>
            <w:r>
              <w:rPr>
                <w:rFonts w:ascii="Calibri" w:cs="Calibri" w:eastAsia="Calibri" w:hAnsi="Calibri"/>
                <w:sz w:val="18"/>
                <w:szCs w:val="18"/>
                <w:color w:val="auto"/>
              </w:rPr>
              <w:t>(53.3 )</w:t>
            </w:r>
          </w:p>
        </w:tc>
        <w:tc>
          <w:tcPr>
            <w:tcW w:w="50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(20.1 )</w:t>
            </w:r>
          </w:p>
        </w:tc>
      </w:tr>
      <w:tr>
        <w:trPr>
          <w:trHeight w:val="28"/>
        </w:trPr>
        <w:tc>
          <w:tcPr>
            <w:tcW w:w="7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1"/>
        </w:trPr>
        <w:tc>
          <w:tcPr>
            <w:tcW w:w="7460" w:type="dxa"/>
            <w:vAlign w:val="bottom"/>
            <w:tcBorders>
              <w:bottom w:val="single" w:sz="8" w:color="E5F1F8"/>
              <w:right w:val="single" w:sz="8" w:color="E5F1F8"/>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long-term lease obligatons</w:t>
            </w:r>
          </w:p>
        </w:tc>
        <w:tc>
          <w:tcPr>
            <w:tcW w:w="480" w:type="dxa"/>
            <w:vAlign w:val="bottom"/>
            <w:tcBorders>
              <w:bottom w:val="single" w:sz="8" w:color="E5F1F8"/>
            </w:tcBorders>
            <w:shd w:val="clear" w:color="auto" w:fill="E5F1F8"/>
          </w:tcPr>
          <w:p>
            <w:pPr>
              <w:jc w:val="right"/>
              <w:ind w:right="70"/>
              <w:spacing w:after="0" w:line="208" w:lineRule="exact"/>
              <w:rPr>
                <w:sz w:val="20"/>
                <w:szCs w:val="20"/>
                <w:color w:val="auto"/>
              </w:rPr>
            </w:pPr>
            <w:r>
              <w:rPr>
                <w:rFonts w:ascii="Calibri" w:cs="Calibri" w:eastAsia="Calibri" w:hAnsi="Calibri"/>
                <w:sz w:val="18"/>
                <w:szCs w:val="18"/>
                <w:color w:val="auto"/>
              </w:rPr>
              <w:t>$</w:t>
            </w:r>
          </w:p>
        </w:tc>
        <w:tc>
          <w:tcPr>
            <w:tcW w:w="1440" w:type="dxa"/>
            <w:vAlign w:val="bottom"/>
            <w:tcBorders>
              <w:bottom w:val="single" w:sz="8" w:color="E5F1F8"/>
              <w:right w:val="single" w:sz="8" w:color="E5F1F8"/>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color w:val="auto"/>
              </w:rPr>
              <w:t>326.7</w:t>
            </w:r>
          </w:p>
        </w:tc>
        <w:tc>
          <w:tcPr>
            <w:tcW w:w="500" w:type="dxa"/>
            <w:vAlign w:val="bottom"/>
            <w:tcBorders>
              <w:bottom w:val="single" w:sz="8" w:color="E5F1F8"/>
            </w:tcBorders>
            <w:shd w:val="clear" w:color="auto" w:fill="E5F1F8"/>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36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179.5</w:t>
            </w:r>
          </w:p>
        </w:tc>
      </w:tr>
      <w:tr>
        <w:trPr>
          <w:trHeight w:val="20"/>
        </w:trPr>
        <w:tc>
          <w:tcPr>
            <w:tcW w:w="7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-2712085</wp:posOffset>
            </wp:positionV>
            <wp:extent cx="34290" cy="18859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-2712085</wp:posOffset>
            </wp:positionV>
            <wp:extent cx="34290" cy="18859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-1910715</wp:posOffset>
            </wp:positionV>
            <wp:extent cx="7132320" cy="16256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-1143635</wp:posOffset>
            </wp:positionV>
            <wp:extent cx="34290" cy="18796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-1143635</wp:posOffset>
            </wp:positionV>
            <wp:extent cx="33655" cy="18796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-826135</wp:posOffset>
            </wp:positionV>
            <wp:extent cx="34290" cy="18796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-826135</wp:posOffset>
            </wp:positionV>
            <wp:extent cx="33655" cy="18796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-354965</wp:posOffset>
            </wp:positionV>
            <wp:extent cx="34290" cy="3683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5932805</wp:posOffset>
            </wp:positionH>
            <wp:positionV relativeFrom="paragraph">
              <wp:posOffset>-354965</wp:posOffset>
            </wp:positionV>
            <wp:extent cx="33655" cy="3683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M: Shareholders’ Equity</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authorized capital structure of the Company includes 100.0 million shares of common stock, with a par value of $0.01 per share. At December 31, 2023, approximately 1.1 million common shares were reserved for issuance under stock-based award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5" w:name="page106"/>
    <w:bookmarkEnd w:id="105"/>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Pursuant to authority granted by its Board of Directors, the Company can repurchase up to 20.0 million shares of common stock. During each of 2023 and 2022, the Company repurchased 0.4 million shares of common stock. The Company made no share repurchases during 2021. Future share repurchases are at the discreton of management. At December 31, 2023, 12.7 million shares of common stock were remaining under the Company’s repurchase authorizaton.</w:t>
      </w:r>
    </w:p>
    <w:p>
      <w:pPr>
        <w:spacing w:after="0" w:line="20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N: Commitments and Contngencies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Legal and Administratve Proceedings. </w:t>
      </w:r>
      <w:r>
        <w:rPr>
          <w:rFonts w:ascii="Calibri" w:cs="Calibri" w:eastAsia="Calibri" w:hAnsi="Calibri"/>
          <w:sz w:val="18"/>
          <w:szCs w:val="18"/>
          <w:color w:val="000000"/>
        </w:rPr>
        <w:t>The Company is engaged in certain legal and administratve proceedings incidental to its normal business actvites. In</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the opinion of management and counsel, based upon currently available facts, the likelihood is remote that the ultmate outcome of any litgaton and other proceedings, including those pertaining to environmental maters (see Note A), relatng to the Company and its subsidiaries, will have a material adverse efect on the overall results of the Company’s operatons, its cash fows or its fnancial positon.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Asset Retrement Obligatons. </w:t>
      </w:r>
      <w:r>
        <w:rPr>
          <w:rFonts w:ascii="Calibri" w:cs="Calibri" w:eastAsia="Calibri" w:hAnsi="Calibri"/>
          <w:sz w:val="18"/>
          <w:szCs w:val="18"/>
          <w:color w:val="000000"/>
        </w:rPr>
        <w:t>The Company incurs reclamaton and teardown costs as part of its mining and producton processes. Estmated future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 xml:space="preserve">obligatons are discounted to their present value and accreted to their projected future obligatons via charges to operatng expenses. Additonally, the fxed assets recorded concurrently with the liabilites are depreciated over the period untl retrement actvites are expected to occur. Total accreton and depreciaton expenses for 2023, 2022 and 2021 were $17.1 million, $15.5 million and $11.9 million, respectvely, and are included in </w:t>
      </w:r>
      <w:r>
        <w:rPr>
          <w:rFonts w:ascii="Calibri" w:cs="Calibri" w:eastAsia="Calibri" w:hAnsi="Calibri"/>
          <w:sz w:val="18"/>
          <w:szCs w:val="18"/>
          <w:i w:val="1"/>
          <w:iCs w:val="1"/>
          <w:color w:val="000000"/>
        </w:rPr>
        <w:t>Other operatng income,</w:t>
      </w:r>
      <w:r>
        <w:rPr>
          <w:rFonts w:ascii="Calibri" w:cs="Calibri" w:eastAsia="Calibri" w:hAnsi="Calibri"/>
          <w:sz w:val="18"/>
          <w:szCs w:val="18"/>
          <w:color w:val="000000"/>
        </w:rPr>
        <w:t xml:space="preserve"> </w:t>
      </w:r>
      <w:r>
        <w:rPr>
          <w:rFonts w:ascii="Calibri" w:cs="Calibri" w:eastAsia="Calibri" w:hAnsi="Calibri"/>
          <w:sz w:val="18"/>
          <w:szCs w:val="18"/>
          <w:i w:val="1"/>
          <w:iCs w:val="1"/>
          <w:color w:val="000000"/>
        </w:rPr>
        <w:t>net</w:t>
      </w:r>
      <w:r>
        <w:rPr>
          <w:rFonts w:ascii="Calibri" w:cs="Calibri" w:eastAsia="Calibri" w:hAnsi="Calibri"/>
          <w:sz w:val="18"/>
          <w:szCs w:val="18"/>
          <w:color w:val="000000"/>
        </w:rPr>
        <w:t>, in the consolidated statements of earnings.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40" w:type="dxa"/>
            <w:vAlign w:val="bottom"/>
          </w:tcPr>
          <w:p>
            <w:pPr>
              <w:spacing w:after="0"/>
              <w:rPr>
                <w:sz w:val="20"/>
                <w:szCs w:val="20"/>
                <w:color w:val="auto"/>
              </w:rPr>
            </w:pPr>
            <w:r>
              <w:rPr>
                <w:rFonts w:ascii="Calibri" w:cs="Calibri" w:eastAsia="Calibri" w:hAnsi="Calibri"/>
                <w:sz w:val="18"/>
                <w:szCs w:val="18"/>
                <w:color w:val="auto"/>
              </w:rPr>
              <w:t>The following shows the changes in asset retrement obligatons:</w:t>
            </w: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32"/>
        </w:trPr>
        <w:tc>
          <w:tcPr>
            <w:tcW w:w="6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07"/>
        </w:trPr>
        <w:tc>
          <w:tcPr>
            <w:tcW w:w="6340" w:type="dxa"/>
            <w:vAlign w:val="bottom"/>
            <w:tcBorders>
              <w:right w:val="single" w:sz="8" w:color="007CBA"/>
            </w:tcBorders>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50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2"/>
        </w:trPr>
        <w:tc>
          <w:tcPr>
            <w:tcW w:w="63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0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b w:val="1"/>
                <w:bCs w:val="1"/>
                <w:color w:val="FFFFFF"/>
              </w:rPr>
              <w:t>2023</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2022</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2021</w:t>
            </w:r>
          </w:p>
        </w:tc>
      </w:tr>
      <w:tr>
        <w:trPr>
          <w:trHeight w:val="215"/>
        </w:trPr>
        <w:tc>
          <w:tcPr>
            <w:tcW w:w="6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Balance at beginning of year</w:t>
            </w:r>
          </w:p>
        </w:tc>
        <w:tc>
          <w:tcPr>
            <w:tcW w:w="50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380.0</w:t>
            </w:r>
          </w:p>
        </w:tc>
        <w:tc>
          <w:tcPr>
            <w:tcW w:w="4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306.8</w:t>
            </w:r>
          </w:p>
        </w:tc>
        <w:tc>
          <w:tcPr>
            <w:tcW w:w="4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153.8</w:t>
            </w:r>
          </w:p>
        </w:tc>
      </w:tr>
      <w:tr>
        <w:trPr>
          <w:trHeight w:val="28"/>
        </w:trPr>
        <w:tc>
          <w:tcPr>
            <w:tcW w:w="6340" w:type="dxa"/>
            <w:vAlign w:val="bottom"/>
            <w:tcBorders>
              <w:right w:val="single" w:sz="8" w:color="007CBA"/>
            </w:tcBorders>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Accreton expense</w:t>
            </w:r>
          </w:p>
        </w:tc>
        <w:tc>
          <w:tcPr>
            <w:tcW w:w="50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10.9</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10.6</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7.2</w:t>
            </w:r>
          </w:p>
        </w:tc>
      </w:tr>
      <w:tr>
        <w:trPr>
          <w:trHeight w:val="215"/>
        </w:trPr>
        <w:tc>
          <w:tcPr>
            <w:tcW w:w="6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Liabilites incurred and liabilites assumed in business combinatons</w:t>
            </w:r>
          </w:p>
        </w:tc>
        <w:tc>
          <w:tcPr>
            <w:tcW w:w="500" w:type="dxa"/>
            <w:vAlign w:val="bottom"/>
          </w:tcPr>
          <w:p>
            <w:pPr>
              <w:spacing w:after="0"/>
              <w:rPr>
                <w:sz w:val="18"/>
                <w:szCs w:val="18"/>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33.8</w:t>
            </w:r>
          </w:p>
        </w:tc>
        <w:tc>
          <w:tcPr>
            <w:tcW w:w="480" w:type="dxa"/>
            <w:vAlign w:val="bottom"/>
          </w:tcPr>
          <w:p>
            <w:pPr>
              <w:spacing w:after="0"/>
              <w:rPr>
                <w:sz w:val="18"/>
                <w:szCs w:val="18"/>
                <w:color w:val="auto"/>
              </w:rPr>
            </w:pP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78.6</w:t>
            </w:r>
          </w:p>
        </w:tc>
        <w:tc>
          <w:tcPr>
            <w:tcW w:w="48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179.0</w:t>
            </w:r>
          </w:p>
        </w:tc>
      </w:tr>
      <w:tr>
        <w:trPr>
          <w:trHeight w:val="28"/>
        </w:trPr>
        <w:tc>
          <w:tcPr>
            <w:tcW w:w="6340" w:type="dxa"/>
            <w:vAlign w:val="bottom"/>
            <w:tcBorders>
              <w:right w:val="single" w:sz="8" w:color="007CBA"/>
            </w:tcBorders>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Liabilites setled</w:t>
            </w:r>
          </w:p>
        </w:tc>
        <w:tc>
          <w:tcPr>
            <w:tcW w:w="50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(27.7 )</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(14.1 )</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(5.2 )</w:t>
            </w:r>
          </w:p>
        </w:tc>
      </w:tr>
      <w:tr>
        <w:trPr>
          <w:trHeight w:val="243"/>
        </w:trPr>
        <w:tc>
          <w:tcPr>
            <w:tcW w:w="6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Revisions in estmated cash fows</w:t>
            </w:r>
          </w:p>
        </w:tc>
        <w:tc>
          <w:tcPr>
            <w:tcW w:w="500" w:type="dxa"/>
            <w:vAlign w:val="bottom"/>
          </w:tcPr>
          <w:p>
            <w:pPr>
              <w:spacing w:after="0"/>
              <w:rPr>
                <w:sz w:val="21"/>
                <w:szCs w:val="21"/>
                <w:color w:val="auto"/>
              </w:rPr>
            </w:pPr>
          </w:p>
        </w:tc>
        <w:tc>
          <w:tcPr>
            <w:tcW w:w="116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b w:val="1"/>
                <w:bCs w:val="1"/>
                <w:color w:val="auto"/>
              </w:rPr>
              <w:t>(12.5 )</w:t>
            </w:r>
          </w:p>
        </w:tc>
        <w:tc>
          <w:tcPr>
            <w:tcW w:w="480" w:type="dxa"/>
            <w:vAlign w:val="bottom"/>
          </w:tcPr>
          <w:p>
            <w:pPr>
              <w:spacing w:after="0"/>
              <w:rPr>
                <w:sz w:val="21"/>
                <w:szCs w:val="21"/>
                <w:color w:val="auto"/>
              </w:rPr>
            </w:pPr>
          </w:p>
        </w:tc>
        <w:tc>
          <w:tcPr>
            <w:tcW w:w="11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(3.1 )</w:t>
            </w:r>
          </w:p>
        </w:tc>
        <w:tc>
          <w:tcPr>
            <w:tcW w:w="480" w:type="dxa"/>
            <w:vAlign w:val="bottom"/>
          </w:tcPr>
          <w:p>
            <w:pPr>
              <w:spacing w:after="0"/>
              <w:rPr>
                <w:sz w:val="21"/>
                <w:szCs w:val="21"/>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3.5</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Liabilites reclassifed from/(to) assets held for sale</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15.8</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(31.5 )</w:t>
            </w:r>
          </w:p>
        </w:tc>
      </w:tr>
      <w:tr>
        <w:trPr>
          <w:trHeight w:val="208"/>
        </w:trPr>
        <w:tc>
          <w:tcPr>
            <w:tcW w:w="63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Balance at end of year</w:t>
            </w:r>
          </w:p>
        </w:tc>
        <w:tc>
          <w:tcPr>
            <w:tcW w:w="50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400.3</w:t>
            </w:r>
          </w:p>
        </w:tc>
        <w:tc>
          <w:tcPr>
            <w:tcW w:w="4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380.0</w:t>
            </w:r>
          </w:p>
        </w:tc>
        <w:tc>
          <w:tcPr>
            <w:tcW w:w="4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306.8</w:t>
            </w:r>
          </w:p>
        </w:tc>
      </w:tr>
      <w:tr>
        <w:trPr>
          <w:trHeight w:val="28"/>
        </w:trPr>
        <w:tc>
          <w:tcPr>
            <w:tcW w:w="6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4004310</wp:posOffset>
            </wp:positionH>
            <wp:positionV relativeFrom="paragraph">
              <wp:posOffset>-354965</wp:posOffset>
            </wp:positionV>
            <wp:extent cx="34290" cy="3683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-354965</wp:posOffset>
            </wp:positionV>
            <wp:extent cx="33655" cy="3683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-354965</wp:posOffset>
            </wp:positionV>
            <wp:extent cx="33655" cy="3683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147"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b w:val="1"/>
          <w:bCs w:val="1"/>
          <w:i w:val="1"/>
          <w:iCs w:val="1"/>
          <w:color w:val="4EAD8A"/>
        </w:rPr>
        <w:t>Other Environmental Maters</w:t>
      </w:r>
      <w:r>
        <w:rPr>
          <w:rFonts w:ascii="Calibri" w:cs="Calibri" w:eastAsia="Calibri" w:hAnsi="Calibri"/>
          <w:sz w:val="17"/>
          <w:szCs w:val="17"/>
          <w:color w:val="4EAD8A"/>
        </w:rPr>
        <w:t>.</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The Company’s operatons are subject to and afected by federal, state and local laws and regulatons relatng to the</w:t>
      </w:r>
      <w:r>
        <w:rPr>
          <w:rFonts w:ascii="Calibri" w:cs="Calibri" w:eastAsia="Calibri" w:hAnsi="Calibri"/>
          <w:sz w:val="17"/>
          <w:szCs w:val="17"/>
          <w:b w:val="1"/>
          <w:bCs w:val="1"/>
          <w:i w:val="1"/>
          <w:iCs w:val="1"/>
          <w:color w:val="4EAD8A"/>
        </w:rPr>
        <w:t xml:space="preserve"> </w:t>
      </w:r>
      <w:r>
        <w:rPr>
          <w:rFonts w:ascii="Calibri" w:cs="Calibri" w:eastAsia="Calibri" w:hAnsi="Calibri"/>
          <w:sz w:val="17"/>
          <w:szCs w:val="17"/>
          <w:color w:val="000000"/>
        </w:rPr>
        <w:t>environment, health and safety, and other regulatory maters. Certain of the Company’s operatons may, from tme to tme, involve the use of substances that are classifed as toxic or hazardous within the meaning of these laws and regulatons. Environmental operatng permits are, or may be, required for certain of the Company’s operatons, and such permits are subject to modifcaton, renewal and revocaton. The Company regularly monitors and reviews its operatons, procedures and policies for compliance with these laws and regulatons. Despite these compliance eforts, risk of environmental remediaton liability is inherent in the operaton of the Company’s businesses, as it is with other companies engaged in similar businesses. The Company has no material provisions for environmental remediaton liabilites and does not believe such liabilites will have a material adverse efect on the Company in the future.</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4EAD8A"/>
        </w:rPr>
        <w:t xml:space="preserve">Insurance Reserves. </w:t>
      </w:r>
      <w:r>
        <w:rPr>
          <w:rFonts w:ascii="Calibri" w:cs="Calibri" w:eastAsia="Calibri" w:hAnsi="Calibri"/>
          <w:sz w:val="18"/>
          <w:szCs w:val="18"/>
          <w:color w:val="000000"/>
        </w:rPr>
        <w:t>At December 31, 2023 and 2022, reserves of $46.9 million and $48.2 million, respectvely, were recorded for insurance claims.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Leters of Credit. </w:t>
      </w:r>
      <w:r>
        <w:rPr>
          <w:rFonts w:ascii="Calibri" w:cs="Calibri" w:eastAsia="Calibri" w:hAnsi="Calibri"/>
          <w:sz w:val="18"/>
          <w:szCs w:val="18"/>
          <w:color w:val="000000"/>
        </w:rPr>
        <w:t>In the normal course of business, the Company provides certain third partes with standby leter of credit agreements guaranteeing its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payment for certain insurance claims, contract performance and permit requirements. At December 31, 2023, the Company was contngently liable for $32.2 million in leters of credit.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Surety Bonds. </w:t>
      </w:r>
      <w:r>
        <w:rPr>
          <w:rFonts w:ascii="Calibri" w:cs="Calibri" w:eastAsia="Calibri" w:hAnsi="Calibri"/>
          <w:sz w:val="18"/>
          <w:szCs w:val="18"/>
          <w:color w:val="000000"/>
        </w:rPr>
        <w:t>At December 31, 2023, the Company was contngently liable for $698.3 million in surety bonds required by certain states and municipalites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and their related agencies. The bonds are provided in the normal course of business and are principally for certain insurance claims, constructon contracts, reclamaton obligatons and mining permits guaranteeing the Company’s own performance. The Company has indemnifed the underwritng insurance company against any exposure under the surety bonds. In the Company’s past experience, no material claims have been made against these fnancial instruments.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Borrowing Arrangement with Afliate. </w:t>
      </w:r>
      <w:r>
        <w:rPr>
          <w:rFonts w:ascii="Calibri" w:cs="Calibri" w:eastAsia="Calibri" w:hAnsi="Calibri"/>
          <w:sz w:val="18"/>
          <w:szCs w:val="18"/>
          <w:color w:val="000000"/>
        </w:rPr>
        <w:t>At December 31, 2022, the Company had a $6.0 million interest-only note receivable outstanding from an</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unconsolidated afliate. The note receivable was repaid in full by the unconsolidated afliate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74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6" w:name="page107"/>
    <w:bookmarkEnd w:id="106"/>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Purchase Commitments. </w:t>
      </w:r>
      <w:r>
        <w:rPr>
          <w:rFonts w:ascii="Calibri" w:cs="Calibri" w:eastAsia="Calibri" w:hAnsi="Calibri"/>
          <w:sz w:val="18"/>
          <w:szCs w:val="18"/>
          <w:color w:val="000000"/>
        </w:rPr>
        <w:t>The Company had purchase commitments for property, plant and equipment of $162.1 million as of December 31, 2023. The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Company also had other purchase obligatons related to energy and service contracts of $233.1 million as of December 31, 2023. The Company’s contractual purchase commitments as of December 31, 2023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7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200" w:type="dxa"/>
            <w:vAlign w:val="bottom"/>
            <w:shd w:val="clear" w:color="auto" w:fill="007CBA"/>
          </w:tcPr>
          <w:p>
            <w:pPr>
              <w:spacing w:after="0"/>
              <w:rPr>
                <w:sz w:val="21"/>
                <w:szCs w:val="21"/>
                <w:color w:val="auto"/>
              </w:rPr>
            </w:pPr>
          </w:p>
        </w:tc>
        <w:tc>
          <w:tcPr>
            <w:tcW w:w="1300" w:type="dxa"/>
            <w:vAlign w:val="bottom"/>
            <w:shd w:val="clear" w:color="auto" w:fill="007CBA"/>
          </w:tcPr>
          <w:p>
            <w:pPr>
              <w:spacing w:after="0"/>
              <w:rPr>
                <w:sz w:val="21"/>
                <w:szCs w:val="21"/>
                <w:color w:val="auto"/>
              </w:rPr>
            </w:pPr>
          </w:p>
        </w:tc>
      </w:tr>
      <w:tr>
        <w:trPr>
          <w:trHeight w:val="215"/>
        </w:trPr>
        <w:tc>
          <w:tcPr>
            <w:tcW w:w="87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2024</w:t>
            </w:r>
          </w:p>
        </w:tc>
        <w:tc>
          <w:tcPr>
            <w:tcW w:w="1200" w:type="dxa"/>
            <w:vAlign w:val="bottom"/>
          </w:tcPr>
          <w:p>
            <w:pPr>
              <w:jc w:val="right"/>
              <w:ind w:right="710"/>
              <w:spacing w:after="0" w:line="215"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247.2</w:t>
            </w:r>
          </w:p>
        </w:tc>
      </w:tr>
      <w:tr>
        <w:trPr>
          <w:trHeight w:val="28"/>
        </w:trPr>
        <w:tc>
          <w:tcPr>
            <w:tcW w:w="8740" w:type="dxa"/>
            <w:vAlign w:val="bottom"/>
            <w:tcBorders>
              <w:right w:val="single" w:sz="8" w:color="007CBA"/>
            </w:tcBorders>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7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2025</w:t>
            </w:r>
          </w:p>
        </w:tc>
        <w:tc>
          <w:tcPr>
            <w:tcW w:w="1200" w:type="dxa"/>
            <w:vAlign w:val="bottom"/>
            <w:tcBorders>
              <w:bottom w:val="single" w:sz="8" w:color="E5F1F8"/>
            </w:tcBorders>
            <w:shd w:val="clear" w:color="auto" w:fill="E5F1F8"/>
          </w:tcPr>
          <w:p>
            <w:pPr>
              <w:spacing w:after="0"/>
              <w:rPr>
                <w:sz w:val="19"/>
                <w:szCs w:val="19"/>
                <w:color w:val="auto"/>
              </w:rPr>
            </w:pPr>
          </w:p>
        </w:tc>
        <w:tc>
          <w:tcPr>
            <w:tcW w:w="13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39.1</w:t>
            </w:r>
          </w:p>
        </w:tc>
      </w:tr>
      <w:tr>
        <w:trPr>
          <w:trHeight w:val="215"/>
        </w:trPr>
        <w:tc>
          <w:tcPr>
            <w:tcW w:w="87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2026</w:t>
            </w:r>
          </w:p>
        </w:tc>
        <w:tc>
          <w:tcPr>
            <w:tcW w:w="1200" w:type="dxa"/>
            <w:vAlign w:val="bottom"/>
          </w:tcPr>
          <w:p>
            <w:pPr>
              <w:spacing w:after="0"/>
              <w:rPr>
                <w:sz w:val="18"/>
                <w:szCs w:val="18"/>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28.7</w:t>
            </w:r>
          </w:p>
        </w:tc>
      </w:tr>
      <w:tr>
        <w:trPr>
          <w:trHeight w:val="28"/>
        </w:trPr>
        <w:tc>
          <w:tcPr>
            <w:tcW w:w="8740" w:type="dxa"/>
            <w:vAlign w:val="bottom"/>
            <w:tcBorders>
              <w:right w:val="single" w:sz="8" w:color="007CBA"/>
            </w:tcBorders>
          </w:tcPr>
          <w:p>
            <w:pPr>
              <w:spacing w:after="0"/>
              <w:rPr>
                <w:sz w:val="2"/>
                <w:szCs w:val="2"/>
                <w:color w:val="auto"/>
              </w:rPr>
            </w:pPr>
          </w:p>
        </w:tc>
        <w:tc>
          <w:tcPr>
            <w:tcW w:w="1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3"/>
        </w:trPr>
        <w:tc>
          <w:tcPr>
            <w:tcW w:w="87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2027</w:t>
            </w:r>
          </w:p>
        </w:tc>
        <w:tc>
          <w:tcPr>
            <w:tcW w:w="1200" w:type="dxa"/>
            <w:vAlign w:val="bottom"/>
            <w:tcBorders>
              <w:bottom w:val="single" w:sz="8" w:color="E5F1F8"/>
            </w:tcBorders>
            <w:shd w:val="clear" w:color="auto" w:fill="E5F1F8"/>
          </w:tcPr>
          <w:p>
            <w:pPr>
              <w:spacing w:after="0"/>
              <w:rPr>
                <w:sz w:val="19"/>
                <w:szCs w:val="19"/>
                <w:color w:val="auto"/>
              </w:rPr>
            </w:pPr>
          </w:p>
        </w:tc>
        <w:tc>
          <w:tcPr>
            <w:tcW w:w="13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14.1</w:t>
            </w:r>
          </w:p>
        </w:tc>
      </w:tr>
      <w:tr>
        <w:trPr>
          <w:trHeight w:val="243"/>
        </w:trPr>
        <w:tc>
          <w:tcPr>
            <w:tcW w:w="87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2028</w:t>
            </w:r>
          </w:p>
        </w:tc>
        <w:tc>
          <w:tcPr>
            <w:tcW w:w="1200" w:type="dxa"/>
            <w:vAlign w:val="bottom"/>
          </w:tcPr>
          <w:p>
            <w:pPr>
              <w:spacing w:after="0"/>
              <w:rPr>
                <w:sz w:val="21"/>
                <w:szCs w:val="21"/>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14.4</w:t>
            </w:r>
          </w:p>
        </w:tc>
      </w:tr>
      <w:tr>
        <w:trPr>
          <w:trHeight w:val="248"/>
        </w:trPr>
        <w:tc>
          <w:tcPr>
            <w:tcW w:w="87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Thereafer</w:t>
            </w:r>
          </w:p>
        </w:tc>
        <w:tc>
          <w:tcPr>
            <w:tcW w:w="1200" w:type="dxa"/>
            <w:vAlign w:val="bottom"/>
            <w:tcBorders>
              <w:bottom w:val="single" w:sz="8" w:color="E5F1F8"/>
            </w:tcBorders>
            <w:shd w:val="clear" w:color="auto" w:fill="E5F1F8"/>
          </w:tcPr>
          <w:p>
            <w:pPr>
              <w:spacing w:after="0"/>
              <w:rPr>
                <w:sz w:val="21"/>
                <w:szCs w:val="21"/>
                <w:color w:val="auto"/>
              </w:rPr>
            </w:pPr>
          </w:p>
        </w:tc>
        <w:tc>
          <w:tcPr>
            <w:tcW w:w="13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51.7</w:t>
            </w:r>
          </w:p>
        </w:tc>
      </w:tr>
      <w:tr>
        <w:trPr>
          <w:trHeight w:val="208"/>
        </w:trPr>
        <w:tc>
          <w:tcPr>
            <w:tcW w:w="87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200" w:type="dxa"/>
            <w:vAlign w:val="bottom"/>
            <w:tcBorders>
              <w:top w:val="single" w:sz="8" w:color="auto"/>
            </w:tcBorders>
          </w:tcPr>
          <w:p>
            <w:pPr>
              <w:jc w:val="right"/>
              <w:ind w:right="710"/>
              <w:spacing w:after="0" w:line="208" w:lineRule="exact"/>
              <w:rPr>
                <w:sz w:val="20"/>
                <w:szCs w:val="20"/>
                <w:color w:val="auto"/>
              </w:rPr>
            </w:pPr>
            <w:r>
              <w:rPr>
                <w:rFonts w:ascii="Calibri" w:cs="Calibri" w:eastAsia="Calibri" w:hAnsi="Calibri"/>
                <w:sz w:val="18"/>
                <w:szCs w:val="18"/>
                <w:color w:val="auto"/>
              </w:rPr>
              <w:t>$</w:t>
            </w:r>
          </w:p>
        </w:tc>
        <w:tc>
          <w:tcPr>
            <w:tcW w:w="13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395.2</w:t>
            </w:r>
          </w:p>
        </w:tc>
      </w:tr>
      <w:tr>
        <w:trPr>
          <w:trHeight w:val="28"/>
        </w:trPr>
        <w:tc>
          <w:tcPr>
            <w:tcW w:w="8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5530215</wp:posOffset>
            </wp:positionH>
            <wp:positionV relativeFrom="paragraph">
              <wp:posOffset>-354965</wp:posOffset>
            </wp:positionV>
            <wp:extent cx="33655" cy="3683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Of the total contractual purchase commitments, $50.7 million was for the Company's South Texas cement business and related ready mixed concrete operatons that are classifed as assets held for sale as of December 31, 2023.</w:t>
      </w:r>
    </w:p>
    <w:p>
      <w:pPr>
        <w:spacing w:after="0" w:line="17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Capital expenditures in 2023, 2022 and 2021 that were purchase commitments as of the prior year end were $111.4 million, $89.6 million and $99.0 million, respectvely.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Additonally, the Company has a purchase commitment for 394 railcars at an aggregate value of $42.7 million as of December 31, 2023.</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Contracts of Afreightment and Royalty Commitments. </w:t>
      </w:r>
      <w:r>
        <w:rPr>
          <w:rFonts w:ascii="Calibri" w:cs="Calibri" w:eastAsia="Calibri" w:hAnsi="Calibri"/>
          <w:sz w:val="18"/>
          <w:szCs w:val="18"/>
          <w:color w:val="000000"/>
        </w:rPr>
        <w:t>Future minimum contracts of afreightment and royalty commitments for all noncancelable</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agreements that are not accounted for as leases on the Company’s consolidated balance sheet as of December 31, 2023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40" w:type="dxa"/>
            <w:vAlign w:val="bottom"/>
            <w:tcBorders>
              <w:right w:val="single" w:sz="8" w:color="007CBA"/>
            </w:tcBorders>
            <w:shd w:val="clear" w:color="auto" w:fill="007CBA"/>
          </w:tcPr>
          <w:p>
            <w:pPr>
              <w:spacing w:after="0"/>
              <w:rPr>
                <w:sz w:val="19"/>
                <w:szCs w:val="19"/>
                <w:color w:val="auto"/>
              </w:rPr>
            </w:pPr>
          </w:p>
        </w:tc>
        <w:tc>
          <w:tcPr>
            <w:tcW w:w="1620" w:type="dxa"/>
            <w:vAlign w:val="bottom"/>
            <w:shd w:val="clear" w:color="auto" w:fill="007CBA"/>
          </w:tcPr>
          <w:p>
            <w:pPr>
              <w:jc w:val="right"/>
              <w:ind w:right="10"/>
              <w:spacing w:after="0"/>
              <w:rPr>
                <w:sz w:val="20"/>
                <w:szCs w:val="20"/>
                <w:color w:val="auto"/>
              </w:rPr>
            </w:pPr>
            <w:r>
              <w:rPr>
                <w:rFonts w:ascii="Calibri" w:cs="Calibri" w:eastAsia="Calibri" w:hAnsi="Calibri"/>
                <w:sz w:val="18"/>
                <w:szCs w:val="18"/>
                <w:b w:val="1"/>
                <w:bCs w:val="1"/>
                <w:color w:val="FFFFFF"/>
              </w:rPr>
              <w:t>Contracts of</w:t>
            </w:r>
          </w:p>
        </w:tc>
        <w:tc>
          <w:tcPr>
            <w:tcW w:w="46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580" w:type="dxa"/>
            <w:vAlign w:val="bottom"/>
            <w:shd w:val="clear" w:color="auto" w:fill="007CBA"/>
          </w:tcPr>
          <w:p>
            <w:pPr>
              <w:jc w:val="right"/>
              <w:ind w:right="590"/>
              <w:spacing w:after="0"/>
              <w:rPr>
                <w:sz w:val="20"/>
                <w:szCs w:val="20"/>
                <w:color w:val="auto"/>
              </w:rPr>
            </w:pPr>
            <w:r>
              <w:rPr>
                <w:rFonts w:ascii="Calibri" w:cs="Calibri" w:eastAsia="Calibri" w:hAnsi="Calibri"/>
                <w:sz w:val="18"/>
                <w:szCs w:val="18"/>
                <w:b w:val="1"/>
                <w:bCs w:val="1"/>
                <w:color w:val="FFFFFF"/>
              </w:rPr>
              <w:t>Royalty</w:t>
            </w:r>
          </w:p>
        </w:tc>
      </w:tr>
      <w:tr>
        <w:trPr>
          <w:trHeight w:val="245"/>
        </w:trPr>
        <w:tc>
          <w:tcPr>
            <w:tcW w:w="714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620" w:type="dxa"/>
            <w:vAlign w:val="bottom"/>
            <w:tcBorders>
              <w:bottom w:val="single" w:sz="8" w:color="007CBA"/>
            </w:tcBorders>
            <w:shd w:val="clear" w:color="auto" w:fill="007CBA"/>
          </w:tcPr>
          <w:p>
            <w:pPr>
              <w:jc w:val="right"/>
              <w:spacing w:after="0" w:line="215" w:lineRule="exact"/>
              <w:rPr>
                <w:sz w:val="20"/>
                <w:szCs w:val="20"/>
                <w:color w:val="auto"/>
              </w:rPr>
            </w:pPr>
            <w:r>
              <w:rPr>
                <w:rFonts w:ascii="Calibri" w:cs="Calibri" w:eastAsia="Calibri" w:hAnsi="Calibri"/>
                <w:sz w:val="18"/>
                <w:szCs w:val="18"/>
                <w:b w:val="1"/>
                <w:bCs w:val="1"/>
                <w:color w:val="FFFFFF"/>
              </w:rPr>
              <w:t>Afreightment</w:t>
            </w:r>
          </w:p>
        </w:tc>
        <w:tc>
          <w:tcPr>
            <w:tcW w:w="460" w:type="dxa"/>
            <w:vAlign w:val="bottom"/>
            <w:tcBorders>
              <w:bottom w:val="single" w:sz="8" w:color="007CBA"/>
              <w:right w:val="single" w:sz="8" w:color="007CBA"/>
            </w:tcBorders>
            <w:shd w:val="clear" w:color="auto" w:fill="007CBA"/>
          </w:tcPr>
          <w:p>
            <w:pPr>
              <w:spacing w:after="0"/>
              <w:rPr>
                <w:sz w:val="21"/>
                <w:szCs w:val="21"/>
                <w:color w:val="auto"/>
              </w:rPr>
            </w:pPr>
          </w:p>
        </w:tc>
        <w:tc>
          <w:tcPr>
            <w:tcW w:w="440" w:type="dxa"/>
            <w:vAlign w:val="bottom"/>
            <w:tcBorders>
              <w:bottom w:val="single" w:sz="8" w:color="007CBA"/>
            </w:tcBorders>
            <w:shd w:val="clear" w:color="auto" w:fill="007CBA"/>
          </w:tcPr>
          <w:p>
            <w:pPr>
              <w:spacing w:after="0"/>
              <w:rPr>
                <w:sz w:val="21"/>
                <w:szCs w:val="21"/>
                <w:color w:val="auto"/>
              </w:rPr>
            </w:pPr>
          </w:p>
        </w:tc>
        <w:tc>
          <w:tcPr>
            <w:tcW w:w="1580" w:type="dxa"/>
            <w:vAlign w:val="bottom"/>
            <w:tcBorders>
              <w:bottom w:val="single" w:sz="8" w:color="007CBA"/>
            </w:tcBorders>
            <w:shd w:val="clear" w:color="auto" w:fill="007CBA"/>
          </w:tcPr>
          <w:p>
            <w:pPr>
              <w:jc w:val="right"/>
              <w:ind w:right="350"/>
              <w:spacing w:after="0" w:line="215" w:lineRule="exact"/>
              <w:rPr>
                <w:sz w:val="20"/>
                <w:szCs w:val="20"/>
                <w:color w:val="auto"/>
              </w:rPr>
            </w:pPr>
            <w:r>
              <w:rPr>
                <w:rFonts w:ascii="Calibri" w:cs="Calibri" w:eastAsia="Calibri" w:hAnsi="Calibri"/>
                <w:sz w:val="18"/>
                <w:szCs w:val="18"/>
                <w:b w:val="1"/>
                <w:bCs w:val="1"/>
                <w:color w:val="FFFFFF"/>
              </w:rPr>
              <w:t>Commitments</w:t>
            </w:r>
          </w:p>
        </w:tc>
      </w:tr>
      <w:tr>
        <w:trPr>
          <w:trHeight w:val="215"/>
        </w:trPr>
        <w:tc>
          <w:tcPr>
            <w:tcW w:w="71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2024</w:t>
            </w:r>
          </w:p>
        </w:tc>
        <w:tc>
          <w:tcPr>
            <w:tcW w:w="1620" w:type="dxa"/>
            <w:vAlign w:val="bottom"/>
          </w:tcPr>
          <w:p>
            <w:pPr>
              <w:jc w:val="right"/>
              <w:ind w:right="1190"/>
              <w:spacing w:after="0" w:line="215" w:lineRule="exact"/>
              <w:rPr>
                <w:sz w:val="20"/>
                <w:szCs w:val="20"/>
                <w:color w:val="auto"/>
              </w:rPr>
            </w:pPr>
            <w:r>
              <w:rPr>
                <w:rFonts w:ascii="Calibri" w:cs="Calibri" w:eastAsia="Calibri" w:hAnsi="Calibri"/>
                <w:sz w:val="18"/>
                <w:szCs w:val="18"/>
                <w:color w:val="auto"/>
              </w:rPr>
              <w:t>$</w:t>
            </w:r>
          </w:p>
        </w:tc>
        <w:tc>
          <w:tcPr>
            <w:tcW w:w="4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w w:val="93"/>
              </w:rPr>
              <w:t>16.9</w:t>
            </w:r>
          </w:p>
        </w:tc>
        <w:tc>
          <w:tcPr>
            <w:tcW w:w="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5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26.4</w:t>
            </w:r>
          </w:p>
        </w:tc>
      </w:tr>
      <w:tr>
        <w:trPr>
          <w:trHeight w:val="28"/>
        </w:trPr>
        <w:tc>
          <w:tcPr>
            <w:tcW w:w="7140" w:type="dxa"/>
            <w:vAlign w:val="bottom"/>
            <w:tcBorders>
              <w:right w:val="single" w:sz="8" w:color="007CBA"/>
            </w:tcBorders>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3"/>
        </w:trPr>
        <w:tc>
          <w:tcPr>
            <w:tcW w:w="71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2025</w:t>
            </w:r>
          </w:p>
        </w:tc>
        <w:tc>
          <w:tcPr>
            <w:tcW w:w="1620" w:type="dxa"/>
            <w:vAlign w:val="bottom"/>
            <w:tcBorders>
              <w:bottom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w w:val="93"/>
              </w:rPr>
              <w:t>17.1</w:t>
            </w:r>
          </w:p>
        </w:tc>
        <w:tc>
          <w:tcPr>
            <w:tcW w:w="440" w:type="dxa"/>
            <w:vAlign w:val="bottom"/>
            <w:tcBorders>
              <w:bottom w:val="single" w:sz="8" w:color="E5F1F8"/>
            </w:tcBorders>
            <w:shd w:val="clear" w:color="auto" w:fill="E5F1F8"/>
          </w:tcPr>
          <w:p>
            <w:pPr>
              <w:spacing w:after="0"/>
              <w:rPr>
                <w:sz w:val="19"/>
                <w:szCs w:val="19"/>
                <w:color w:val="auto"/>
              </w:rPr>
            </w:pPr>
          </w:p>
        </w:tc>
        <w:tc>
          <w:tcPr>
            <w:tcW w:w="15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14.1</w:t>
            </w:r>
          </w:p>
        </w:tc>
      </w:tr>
      <w:tr>
        <w:trPr>
          <w:trHeight w:val="215"/>
        </w:trPr>
        <w:tc>
          <w:tcPr>
            <w:tcW w:w="71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2026</w:t>
            </w:r>
          </w:p>
        </w:tc>
        <w:tc>
          <w:tcPr>
            <w:tcW w:w="1620" w:type="dxa"/>
            <w:vAlign w:val="bottom"/>
          </w:tcPr>
          <w:p>
            <w:pPr>
              <w:spacing w:after="0"/>
              <w:rPr>
                <w:sz w:val="18"/>
                <w:szCs w:val="18"/>
                <w:color w:val="auto"/>
              </w:rPr>
            </w:pPr>
          </w:p>
        </w:tc>
        <w:tc>
          <w:tcPr>
            <w:tcW w:w="4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w w:val="93"/>
              </w:rPr>
              <w:t>17.4</w:t>
            </w:r>
          </w:p>
        </w:tc>
        <w:tc>
          <w:tcPr>
            <w:tcW w:w="440" w:type="dxa"/>
            <w:vAlign w:val="bottom"/>
          </w:tcPr>
          <w:p>
            <w:pPr>
              <w:spacing w:after="0"/>
              <w:rPr>
                <w:sz w:val="18"/>
                <w:szCs w:val="18"/>
                <w:color w:val="auto"/>
              </w:rPr>
            </w:pPr>
          </w:p>
        </w:tc>
        <w:tc>
          <w:tcPr>
            <w:tcW w:w="15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11.7</w:t>
            </w:r>
          </w:p>
        </w:tc>
      </w:tr>
      <w:tr>
        <w:trPr>
          <w:trHeight w:val="28"/>
        </w:trPr>
        <w:tc>
          <w:tcPr>
            <w:tcW w:w="7140" w:type="dxa"/>
            <w:vAlign w:val="bottom"/>
            <w:tcBorders>
              <w:right w:val="single" w:sz="8" w:color="007CBA"/>
            </w:tcBorders>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3"/>
        </w:trPr>
        <w:tc>
          <w:tcPr>
            <w:tcW w:w="71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2027</w:t>
            </w:r>
          </w:p>
        </w:tc>
        <w:tc>
          <w:tcPr>
            <w:tcW w:w="1620" w:type="dxa"/>
            <w:vAlign w:val="bottom"/>
            <w:tcBorders>
              <w:bottom w:val="single" w:sz="8" w:color="E5F1F8"/>
            </w:tcBorders>
            <w:shd w:val="clear" w:color="auto" w:fill="E5F1F8"/>
          </w:tcPr>
          <w:p>
            <w:pPr>
              <w:spacing w:after="0"/>
              <w:rPr>
                <w:sz w:val="19"/>
                <w:szCs w:val="19"/>
                <w:color w:val="auto"/>
              </w:rPr>
            </w:pPr>
          </w:p>
        </w:tc>
        <w:tc>
          <w:tcPr>
            <w:tcW w:w="4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w w:val="93"/>
              </w:rPr>
              <w:t>17.7</w:t>
            </w:r>
          </w:p>
        </w:tc>
        <w:tc>
          <w:tcPr>
            <w:tcW w:w="440" w:type="dxa"/>
            <w:vAlign w:val="bottom"/>
            <w:tcBorders>
              <w:bottom w:val="single" w:sz="8" w:color="E5F1F8"/>
            </w:tcBorders>
            <w:shd w:val="clear" w:color="auto" w:fill="E5F1F8"/>
          </w:tcPr>
          <w:p>
            <w:pPr>
              <w:spacing w:after="0"/>
              <w:rPr>
                <w:sz w:val="19"/>
                <w:szCs w:val="19"/>
                <w:color w:val="auto"/>
              </w:rPr>
            </w:pPr>
          </w:p>
        </w:tc>
        <w:tc>
          <w:tcPr>
            <w:tcW w:w="15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11.2</w:t>
            </w:r>
          </w:p>
        </w:tc>
      </w:tr>
      <w:tr>
        <w:trPr>
          <w:trHeight w:val="243"/>
        </w:trPr>
        <w:tc>
          <w:tcPr>
            <w:tcW w:w="71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2028</w:t>
            </w:r>
          </w:p>
        </w:tc>
        <w:tc>
          <w:tcPr>
            <w:tcW w:w="1620" w:type="dxa"/>
            <w:vAlign w:val="bottom"/>
          </w:tcPr>
          <w:p>
            <w:pPr>
              <w:spacing w:after="0"/>
              <w:rPr>
                <w:sz w:val="21"/>
                <w:szCs w:val="21"/>
                <w:color w:val="auto"/>
              </w:rPr>
            </w:pPr>
          </w:p>
        </w:tc>
        <w:tc>
          <w:tcPr>
            <w:tcW w:w="4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spacing w:after="0"/>
              <w:rPr>
                <w:sz w:val="21"/>
                <w:szCs w:val="21"/>
                <w:color w:val="auto"/>
              </w:rPr>
            </w:pPr>
          </w:p>
        </w:tc>
        <w:tc>
          <w:tcPr>
            <w:tcW w:w="15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8.0</w:t>
            </w:r>
          </w:p>
        </w:tc>
      </w:tr>
      <w:tr>
        <w:trPr>
          <w:trHeight w:val="248"/>
        </w:trPr>
        <w:tc>
          <w:tcPr>
            <w:tcW w:w="71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Thereafer</w:t>
            </w:r>
          </w:p>
        </w:tc>
        <w:tc>
          <w:tcPr>
            <w:tcW w:w="1620" w:type="dxa"/>
            <w:vAlign w:val="bottom"/>
            <w:tcBorders>
              <w:bottom w:val="single" w:sz="8" w:color="E5F1F8"/>
            </w:tcBorders>
            <w:shd w:val="clear" w:color="auto" w:fill="E5F1F8"/>
          </w:tcPr>
          <w:p>
            <w:pPr>
              <w:spacing w:after="0"/>
              <w:rPr>
                <w:sz w:val="21"/>
                <w:szCs w:val="21"/>
                <w:color w:val="auto"/>
              </w:rPr>
            </w:pPr>
          </w:p>
        </w:tc>
        <w:tc>
          <w:tcPr>
            <w:tcW w:w="4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Borders>
              <w:bottom w:val="single" w:sz="8" w:color="E5F1F8"/>
            </w:tcBorders>
            <w:shd w:val="clear" w:color="auto" w:fill="E5F1F8"/>
          </w:tcPr>
          <w:p>
            <w:pPr>
              <w:spacing w:after="0"/>
              <w:rPr>
                <w:sz w:val="21"/>
                <w:szCs w:val="21"/>
                <w:color w:val="auto"/>
              </w:rPr>
            </w:pPr>
          </w:p>
        </w:tc>
        <w:tc>
          <w:tcPr>
            <w:tcW w:w="158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77.4</w:t>
            </w:r>
          </w:p>
        </w:tc>
      </w:tr>
      <w:tr>
        <w:trPr>
          <w:trHeight w:val="208"/>
        </w:trPr>
        <w:tc>
          <w:tcPr>
            <w:tcW w:w="71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1620" w:type="dxa"/>
            <w:vAlign w:val="bottom"/>
            <w:tcBorders>
              <w:top w:val="single" w:sz="8" w:color="auto"/>
            </w:tcBorders>
          </w:tcPr>
          <w:p>
            <w:pPr>
              <w:jc w:val="right"/>
              <w:ind w:right="1190"/>
              <w:spacing w:after="0" w:line="208" w:lineRule="exact"/>
              <w:rPr>
                <w:sz w:val="20"/>
                <w:szCs w:val="20"/>
                <w:color w:val="auto"/>
              </w:rPr>
            </w:pPr>
            <w:r>
              <w:rPr>
                <w:rFonts w:ascii="Calibri" w:cs="Calibri" w:eastAsia="Calibri" w:hAnsi="Calibri"/>
                <w:sz w:val="18"/>
                <w:szCs w:val="18"/>
                <w:color w:val="auto"/>
              </w:rPr>
              <w:t>$</w:t>
            </w:r>
          </w:p>
        </w:tc>
        <w:tc>
          <w:tcPr>
            <w:tcW w:w="4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w w:val="93"/>
              </w:rPr>
              <w:t>69.1</w:t>
            </w:r>
          </w:p>
        </w:tc>
        <w:tc>
          <w:tcPr>
            <w:tcW w:w="4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w:t>
            </w:r>
          </w:p>
        </w:tc>
        <w:tc>
          <w:tcPr>
            <w:tcW w:w="158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148.8</w:t>
            </w:r>
          </w:p>
        </w:tc>
      </w:tr>
      <w:tr>
        <w:trPr>
          <w:trHeight w:val="28"/>
        </w:trPr>
        <w:tc>
          <w:tcPr>
            <w:tcW w:w="7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-1122045</wp:posOffset>
            </wp:positionV>
            <wp:extent cx="7132320" cy="16256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-354965</wp:posOffset>
            </wp:positionV>
            <wp:extent cx="33655" cy="3683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-354965</wp:posOffset>
            </wp:positionV>
            <wp:extent cx="33655" cy="3683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13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Employees. </w:t>
      </w:r>
      <w:r>
        <w:rPr>
          <w:rFonts w:ascii="Calibri" w:cs="Calibri" w:eastAsia="Calibri" w:hAnsi="Calibri"/>
          <w:sz w:val="18"/>
          <w:szCs w:val="18"/>
          <w:color w:val="000000"/>
        </w:rPr>
        <w:t>Approximately 12% of the Company’s employees are represented by a labor union. All such employees are hourly employees. The Company</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maintains collectve bargaining agreements relatng to the union employees within the Building Materials business and Magnesia Specialtes segment. All of the hourly employees of the Magnesia Specialtes segment, located in Manistee, Michigan, and Woodville, Ohio, are represented by labor unions. The Woodville collectve bargaining agreement expires in June 2026. The Manistee collectve bargaining agreement expires in August 2027.</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O: Segments</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2023, the Building Materials business is comprised of four divisions that represent individual operatng segments. These operatng segments are consolidated into two reportable segments, the East Group and the West Group, for fnancial reportng purposes as they meet the aggregaton criteria. The Magnesia Specialtes business represents an individual operatng and reportable segment. The accountng policies used for segment reportng are the same as those described in Note A.</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Chief Operatng Decision Maker’s evaluaton of performance and allocaton of resources are based primarily on earnings from operatons. Segment earnings from operatons include total revenues less cost of revenues; selling, general and administratve expenses; other operatng income and expenses, net; and exclude interest income and expense; other nonoperatng income and expenses, net; and income tax expense. Corporate loss from operatons primarily includes depreciaton; expenses for corporate administratve functons; acquisiton, divestture and integraton expenses; and other nonrecurring income and expenses not atributable to operatons of the Company's other operatng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93980</wp:posOffset>
            </wp:positionV>
            <wp:extent cx="325755" cy="1968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7" w:name="page108"/>
    <w:bookmarkEnd w:id="107"/>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Assets employed by segment include assets directly identfed with those operatons. Corporate assets consist primarily of cash, cash equivalents and restricted cash; restricted investments; property, plant and equipment for corporate operatons; and other assets not directly identfable with a reportable segment.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tables display selected fnancial data for the Company’s reportable segments. Total revenues, as presented on the consolidated statements of earnings, refect the eliminaton of intersegment revenues, which represent sales from one segment to another segment. Total revenues and earnings (loss) from operatons refect contnuing operatons only.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50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140" w:type="dxa"/>
            <w:vAlign w:val="bottom"/>
            <w:shd w:val="clear" w:color="auto" w:fill="007CBA"/>
          </w:tcPr>
          <w:p>
            <w:pPr>
              <w:spacing w:after="0"/>
              <w:rPr>
                <w:sz w:val="19"/>
                <w:szCs w:val="19"/>
                <w:color w:val="auto"/>
              </w:rPr>
            </w:pPr>
          </w:p>
        </w:tc>
      </w:tr>
      <w:tr>
        <w:trPr>
          <w:trHeight w:val="215"/>
        </w:trPr>
        <w:tc>
          <w:tcPr>
            <w:tcW w:w="634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0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3"/>
        </w:trPr>
        <w:tc>
          <w:tcPr>
            <w:tcW w:w="634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Total revenues</w:t>
            </w:r>
          </w:p>
        </w:tc>
        <w:tc>
          <w:tcPr>
            <w:tcW w:w="50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b w:val="1"/>
                <w:bCs w:val="1"/>
                <w:color w:val="FFFFFF"/>
              </w:rPr>
              <w:t>2023</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490"/>
              <w:spacing w:after="0" w:line="216" w:lineRule="exact"/>
              <w:rPr>
                <w:sz w:val="20"/>
                <w:szCs w:val="20"/>
                <w:color w:val="auto"/>
              </w:rPr>
            </w:pPr>
            <w:r>
              <w:rPr>
                <w:rFonts w:ascii="Calibri" w:cs="Calibri" w:eastAsia="Calibri" w:hAnsi="Calibri"/>
                <w:sz w:val="18"/>
                <w:szCs w:val="18"/>
                <w:color w:val="FFFFFF"/>
              </w:rPr>
              <w:t>2022</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490"/>
              <w:spacing w:after="0" w:line="216" w:lineRule="exact"/>
              <w:rPr>
                <w:sz w:val="20"/>
                <w:szCs w:val="20"/>
                <w:color w:val="auto"/>
              </w:rPr>
            </w:pPr>
            <w:r>
              <w:rPr>
                <w:rFonts w:ascii="Calibri" w:cs="Calibri" w:eastAsia="Calibri" w:hAnsi="Calibri"/>
                <w:sz w:val="18"/>
                <w:szCs w:val="18"/>
                <w:color w:val="FFFFFF"/>
              </w:rPr>
              <w:t>2021</w:t>
            </w:r>
          </w:p>
        </w:tc>
      </w:tr>
      <w:tr>
        <w:trPr>
          <w:trHeight w:val="243"/>
        </w:trPr>
        <w:tc>
          <w:tcPr>
            <w:tcW w:w="6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50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2,763.4</w:t>
            </w:r>
          </w:p>
        </w:tc>
        <w:tc>
          <w:tcPr>
            <w:tcW w:w="4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2,468.1</w:t>
            </w:r>
          </w:p>
        </w:tc>
        <w:tc>
          <w:tcPr>
            <w:tcW w:w="4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2,303.0</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West Group</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3,698.4</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3,388.6</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2,812.3</w:t>
            </w:r>
          </w:p>
        </w:tc>
      </w:tr>
      <w:tr>
        <w:trPr>
          <w:trHeight w:val="237"/>
        </w:trPr>
        <w:tc>
          <w:tcPr>
            <w:tcW w:w="63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6,461.8</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5,856.7</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5,115.3</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315.4</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304.0</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298.7</w:t>
            </w:r>
          </w:p>
        </w:tc>
      </w:tr>
      <w:tr>
        <w:trPr>
          <w:trHeight w:val="208"/>
        </w:trPr>
        <w:tc>
          <w:tcPr>
            <w:tcW w:w="63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50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6,777.2</w:t>
            </w:r>
          </w:p>
        </w:tc>
        <w:tc>
          <w:tcPr>
            <w:tcW w:w="4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6,160.7</w:t>
            </w:r>
          </w:p>
        </w:tc>
        <w:tc>
          <w:tcPr>
            <w:tcW w:w="4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5,414.0</w:t>
            </w:r>
          </w:p>
        </w:tc>
      </w:tr>
      <w:tr>
        <w:trPr>
          <w:trHeight w:val="28"/>
        </w:trPr>
        <w:tc>
          <w:tcPr>
            <w:tcW w:w="6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6340" w:type="dxa"/>
            <w:vAlign w:val="bottom"/>
            <w:tcBorders>
              <w:right w:val="single" w:sz="8" w:color="007CBA"/>
            </w:tcBorders>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50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15"/>
        </w:trPr>
        <w:tc>
          <w:tcPr>
            <w:tcW w:w="634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0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3"/>
        </w:trPr>
        <w:tc>
          <w:tcPr>
            <w:tcW w:w="634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Earnings (Loss) from operatons</w:t>
            </w:r>
          </w:p>
        </w:tc>
        <w:tc>
          <w:tcPr>
            <w:tcW w:w="50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b w:val="1"/>
                <w:bCs w:val="1"/>
                <w:color w:val="FFFFFF"/>
              </w:rPr>
              <w:t>2023</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490"/>
              <w:spacing w:after="0" w:line="216" w:lineRule="exact"/>
              <w:rPr>
                <w:sz w:val="20"/>
                <w:szCs w:val="20"/>
                <w:color w:val="auto"/>
              </w:rPr>
            </w:pPr>
            <w:r>
              <w:rPr>
                <w:rFonts w:ascii="Calibri" w:cs="Calibri" w:eastAsia="Calibri" w:hAnsi="Calibri"/>
                <w:sz w:val="18"/>
                <w:szCs w:val="18"/>
                <w:color w:val="FFFFFF"/>
              </w:rPr>
              <w:t>2022</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490"/>
              <w:spacing w:after="0" w:line="216" w:lineRule="exact"/>
              <w:rPr>
                <w:sz w:val="20"/>
                <w:szCs w:val="20"/>
                <w:color w:val="auto"/>
              </w:rPr>
            </w:pPr>
            <w:r>
              <w:rPr>
                <w:rFonts w:ascii="Calibri" w:cs="Calibri" w:eastAsia="Calibri" w:hAnsi="Calibri"/>
                <w:sz w:val="18"/>
                <w:szCs w:val="18"/>
                <w:color w:val="FFFFFF"/>
              </w:rPr>
              <w:t>2021</w:t>
            </w:r>
          </w:p>
        </w:tc>
      </w:tr>
      <w:tr>
        <w:trPr>
          <w:trHeight w:val="243"/>
        </w:trPr>
        <w:tc>
          <w:tcPr>
            <w:tcW w:w="6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50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857.1</w:t>
            </w:r>
          </w:p>
        </w:tc>
        <w:tc>
          <w:tcPr>
            <w:tcW w:w="4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640.2</w:t>
            </w:r>
          </w:p>
        </w:tc>
        <w:tc>
          <w:tcPr>
            <w:tcW w:w="4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621.7</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West Group</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777.1</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588.1</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385.2</w:t>
            </w:r>
          </w:p>
        </w:tc>
      </w:tr>
      <w:tr>
        <w:trPr>
          <w:trHeight w:val="237"/>
        </w:trPr>
        <w:tc>
          <w:tcPr>
            <w:tcW w:w="63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1,634.2</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1,228.3</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1,006.9</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76.0</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75.2</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90.8</w:t>
            </w:r>
          </w:p>
        </w:tc>
      </w:tr>
      <w:tr>
        <w:trPr>
          <w:trHeight w:val="237"/>
        </w:trPr>
        <w:tc>
          <w:tcPr>
            <w:tcW w:w="63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reportable segments</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1,710.2</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1,303.5</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1,097.7</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Corporate</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(114.2 )</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(96.8 )</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(123.9 )</w:t>
            </w:r>
          </w:p>
        </w:tc>
      </w:tr>
      <w:tr>
        <w:trPr>
          <w:trHeight w:val="208"/>
        </w:trPr>
        <w:tc>
          <w:tcPr>
            <w:tcW w:w="63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Consolidated earnings from operatons</w:t>
            </w:r>
          </w:p>
        </w:tc>
        <w:tc>
          <w:tcPr>
            <w:tcW w:w="500" w:type="dxa"/>
            <w:vAlign w:val="bottom"/>
            <w:tcBorders>
              <w:top w:val="single" w:sz="8" w:color="auto"/>
            </w:tcBorders>
          </w:tcPr>
          <w:p>
            <w:pPr>
              <w:spacing w:after="0"/>
              <w:rPr>
                <w:sz w:val="18"/>
                <w:szCs w:val="18"/>
                <w:color w:val="auto"/>
              </w:rPr>
            </w:pPr>
          </w:p>
        </w:tc>
        <w:tc>
          <w:tcPr>
            <w:tcW w:w="11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1,596.0</w:t>
            </w: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1,206.7</w:t>
            </w:r>
          </w:p>
        </w:tc>
        <w:tc>
          <w:tcPr>
            <w:tcW w:w="4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973.8</w:t>
            </w:r>
          </w:p>
        </w:tc>
      </w:tr>
      <w:tr>
        <w:trPr>
          <w:trHeight w:val="28"/>
        </w:trPr>
        <w:tc>
          <w:tcPr>
            <w:tcW w:w="6340" w:type="dxa"/>
            <w:vAlign w:val="bottom"/>
            <w:tcBorders>
              <w:right w:val="single" w:sz="8" w:color="007CBA"/>
            </w:tcBorders>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34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Interest expense</w:t>
            </w:r>
          </w:p>
        </w:tc>
        <w:tc>
          <w:tcPr>
            <w:tcW w:w="50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165.3</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169.0</w:t>
            </w:r>
          </w:p>
        </w:tc>
        <w:tc>
          <w:tcPr>
            <w:tcW w:w="48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142.7</w:t>
            </w:r>
          </w:p>
        </w:tc>
      </w:tr>
      <w:tr>
        <w:trPr>
          <w:trHeight w:val="215"/>
        </w:trPr>
        <w:tc>
          <w:tcPr>
            <w:tcW w:w="6340" w:type="dxa"/>
            <w:vAlign w:val="bottom"/>
          </w:tcPr>
          <w:p>
            <w:pPr>
              <w:ind w:left="120"/>
              <w:spacing w:after="0" w:line="215" w:lineRule="exact"/>
              <w:rPr>
                <w:sz w:val="20"/>
                <w:szCs w:val="20"/>
                <w:color w:val="auto"/>
              </w:rPr>
            </w:pPr>
            <w:r>
              <w:rPr>
                <w:rFonts w:ascii="Calibri" w:cs="Calibri" w:eastAsia="Calibri" w:hAnsi="Calibri"/>
                <w:sz w:val="18"/>
                <w:szCs w:val="18"/>
                <w:color w:val="auto"/>
              </w:rPr>
              <w:t>Other nonoperatng income, net</w:t>
            </w:r>
          </w:p>
        </w:tc>
        <w:tc>
          <w:tcPr>
            <w:tcW w:w="50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(62.1 )</w:t>
            </w:r>
          </w:p>
        </w:tc>
        <w:tc>
          <w:tcPr>
            <w:tcW w:w="4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(53.4 )</w:t>
            </w:r>
          </w:p>
        </w:tc>
        <w:tc>
          <w:tcPr>
            <w:tcW w:w="480" w:type="dxa"/>
            <w:vAlign w:val="bottom"/>
          </w:tcPr>
          <w:p>
            <w:pPr>
              <w:spacing w:after="0"/>
              <w:rPr>
                <w:sz w:val="18"/>
                <w:szCs w:val="18"/>
                <w:color w:val="auto"/>
              </w:rPr>
            </w:pPr>
          </w:p>
        </w:tc>
        <w:tc>
          <w:tcPr>
            <w:tcW w:w="1140" w:type="dxa"/>
            <w:vAlign w:val="bottom"/>
          </w:tcPr>
          <w:p>
            <w:pPr>
              <w:jc w:val="right"/>
              <w:spacing w:after="0" w:line="215" w:lineRule="exact"/>
              <w:rPr>
                <w:sz w:val="20"/>
                <w:szCs w:val="20"/>
                <w:color w:val="auto"/>
              </w:rPr>
            </w:pPr>
            <w:r>
              <w:rPr>
                <w:rFonts w:ascii="Calibri" w:cs="Calibri" w:eastAsia="Calibri" w:hAnsi="Calibri"/>
                <w:sz w:val="18"/>
                <w:szCs w:val="18"/>
                <w:color w:val="auto"/>
              </w:rPr>
              <w:t>(24.4 )</w:t>
            </w:r>
          </w:p>
        </w:tc>
      </w:tr>
      <w:tr>
        <w:trPr>
          <w:trHeight w:val="28"/>
        </w:trPr>
        <w:tc>
          <w:tcPr>
            <w:tcW w:w="6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1"/>
        </w:trPr>
        <w:tc>
          <w:tcPr>
            <w:tcW w:w="6340" w:type="dxa"/>
            <w:vAlign w:val="bottom"/>
            <w:tcBorders>
              <w:right w:val="single" w:sz="8" w:color="E5F1F8"/>
            </w:tcBorders>
            <w:shd w:val="clear" w:color="auto" w:fill="E5F1F8"/>
          </w:tcPr>
          <w:p>
            <w:pPr>
              <w:ind w:left="120"/>
              <w:spacing w:after="0" w:line="201" w:lineRule="exact"/>
              <w:rPr>
                <w:sz w:val="20"/>
                <w:szCs w:val="20"/>
                <w:color w:val="auto"/>
              </w:rPr>
            </w:pPr>
            <w:r>
              <w:rPr>
                <w:rFonts w:ascii="Calibri" w:cs="Calibri" w:eastAsia="Calibri" w:hAnsi="Calibri"/>
                <w:sz w:val="18"/>
                <w:szCs w:val="18"/>
                <w:color w:val="auto"/>
              </w:rPr>
              <w:t>Consolidated earnings from contnuing operatons</w:t>
            </w:r>
          </w:p>
        </w:tc>
        <w:tc>
          <w:tcPr>
            <w:tcW w:w="500" w:type="dxa"/>
            <w:vAlign w:val="bottom"/>
            <w:shd w:val="clear" w:color="auto" w:fill="E5F1F8"/>
          </w:tcPr>
          <w:p>
            <w:pPr>
              <w:spacing w:after="0"/>
              <w:rPr>
                <w:sz w:val="17"/>
                <w:szCs w:val="17"/>
                <w:color w:val="auto"/>
              </w:rPr>
            </w:pPr>
          </w:p>
        </w:tc>
        <w:tc>
          <w:tcPr>
            <w:tcW w:w="1160" w:type="dxa"/>
            <w:vAlign w:val="bottom"/>
            <w:tcBorders>
              <w:right w:val="single" w:sz="8" w:color="E5F1F8"/>
            </w:tcBorders>
            <w:shd w:val="clear" w:color="auto" w:fill="E5F1F8"/>
          </w:tcPr>
          <w:p>
            <w:pPr>
              <w:spacing w:after="0"/>
              <w:rPr>
                <w:sz w:val="17"/>
                <w:szCs w:val="17"/>
                <w:color w:val="auto"/>
              </w:rPr>
            </w:pPr>
          </w:p>
        </w:tc>
        <w:tc>
          <w:tcPr>
            <w:tcW w:w="480" w:type="dxa"/>
            <w:vAlign w:val="bottom"/>
            <w:shd w:val="clear" w:color="auto" w:fill="E5F1F8"/>
          </w:tcPr>
          <w:p>
            <w:pPr>
              <w:spacing w:after="0"/>
              <w:rPr>
                <w:sz w:val="17"/>
                <w:szCs w:val="17"/>
                <w:color w:val="auto"/>
              </w:rPr>
            </w:pPr>
          </w:p>
        </w:tc>
        <w:tc>
          <w:tcPr>
            <w:tcW w:w="1140" w:type="dxa"/>
            <w:vAlign w:val="bottom"/>
            <w:tcBorders>
              <w:right w:val="single" w:sz="8" w:color="E5F1F8"/>
            </w:tcBorders>
            <w:shd w:val="clear" w:color="auto" w:fill="E5F1F8"/>
          </w:tcPr>
          <w:p>
            <w:pPr>
              <w:spacing w:after="0"/>
              <w:rPr>
                <w:sz w:val="17"/>
                <w:szCs w:val="17"/>
                <w:color w:val="auto"/>
              </w:rPr>
            </w:pPr>
          </w:p>
        </w:tc>
        <w:tc>
          <w:tcPr>
            <w:tcW w:w="480" w:type="dxa"/>
            <w:vAlign w:val="bottom"/>
            <w:shd w:val="clear" w:color="auto" w:fill="E5F1F8"/>
          </w:tcPr>
          <w:p>
            <w:pPr>
              <w:spacing w:after="0"/>
              <w:rPr>
                <w:sz w:val="17"/>
                <w:szCs w:val="17"/>
                <w:color w:val="auto"/>
              </w:rPr>
            </w:pPr>
          </w:p>
        </w:tc>
        <w:tc>
          <w:tcPr>
            <w:tcW w:w="1140" w:type="dxa"/>
            <w:vAlign w:val="bottom"/>
            <w:shd w:val="clear" w:color="auto" w:fill="E5F1F8"/>
          </w:tcPr>
          <w:p>
            <w:pPr>
              <w:spacing w:after="0"/>
              <w:rPr>
                <w:sz w:val="17"/>
                <w:szCs w:val="17"/>
                <w:color w:val="auto"/>
              </w:rPr>
            </w:pPr>
          </w:p>
        </w:tc>
      </w:tr>
      <w:tr>
        <w:trPr>
          <w:trHeight w:val="277"/>
        </w:trPr>
        <w:tc>
          <w:tcPr>
            <w:tcW w:w="6340" w:type="dxa"/>
            <w:vAlign w:val="bottom"/>
            <w:tcBorders>
              <w:bottom w:val="single" w:sz="8" w:color="E5F1F8"/>
              <w:right w:val="single" w:sz="8" w:color="E5F1F8"/>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before income tax expense</w:t>
            </w:r>
          </w:p>
        </w:tc>
        <w:tc>
          <w:tcPr>
            <w:tcW w:w="50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1,492.8</w:t>
            </w:r>
          </w:p>
        </w:tc>
        <w:tc>
          <w:tcPr>
            <w:tcW w:w="48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1,091.1</w:t>
            </w:r>
          </w:p>
        </w:tc>
        <w:tc>
          <w:tcPr>
            <w:tcW w:w="48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855.5</w:t>
            </w:r>
          </w:p>
        </w:tc>
      </w:tr>
      <w:tr>
        <w:trPr>
          <w:trHeight w:val="20"/>
        </w:trPr>
        <w:tc>
          <w:tcPr>
            <w:tcW w:w="6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4004310</wp:posOffset>
            </wp:positionH>
            <wp:positionV relativeFrom="paragraph">
              <wp:posOffset>-2978150</wp:posOffset>
            </wp:positionV>
            <wp:extent cx="34290" cy="18796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-2978150</wp:posOffset>
            </wp:positionV>
            <wp:extent cx="33655" cy="18796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-2978150</wp:posOffset>
            </wp:positionV>
            <wp:extent cx="33655" cy="18796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-2661285</wp:posOffset>
            </wp:positionV>
            <wp:extent cx="34290" cy="3683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-2661285</wp:posOffset>
            </wp:positionV>
            <wp:extent cx="33655" cy="3683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-2661285</wp:posOffset>
            </wp:positionV>
            <wp:extent cx="33655" cy="3683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-1598295</wp:posOffset>
            </wp:positionV>
            <wp:extent cx="34290" cy="18796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-1598295</wp:posOffset>
            </wp:positionV>
            <wp:extent cx="33655" cy="18796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-1598295</wp:posOffset>
            </wp:positionV>
            <wp:extent cx="33655" cy="18796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-1280795</wp:posOffset>
            </wp:positionV>
            <wp:extent cx="34290" cy="18796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-1280795</wp:posOffset>
            </wp:positionV>
            <wp:extent cx="33655" cy="18796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-1280795</wp:posOffset>
            </wp:positionV>
            <wp:extent cx="33655" cy="18796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-963930</wp:posOffset>
            </wp:positionV>
            <wp:extent cx="34290" cy="18859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-963930</wp:posOffset>
            </wp:positionV>
            <wp:extent cx="33655" cy="18859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-963930</wp:posOffset>
            </wp:positionV>
            <wp:extent cx="33655" cy="18859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-492125</wp:posOffset>
            </wp:positionV>
            <wp:extent cx="34290" cy="50546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extLst>
                        <a:ext uri="{28A0092B-C50C-407E-A947-70E740481C1C}"/>
                      </a:extLst>
                    </a:blip>
                    <a:srcRect/>
                    <a:stretch>
                      <a:fillRect/>
                    </a:stretch>
                  </pic:blipFill>
                  <pic:spPr bwMode="auto">
                    <a:xfrm>
                      <a:off x="0" y="0"/>
                      <a:ext cx="34290" cy="50546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-492125</wp:posOffset>
            </wp:positionV>
            <wp:extent cx="33655" cy="50546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33655" cy="50546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-492125</wp:posOffset>
            </wp:positionV>
            <wp:extent cx="33655" cy="50546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extLst>
                        <a:ext uri="{28A0092B-C50C-407E-A947-70E740481C1C}"/>
                      </a:extLst>
                    </a:blip>
                    <a:srcRect/>
                    <a:stretch>
                      <a:fillRect/>
                    </a:stretch>
                  </pic:blipFill>
                  <pic:spPr bwMode="auto">
                    <a:xfrm>
                      <a:off x="0" y="0"/>
                      <a:ext cx="33655" cy="50546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color w:val="auto"/>
        </w:rPr>
        <w:t>Earnings from operatons for the West Group included a nonrecurring gain on divestture of $151.9 million in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50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140" w:type="dxa"/>
            <w:vAlign w:val="bottom"/>
            <w:shd w:val="clear" w:color="auto" w:fill="007CBA"/>
          </w:tcPr>
          <w:p>
            <w:pPr>
              <w:spacing w:after="0"/>
              <w:rPr>
                <w:sz w:val="19"/>
                <w:szCs w:val="19"/>
                <w:color w:val="auto"/>
              </w:rPr>
            </w:pPr>
          </w:p>
        </w:tc>
      </w:tr>
      <w:tr>
        <w:trPr>
          <w:trHeight w:val="215"/>
        </w:trPr>
        <w:tc>
          <w:tcPr>
            <w:tcW w:w="634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0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3"/>
        </w:trPr>
        <w:tc>
          <w:tcPr>
            <w:tcW w:w="634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Assets employed</w:t>
            </w:r>
          </w:p>
        </w:tc>
        <w:tc>
          <w:tcPr>
            <w:tcW w:w="50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b w:val="1"/>
                <w:bCs w:val="1"/>
                <w:color w:val="FFFFFF"/>
              </w:rPr>
              <w:t>2023</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490"/>
              <w:spacing w:after="0" w:line="216" w:lineRule="exact"/>
              <w:rPr>
                <w:sz w:val="20"/>
                <w:szCs w:val="20"/>
                <w:color w:val="auto"/>
              </w:rPr>
            </w:pPr>
            <w:r>
              <w:rPr>
                <w:rFonts w:ascii="Calibri" w:cs="Calibri" w:eastAsia="Calibri" w:hAnsi="Calibri"/>
                <w:sz w:val="18"/>
                <w:szCs w:val="18"/>
                <w:color w:val="FFFFFF"/>
              </w:rPr>
              <w:t>2022</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490"/>
              <w:spacing w:after="0" w:line="216" w:lineRule="exact"/>
              <w:rPr>
                <w:sz w:val="20"/>
                <w:szCs w:val="20"/>
                <w:color w:val="auto"/>
              </w:rPr>
            </w:pPr>
            <w:r>
              <w:rPr>
                <w:rFonts w:ascii="Calibri" w:cs="Calibri" w:eastAsia="Calibri" w:hAnsi="Calibri"/>
                <w:sz w:val="18"/>
                <w:szCs w:val="18"/>
                <w:color w:val="FFFFFF"/>
              </w:rPr>
              <w:t>2021</w:t>
            </w:r>
          </w:p>
        </w:tc>
      </w:tr>
      <w:tr>
        <w:trPr>
          <w:trHeight w:val="243"/>
        </w:trPr>
        <w:tc>
          <w:tcPr>
            <w:tcW w:w="6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50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5,131.1</w:t>
            </w:r>
          </w:p>
        </w:tc>
        <w:tc>
          <w:tcPr>
            <w:tcW w:w="4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5,063.5</w:t>
            </w:r>
          </w:p>
        </w:tc>
        <w:tc>
          <w:tcPr>
            <w:tcW w:w="4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5,009.0</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West Group</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7,696.7</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7,908.4</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8,264.8</w:t>
            </w:r>
          </w:p>
        </w:tc>
      </w:tr>
      <w:tr>
        <w:trPr>
          <w:trHeight w:val="236"/>
        </w:trPr>
        <w:tc>
          <w:tcPr>
            <w:tcW w:w="63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12,827.8</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12,971.9</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13,273.8</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250.0</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192.1</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168.7</w:t>
            </w:r>
          </w:p>
        </w:tc>
      </w:tr>
      <w:tr>
        <w:trPr>
          <w:trHeight w:val="236"/>
        </w:trPr>
        <w:tc>
          <w:tcPr>
            <w:tcW w:w="63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reportable segments</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13,077.8</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13,164.0</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13,442.5</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Corporate</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2,047.1</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1,829.6</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950.5</w:t>
            </w:r>
          </w:p>
        </w:tc>
      </w:tr>
      <w:tr>
        <w:trPr>
          <w:trHeight w:val="208"/>
        </w:trPr>
        <w:tc>
          <w:tcPr>
            <w:tcW w:w="63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50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15,124.9</w:t>
            </w:r>
          </w:p>
        </w:tc>
        <w:tc>
          <w:tcPr>
            <w:tcW w:w="4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14,993.6</w:t>
            </w:r>
          </w:p>
        </w:tc>
        <w:tc>
          <w:tcPr>
            <w:tcW w:w="4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14,393.0</w:t>
            </w:r>
          </w:p>
        </w:tc>
      </w:tr>
      <w:tr>
        <w:trPr>
          <w:trHeight w:val="28"/>
        </w:trPr>
        <w:tc>
          <w:tcPr>
            <w:tcW w:w="6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4004310</wp:posOffset>
            </wp:positionH>
            <wp:positionV relativeFrom="paragraph">
              <wp:posOffset>-989330</wp:posOffset>
            </wp:positionV>
            <wp:extent cx="34290" cy="18796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-989330</wp:posOffset>
            </wp:positionV>
            <wp:extent cx="33655" cy="18796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-989330</wp:posOffset>
            </wp:positionV>
            <wp:extent cx="33655" cy="18796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-672465</wp:posOffset>
            </wp:positionV>
            <wp:extent cx="34290" cy="18859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-672465</wp:posOffset>
            </wp:positionV>
            <wp:extent cx="33655" cy="18859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-672465</wp:posOffset>
            </wp:positionV>
            <wp:extent cx="33655" cy="18859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-354965</wp:posOffset>
            </wp:positionV>
            <wp:extent cx="34290" cy="3683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-354965</wp:posOffset>
            </wp:positionV>
            <wp:extent cx="33655" cy="3683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-354965</wp:posOffset>
            </wp:positionV>
            <wp:extent cx="33655" cy="3683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213995</wp:posOffset>
            </wp:positionV>
            <wp:extent cx="325755" cy="1968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308"/>
        </w:trPr>
        <w:tc>
          <w:tcPr>
            <w:tcW w:w="6340" w:type="dxa"/>
            <w:vAlign w:val="bottom"/>
          </w:tcPr>
          <w:p>
            <w:pPr>
              <w:spacing w:after="0"/>
              <w:rPr>
                <w:sz w:val="24"/>
                <w:szCs w:val="24"/>
                <w:color w:val="auto"/>
              </w:rPr>
            </w:pPr>
          </w:p>
        </w:tc>
        <w:tc>
          <w:tcPr>
            <w:tcW w:w="4900" w:type="dxa"/>
            <w:vAlign w:val="bottom"/>
            <w:gridSpan w:val="6"/>
          </w:tcPr>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tc>
      </w:tr>
      <w:tr>
        <w:trPr>
          <w:trHeight w:val="169"/>
        </w:trPr>
        <w:tc>
          <w:tcPr>
            <w:tcW w:w="6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7"/>
        </w:trPr>
        <w:tc>
          <w:tcPr>
            <w:tcW w:w="6340" w:type="dxa"/>
            <w:vAlign w:val="bottom"/>
            <w:tcBorders>
              <w:right w:val="single" w:sz="8" w:color="007CBA"/>
            </w:tcBorders>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50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15"/>
        </w:trPr>
        <w:tc>
          <w:tcPr>
            <w:tcW w:w="634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0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3"/>
        </w:trPr>
        <w:tc>
          <w:tcPr>
            <w:tcW w:w="634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Depreciaton, depleton and amortzaton</w:t>
            </w:r>
          </w:p>
        </w:tc>
        <w:tc>
          <w:tcPr>
            <w:tcW w:w="50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b w:val="1"/>
                <w:bCs w:val="1"/>
                <w:color w:val="FFFFFF"/>
              </w:rPr>
              <w:t>2023</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490"/>
              <w:spacing w:after="0" w:line="216" w:lineRule="exact"/>
              <w:rPr>
                <w:sz w:val="20"/>
                <w:szCs w:val="20"/>
                <w:color w:val="auto"/>
              </w:rPr>
            </w:pPr>
            <w:r>
              <w:rPr>
                <w:rFonts w:ascii="Calibri" w:cs="Calibri" w:eastAsia="Calibri" w:hAnsi="Calibri"/>
                <w:sz w:val="18"/>
                <w:szCs w:val="18"/>
                <w:color w:val="FFFFFF"/>
              </w:rPr>
              <w:t>2022</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490"/>
              <w:spacing w:after="0" w:line="216" w:lineRule="exact"/>
              <w:rPr>
                <w:sz w:val="20"/>
                <w:szCs w:val="20"/>
                <w:color w:val="auto"/>
              </w:rPr>
            </w:pPr>
            <w:r>
              <w:rPr>
                <w:rFonts w:ascii="Calibri" w:cs="Calibri" w:eastAsia="Calibri" w:hAnsi="Calibri"/>
                <w:sz w:val="18"/>
                <w:szCs w:val="18"/>
                <w:color w:val="FFFFFF"/>
              </w:rPr>
              <w:t>2021</w:t>
            </w:r>
          </w:p>
        </w:tc>
      </w:tr>
      <w:tr>
        <w:trPr>
          <w:trHeight w:val="243"/>
        </w:trPr>
        <w:tc>
          <w:tcPr>
            <w:tcW w:w="6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50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210.1</w:t>
            </w:r>
          </w:p>
        </w:tc>
        <w:tc>
          <w:tcPr>
            <w:tcW w:w="4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210.4</w:t>
            </w:r>
          </w:p>
        </w:tc>
        <w:tc>
          <w:tcPr>
            <w:tcW w:w="4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196.0</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West Group</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268.0</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260.6</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223.0</w:t>
            </w:r>
          </w:p>
        </w:tc>
      </w:tr>
      <w:tr>
        <w:trPr>
          <w:trHeight w:val="237"/>
        </w:trPr>
        <w:tc>
          <w:tcPr>
            <w:tcW w:w="63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478.1</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471.0</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419.0</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12.5</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12.2</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12.3</w:t>
            </w:r>
          </w:p>
        </w:tc>
      </w:tr>
      <w:tr>
        <w:trPr>
          <w:trHeight w:val="237"/>
        </w:trPr>
        <w:tc>
          <w:tcPr>
            <w:tcW w:w="63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reportable segments</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490.6</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483.2</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431.3</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Corporate</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22.6</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22.8</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20.4</w:t>
            </w:r>
          </w:p>
        </w:tc>
      </w:tr>
      <w:tr>
        <w:trPr>
          <w:trHeight w:val="208"/>
        </w:trPr>
        <w:tc>
          <w:tcPr>
            <w:tcW w:w="63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50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513.2</w:t>
            </w:r>
          </w:p>
        </w:tc>
        <w:tc>
          <w:tcPr>
            <w:tcW w:w="4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506.0</w:t>
            </w:r>
          </w:p>
        </w:tc>
        <w:tc>
          <w:tcPr>
            <w:tcW w:w="4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451.7</w:t>
            </w:r>
          </w:p>
        </w:tc>
      </w:tr>
      <w:tr>
        <w:trPr>
          <w:trHeight w:val="28"/>
        </w:trPr>
        <w:tc>
          <w:tcPr>
            <w:tcW w:w="6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4004310</wp:posOffset>
            </wp:positionH>
            <wp:positionV relativeFrom="paragraph">
              <wp:posOffset>-989330</wp:posOffset>
            </wp:positionV>
            <wp:extent cx="34290" cy="18859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1">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-989330</wp:posOffset>
            </wp:positionV>
            <wp:extent cx="33655" cy="18859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2">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-989330</wp:posOffset>
            </wp:positionV>
            <wp:extent cx="33655" cy="18859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3">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-672465</wp:posOffset>
            </wp:positionV>
            <wp:extent cx="34290" cy="18796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4">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-672465</wp:posOffset>
            </wp:positionV>
            <wp:extent cx="33655" cy="18796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5">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-672465</wp:posOffset>
            </wp:positionV>
            <wp:extent cx="33655" cy="18796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6">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-354965</wp:posOffset>
            </wp:positionV>
            <wp:extent cx="34290" cy="3683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7">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-354965</wp:posOffset>
            </wp:positionV>
            <wp:extent cx="33655" cy="3683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-354965</wp:posOffset>
            </wp:positionV>
            <wp:extent cx="33655" cy="3683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33655" cy="36830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Corporate depreciaton, depleton and amortzaton included $5.9 million, $6.6 million and $5.2 million for the amortzaton of bond discount and debt issuance costs in 2023, 2022 and 2021, respectvely.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4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50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140" w:type="dxa"/>
            <w:vAlign w:val="bottom"/>
            <w:tcBorders>
              <w:right w:val="single" w:sz="8" w:color="007CBA"/>
            </w:tcBorders>
            <w:shd w:val="clear" w:color="auto" w:fill="007CBA"/>
          </w:tcPr>
          <w:p>
            <w:pPr>
              <w:spacing w:after="0"/>
              <w:rPr>
                <w:sz w:val="19"/>
                <w:szCs w:val="19"/>
                <w:color w:val="auto"/>
              </w:rPr>
            </w:pPr>
          </w:p>
        </w:tc>
        <w:tc>
          <w:tcPr>
            <w:tcW w:w="480" w:type="dxa"/>
            <w:vAlign w:val="bottom"/>
            <w:shd w:val="clear" w:color="auto" w:fill="007CBA"/>
          </w:tcPr>
          <w:p>
            <w:pPr>
              <w:spacing w:after="0"/>
              <w:rPr>
                <w:sz w:val="19"/>
                <w:szCs w:val="19"/>
                <w:color w:val="auto"/>
              </w:rPr>
            </w:pPr>
          </w:p>
        </w:tc>
        <w:tc>
          <w:tcPr>
            <w:tcW w:w="1140" w:type="dxa"/>
            <w:vAlign w:val="bottom"/>
            <w:shd w:val="clear" w:color="auto" w:fill="007CBA"/>
          </w:tcPr>
          <w:p>
            <w:pPr>
              <w:spacing w:after="0"/>
              <w:rPr>
                <w:sz w:val="19"/>
                <w:szCs w:val="19"/>
                <w:color w:val="auto"/>
              </w:rPr>
            </w:pPr>
          </w:p>
        </w:tc>
      </w:tr>
      <w:tr>
        <w:trPr>
          <w:trHeight w:val="215"/>
        </w:trPr>
        <w:tc>
          <w:tcPr>
            <w:tcW w:w="634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0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3"/>
        </w:trPr>
        <w:tc>
          <w:tcPr>
            <w:tcW w:w="634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Total property additons, including the impact of acquisitons</w:t>
            </w:r>
          </w:p>
        </w:tc>
        <w:tc>
          <w:tcPr>
            <w:tcW w:w="50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b w:val="1"/>
                <w:bCs w:val="1"/>
                <w:color w:val="FFFFFF"/>
              </w:rPr>
              <w:t>2023</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490"/>
              <w:spacing w:after="0" w:line="216" w:lineRule="exact"/>
              <w:rPr>
                <w:sz w:val="20"/>
                <w:szCs w:val="20"/>
                <w:color w:val="auto"/>
              </w:rPr>
            </w:pPr>
            <w:r>
              <w:rPr>
                <w:rFonts w:ascii="Calibri" w:cs="Calibri" w:eastAsia="Calibri" w:hAnsi="Calibri"/>
                <w:sz w:val="18"/>
                <w:szCs w:val="18"/>
                <w:color w:val="FFFFFF"/>
              </w:rPr>
              <w:t>2022</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490"/>
              <w:spacing w:after="0" w:line="216" w:lineRule="exact"/>
              <w:rPr>
                <w:sz w:val="20"/>
                <w:szCs w:val="20"/>
                <w:color w:val="auto"/>
              </w:rPr>
            </w:pPr>
            <w:r>
              <w:rPr>
                <w:rFonts w:ascii="Calibri" w:cs="Calibri" w:eastAsia="Calibri" w:hAnsi="Calibri"/>
                <w:sz w:val="18"/>
                <w:szCs w:val="18"/>
                <w:color w:val="FFFFFF"/>
              </w:rPr>
              <w:t>2021</w:t>
            </w:r>
          </w:p>
        </w:tc>
      </w:tr>
      <w:tr>
        <w:trPr>
          <w:trHeight w:val="243"/>
        </w:trPr>
        <w:tc>
          <w:tcPr>
            <w:tcW w:w="6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50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230.8</w:t>
            </w:r>
          </w:p>
        </w:tc>
        <w:tc>
          <w:tcPr>
            <w:tcW w:w="4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189.1</w:t>
            </w:r>
          </w:p>
        </w:tc>
        <w:tc>
          <w:tcPr>
            <w:tcW w:w="4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372.9</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West Group</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341.7</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302.2</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1,131.6</w:t>
            </w:r>
          </w:p>
        </w:tc>
      </w:tr>
      <w:tr>
        <w:trPr>
          <w:trHeight w:val="237"/>
        </w:trPr>
        <w:tc>
          <w:tcPr>
            <w:tcW w:w="63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572.5</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491.3</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1,504.5</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39.3</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32.0</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8.2</w:t>
            </w:r>
          </w:p>
        </w:tc>
      </w:tr>
      <w:tr>
        <w:trPr>
          <w:trHeight w:val="237"/>
        </w:trPr>
        <w:tc>
          <w:tcPr>
            <w:tcW w:w="63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reportable segments</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611.8</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523.3</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1,512.7</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Corporate</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14.4</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21.1</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28.8</w:t>
            </w:r>
          </w:p>
        </w:tc>
      </w:tr>
      <w:tr>
        <w:trPr>
          <w:trHeight w:val="208"/>
        </w:trPr>
        <w:tc>
          <w:tcPr>
            <w:tcW w:w="63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50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626.2</w:t>
            </w:r>
          </w:p>
        </w:tc>
        <w:tc>
          <w:tcPr>
            <w:tcW w:w="4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544.4</w:t>
            </w:r>
          </w:p>
        </w:tc>
        <w:tc>
          <w:tcPr>
            <w:tcW w:w="4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1,541.5</w:t>
            </w:r>
          </w:p>
        </w:tc>
      </w:tr>
      <w:tr>
        <w:trPr>
          <w:trHeight w:val="28"/>
        </w:trPr>
        <w:tc>
          <w:tcPr>
            <w:tcW w:w="6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6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6340" w:type="dxa"/>
            <w:vAlign w:val="bottom"/>
            <w:tcBorders>
              <w:right w:val="single" w:sz="8" w:color="007CBA"/>
            </w:tcBorders>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50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15"/>
        </w:trPr>
        <w:tc>
          <w:tcPr>
            <w:tcW w:w="634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50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8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3"/>
        </w:trPr>
        <w:tc>
          <w:tcPr>
            <w:tcW w:w="634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Property additons through acquisitons</w:t>
            </w:r>
          </w:p>
        </w:tc>
        <w:tc>
          <w:tcPr>
            <w:tcW w:w="50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b w:val="1"/>
                <w:bCs w:val="1"/>
                <w:color w:val="FFFFFF"/>
              </w:rPr>
              <w:t>2023</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490"/>
              <w:spacing w:after="0" w:line="216" w:lineRule="exact"/>
              <w:rPr>
                <w:sz w:val="20"/>
                <w:szCs w:val="20"/>
                <w:color w:val="auto"/>
              </w:rPr>
            </w:pPr>
            <w:r>
              <w:rPr>
                <w:rFonts w:ascii="Calibri" w:cs="Calibri" w:eastAsia="Calibri" w:hAnsi="Calibri"/>
                <w:sz w:val="18"/>
                <w:szCs w:val="18"/>
                <w:color w:val="FFFFFF"/>
              </w:rPr>
              <w:t>2022</w:t>
            </w:r>
          </w:p>
        </w:tc>
        <w:tc>
          <w:tcPr>
            <w:tcW w:w="48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490"/>
              <w:spacing w:after="0" w:line="216" w:lineRule="exact"/>
              <w:rPr>
                <w:sz w:val="20"/>
                <w:szCs w:val="20"/>
                <w:color w:val="auto"/>
              </w:rPr>
            </w:pPr>
            <w:r>
              <w:rPr>
                <w:rFonts w:ascii="Calibri" w:cs="Calibri" w:eastAsia="Calibri" w:hAnsi="Calibri"/>
                <w:sz w:val="18"/>
                <w:szCs w:val="18"/>
                <w:color w:val="FFFFFF"/>
              </w:rPr>
              <w:t>2021</w:t>
            </w:r>
          </w:p>
        </w:tc>
      </w:tr>
      <w:tr>
        <w:trPr>
          <w:trHeight w:val="243"/>
        </w:trPr>
        <w:tc>
          <w:tcPr>
            <w:tcW w:w="634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East Group</w:t>
            </w:r>
          </w:p>
        </w:tc>
        <w:tc>
          <w:tcPr>
            <w:tcW w:w="50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4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169.2</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West Group</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2.5</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918.3</w:t>
            </w:r>
          </w:p>
        </w:tc>
      </w:tr>
      <w:tr>
        <w:trPr>
          <w:trHeight w:val="237"/>
        </w:trPr>
        <w:tc>
          <w:tcPr>
            <w:tcW w:w="63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2.5</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1,087.5</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37"/>
        </w:trPr>
        <w:tc>
          <w:tcPr>
            <w:tcW w:w="634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reportable segments</w:t>
            </w:r>
          </w:p>
        </w:tc>
        <w:tc>
          <w:tcPr>
            <w:tcW w:w="50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2.5</w:t>
            </w:r>
          </w:p>
        </w:tc>
        <w:tc>
          <w:tcPr>
            <w:tcW w:w="4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1,087.5</w:t>
            </w:r>
          </w:p>
        </w:tc>
      </w:tr>
      <w:tr>
        <w:trPr>
          <w:trHeight w:val="248"/>
        </w:trPr>
        <w:tc>
          <w:tcPr>
            <w:tcW w:w="634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Corporate</w:t>
            </w:r>
          </w:p>
        </w:tc>
        <w:tc>
          <w:tcPr>
            <w:tcW w:w="50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8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08"/>
        </w:trPr>
        <w:tc>
          <w:tcPr>
            <w:tcW w:w="634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Total</w:t>
            </w:r>
          </w:p>
        </w:tc>
        <w:tc>
          <w:tcPr>
            <w:tcW w:w="50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w:t>
            </w:r>
          </w:p>
        </w:tc>
        <w:tc>
          <w:tcPr>
            <w:tcW w:w="4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2.5</w:t>
            </w:r>
          </w:p>
        </w:tc>
        <w:tc>
          <w:tcPr>
            <w:tcW w:w="48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1,087.5</w:t>
            </w:r>
          </w:p>
        </w:tc>
      </w:tr>
      <w:tr>
        <w:trPr>
          <w:trHeight w:val="28"/>
        </w:trPr>
        <w:tc>
          <w:tcPr>
            <w:tcW w:w="6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4004310</wp:posOffset>
            </wp:positionH>
            <wp:positionV relativeFrom="paragraph">
              <wp:posOffset>-2686685</wp:posOffset>
            </wp:positionV>
            <wp:extent cx="34290" cy="18859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-2686685</wp:posOffset>
            </wp:positionV>
            <wp:extent cx="33655" cy="18859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1">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-2686685</wp:posOffset>
            </wp:positionV>
            <wp:extent cx="33655" cy="18859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2">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-2369820</wp:posOffset>
            </wp:positionV>
            <wp:extent cx="34290" cy="18859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3">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-2369820</wp:posOffset>
            </wp:positionV>
            <wp:extent cx="33655" cy="18859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4">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-2369820</wp:posOffset>
            </wp:positionV>
            <wp:extent cx="33655" cy="18859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5">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-2052320</wp:posOffset>
            </wp:positionV>
            <wp:extent cx="34290" cy="3683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6">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-2052320</wp:posOffset>
            </wp:positionV>
            <wp:extent cx="33655" cy="3683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7">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-2052320</wp:posOffset>
            </wp:positionV>
            <wp:extent cx="33655" cy="3683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8">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-989330</wp:posOffset>
            </wp:positionV>
            <wp:extent cx="34290" cy="18859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-989330</wp:posOffset>
            </wp:positionV>
            <wp:extent cx="33655" cy="18859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0">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-989330</wp:posOffset>
            </wp:positionV>
            <wp:extent cx="33655" cy="18859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1">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-672465</wp:posOffset>
            </wp:positionV>
            <wp:extent cx="34290" cy="18859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2">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-672465</wp:posOffset>
            </wp:positionV>
            <wp:extent cx="33655" cy="18859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3">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-672465</wp:posOffset>
            </wp:positionV>
            <wp:extent cx="33655" cy="18859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4">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4004310</wp:posOffset>
            </wp:positionH>
            <wp:positionV relativeFrom="paragraph">
              <wp:posOffset>-354965</wp:posOffset>
            </wp:positionV>
            <wp:extent cx="34290" cy="3683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5">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-354965</wp:posOffset>
            </wp:positionV>
            <wp:extent cx="33655" cy="3683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6">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6087110</wp:posOffset>
            </wp:positionH>
            <wp:positionV relativeFrom="paragraph">
              <wp:posOffset>-354965</wp:posOffset>
            </wp:positionV>
            <wp:extent cx="33655" cy="3683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7">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531495</wp:posOffset>
            </wp:positionV>
            <wp:extent cx="325755" cy="1968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8">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09" w:name="page110"/>
    <w:bookmarkEnd w:id="109"/>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P: Revenues and Gross Proft</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tables, which are reconciled to consolidated amounts, provide total revenues and gross proft (loss) by line of business: Building Materials (further divided by product line) and Magnesia Specialtes. Interproduct revenues represent sales from the aggregates product line to the ready mixed concrete and asphalt and paving product lines and sales from the cement product line to the ready mixed concrete product line. Total revenues and gross proft (loss) refect contnuing operatons only.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40" w:type="dxa"/>
            <w:vAlign w:val="bottom"/>
            <w:shd w:val="clear" w:color="auto" w:fill="007CBA"/>
          </w:tcPr>
          <w:p>
            <w:pPr>
              <w:spacing w:after="0"/>
              <w:rPr>
                <w:sz w:val="19"/>
                <w:szCs w:val="19"/>
                <w:color w:val="auto"/>
              </w:rPr>
            </w:pPr>
          </w:p>
        </w:tc>
        <w:tc>
          <w:tcPr>
            <w:tcW w:w="1160" w:type="dxa"/>
            <w:vAlign w:val="bottom"/>
            <w:tcBorders>
              <w:right w:val="single" w:sz="8" w:color="007CBA"/>
            </w:tcBorders>
            <w:shd w:val="clear" w:color="auto" w:fill="007CBA"/>
          </w:tcPr>
          <w:p>
            <w:pPr>
              <w:spacing w:after="0"/>
              <w:rPr>
                <w:sz w:val="19"/>
                <w:szCs w:val="19"/>
                <w:color w:val="auto"/>
              </w:rPr>
            </w:pPr>
          </w:p>
        </w:tc>
        <w:tc>
          <w:tcPr>
            <w:tcW w:w="460" w:type="dxa"/>
            <w:vAlign w:val="bottom"/>
            <w:shd w:val="clear" w:color="auto" w:fill="007CBA"/>
          </w:tcPr>
          <w:p>
            <w:pPr>
              <w:spacing w:after="0"/>
              <w:rPr>
                <w:sz w:val="19"/>
                <w:szCs w:val="19"/>
                <w:color w:val="auto"/>
              </w:rPr>
            </w:pPr>
          </w:p>
        </w:tc>
        <w:tc>
          <w:tcPr>
            <w:tcW w:w="1140" w:type="dxa"/>
            <w:vAlign w:val="bottom"/>
            <w:shd w:val="clear" w:color="auto" w:fill="007CBA"/>
          </w:tcPr>
          <w:p>
            <w:pPr>
              <w:spacing w:after="0"/>
              <w:rPr>
                <w:sz w:val="19"/>
                <w:szCs w:val="19"/>
                <w:color w:val="auto"/>
              </w:rPr>
            </w:pPr>
          </w:p>
        </w:tc>
      </w:tr>
      <w:tr>
        <w:trPr>
          <w:trHeight w:val="215"/>
        </w:trPr>
        <w:tc>
          <w:tcPr>
            <w:tcW w:w="640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3"/>
        </w:trPr>
        <w:tc>
          <w:tcPr>
            <w:tcW w:w="640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Total revenues</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30"/>
              <w:spacing w:after="0" w:line="216" w:lineRule="exact"/>
              <w:rPr>
                <w:sz w:val="20"/>
                <w:szCs w:val="20"/>
                <w:color w:val="auto"/>
              </w:rPr>
            </w:pPr>
            <w:r>
              <w:rPr>
                <w:rFonts w:ascii="Calibri" w:cs="Calibri" w:eastAsia="Calibri" w:hAnsi="Calibri"/>
                <w:sz w:val="18"/>
                <w:szCs w:val="18"/>
                <w:b w:val="1"/>
                <w:bCs w:val="1"/>
                <w:color w:val="FFFFFF"/>
              </w:rPr>
              <w:t>2023</w:t>
            </w:r>
          </w:p>
        </w:tc>
        <w:tc>
          <w:tcPr>
            <w:tcW w:w="44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2022</w:t>
            </w:r>
          </w:p>
        </w:tc>
        <w:tc>
          <w:tcPr>
            <w:tcW w:w="46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2021</w:t>
            </w:r>
          </w:p>
        </w:tc>
      </w:tr>
      <w:tr>
        <w:trPr>
          <w:trHeight w:val="215"/>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Building Materials business:</w:t>
            </w:r>
          </w:p>
        </w:tc>
        <w:tc>
          <w:tcPr>
            <w:tcW w:w="48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
        </w:trPr>
        <w:tc>
          <w:tcPr>
            <w:tcW w:w="640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Aggregates</w:t>
            </w:r>
          </w:p>
        </w:tc>
        <w:tc>
          <w:tcPr>
            <w:tcW w:w="48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4,301.6</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3,879.0</w:t>
            </w:r>
          </w:p>
        </w:tc>
        <w:tc>
          <w:tcPr>
            <w:tcW w:w="46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3,344.3</w:t>
            </w:r>
          </w:p>
        </w:tc>
      </w:tr>
      <w:tr>
        <w:trPr>
          <w:trHeight w:val="215"/>
        </w:trPr>
        <w:tc>
          <w:tcPr>
            <w:tcW w:w="640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Cement</w:t>
            </w:r>
          </w:p>
        </w:tc>
        <w:tc>
          <w:tcPr>
            <w:tcW w:w="48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725.5</w:t>
            </w:r>
          </w:p>
        </w:tc>
        <w:tc>
          <w:tcPr>
            <w:tcW w:w="440" w:type="dxa"/>
            <w:vAlign w:val="bottom"/>
          </w:tcPr>
          <w:p>
            <w:pPr>
              <w:spacing w:after="0"/>
              <w:rPr>
                <w:sz w:val="18"/>
                <w:szCs w:val="18"/>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620.0</w:t>
            </w:r>
          </w:p>
        </w:tc>
        <w:tc>
          <w:tcPr>
            <w:tcW w:w="46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509.3</w:t>
            </w:r>
          </w:p>
        </w:tc>
      </w:tr>
      <w:tr>
        <w:trPr>
          <w:trHeight w:val="28"/>
        </w:trPr>
        <w:tc>
          <w:tcPr>
            <w:tcW w:w="640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Ready mixed concrete</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1,009.3</w:t>
            </w:r>
          </w:p>
        </w:tc>
        <w:tc>
          <w:tcPr>
            <w:tcW w:w="44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953.2</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1,147.5</w:t>
            </w:r>
          </w:p>
        </w:tc>
      </w:tr>
      <w:tr>
        <w:trPr>
          <w:trHeight w:val="243"/>
        </w:trPr>
        <w:tc>
          <w:tcPr>
            <w:tcW w:w="640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Asphalt and paving</w:t>
            </w:r>
          </w:p>
        </w:tc>
        <w:tc>
          <w:tcPr>
            <w:tcW w:w="480" w:type="dxa"/>
            <w:vAlign w:val="bottom"/>
          </w:tcPr>
          <w:p>
            <w:pPr>
              <w:spacing w:after="0"/>
              <w:rPr>
                <w:sz w:val="21"/>
                <w:szCs w:val="21"/>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887.1</w:t>
            </w:r>
          </w:p>
        </w:tc>
        <w:tc>
          <w:tcPr>
            <w:tcW w:w="440" w:type="dxa"/>
            <w:vAlign w:val="bottom"/>
          </w:tcPr>
          <w:p>
            <w:pPr>
              <w:spacing w:after="0"/>
              <w:rPr>
                <w:sz w:val="21"/>
                <w:szCs w:val="21"/>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787.9</w:t>
            </w:r>
          </w:p>
        </w:tc>
        <w:tc>
          <w:tcPr>
            <w:tcW w:w="460" w:type="dxa"/>
            <w:vAlign w:val="bottom"/>
          </w:tcPr>
          <w:p>
            <w:pPr>
              <w:spacing w:after="0"/>
              <w:rPr>
                <w:sz w:val="21"/>
                <w:szCs w:val="21"/>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517.9</w:t>
            </w:r>
          </w:p>
        </w:tc>
      </w:tr>
      <w:tr>
        <w:trPr>
          <w:trHeight w:val="248"/>
        </w:trPr>
        <w:tc>
          <w:tcPr>
            <w:tcW w:w="6400" w:type="dxa"/>
            <w:vAlign w:val="bottom"/>
            <w:tcBorders>
              <w:bottom w:val="single" w:sz="8" w:color="E5F1F8"/>
              <w:right w:val="single" w:sz="8" w:color="E5F1F8"/>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Less: interproduct revenues</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(461.7 )</w:t>
            </w:r>
          </w:p>
        </w:tc>
        <w:tc>
          <w:tcPr>
            <w:tcW w:w="44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(383.4 )</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(403.7 )</w:t>
            </w:r>
          </w:p>
        </w:tc>
      </w:tr>
      <w:tr>
        <w:trPr>
          <w:trHeight w:val="237"/>
        </w:trPr>
        <w:tc>
          <w:tcPr>
            <w:tcW w:w="6400" w:type="dxa"/>
            <w:vAlign w:val="bottom"/>
            <w:tcBorders>
              <w:top w:val="single" w:sz="8" w:color="auto"/>
              <w:right w:val="single" w:sz="8" w:color="007CBA"/>
            </w:tcBorders>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48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007CBA"/>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6,461.8</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right w:val="single" w:sz="8" w:color="007CBA"/>
            </w:tcBorders>
          </w:tcPr>
          <w:p>
            <w:pPr>
              <w:jc w:val="right"/>
              <w:ind w:right="30"/>
              <w:spacing w:after="0" w:line="208" w:lineRule="exact"/>
              <w:rPr>
                <w:sz w:val="20"/>
                <w:szCs w:val="20"/>
                <w:color w:val="auto"/>
              </w:rPr>
            </w:pPr>
            <w:r>
              <w:rPr>
                <w:rFonts w:ascii="Calibri" w:cs="Calibri" w:eastAsia="Calibri" w:hAnsi="Calibri"/>
                <w:sz w:val="18"/>
                <w:szCs w:val="18"/>
                <w:color w:val="auto"/>
              </w:rPr>
              <w:t>5,856.7</w:t>
            </w: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5,115.3</w:t>
            </w:r>
          </w:p>
        </w:tc>
      </w:tr>
      <w:tr>
        <w:trPr>
          <w:trHeight w:val="248"/>
        </w:trPr>
        <w:tc>
          <w:tcPr>
            <w:tcW w:w="64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315.4</w:t>
            </w:r>
          </w:p>
        </w:tc>
        <w:tc>
          <w:tcPr>
            <w:tcW w:w="44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304.0</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298.7</w:t>
            </w:r>
          </w:p>
        </w:tc>
      </w:tr>
      <w:tr>
        <w:trPr>
          <w:trHeight w:val="208"/>
        </w:trPr>
        <w:tc>
          <w:tcPr>
            <w:tcW w:w="64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Consolidated total revenues</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6,777.2</w:t>
            </w:r>
          </w:p>
        </w:tc>
        <w:tc>
          <w:tcPr>
            <w:tcW w:w="44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6,160.7</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5,414.0</w:t>
            </w:r>
          </w:p>
        </w:tc>
      </w:tr>
      <w:tr>
        <w:trPr>
          <w:trHeight w:val="28"/>
        </w:trPr>
        <w:tc>
          <w:tcPr>
            <w:tcW w:w="6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6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7"/>
        </w:trPr>
        <w:tc>
          <w:tcPr>
            <w:tcW w:w="6400" w:type="dxa"/>
            <w:vAlign w:val="bottom"/>
            <w:tcBorders>
              <w:right w:val="single" w:sz="8" w:color="007CBA"/>
            </w:tcBorders>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15"/>
        </w:trPr>
        <w:tc>
          <w:tcPr>
            <w:tcW w:w="640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3"/>
        </w:trPr>
        <w:tc>
          <w:tcPr>
            <w:tcW w:w="6400" w:type="dxa"/>
            <w:vAlign w:val="bottom"/>
            <w:tcBorders>
              <w:bottom w:val="single" w:sz="8" w:color="007CBA"/>
              <w:right w:val="single" w:sz="8" w:color="007CBA"/>
            </w:tcBorders>
            <w:shd w:val="clear" w:color="auto" w:fill="007CBA"/>
          </w:tcPr>
          <w:p>
            <w:pPr>
              <w:ind w:left="120"/>
              <w:spacing w:after="0" w:line="216" w:lineRule="exact"/>
              <w:rPr>
                <w:sz w:val="20"/>
                <w:szCs w:val="20"/>
                <w:color w:val="auto"/>
              </w:rPr>
            </w:pPr>
            <w:r>
              <w:rPr>
                <w:rFonts w:ascii="Calibri" w:cs="Calibri" w:eastAsia="Calibri" w:hAnsi="Calibri"/>
                <w:sz w:val="18"/>
                <w:szCs w:val="18"/>
                <w:b w:val="1"/>
                <w:bCs w:val="1"/>
                <w:color w:val="FFFFFF"/>
              </w:rPr>
              <w:t>Gross proft (loss)</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30"/>
              <w:spacing w:after="0" w:line="216" w:lineRule="exact"/>
              <w:rPr>
                <w:sz w:val="20"/>
                <w:szCs w:val="20"/>
                <w:color w:val="auto"/>
              </w:rPr>
            </w:pPr>
            <w:r>
              <w:rPr>
                <w:rFonts w:ascii="Calibri" w:cs="Calibri" w:eastAsia="Calibri" w:hAnsi="Calibri"/>
                <w:sz w:val="18"/>
                <w:szCs w:val="18"/>
                <w:b w:val="1"/>
                <w:bCs w:val="1"/>
                <w:color w:val="FFFFFF"/>
              </w:rPr>
              <w:t>2023</w:t>
            </w:r>
          </w:p>
        </w:tc>
        <w:tc>
          <w:tcPr>
            <w:tcW w:w="44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2022</w:t>
            </w:r>
          </w:p>
        </w:tc>
        <w:tc>
          <w:tcPr>
            <w:tcW w:w="46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510"/>
              <w:spacing w:after="0" w:line="216" w:lineRule="exact"/>
              <w:rPr>
                <w:sz w:val="20"/>
                <w:szCs w:val="20"/>
                <w:color w:val="auto"/>
              </w:rPr>
            </w:pPr>
            <w:r>
              <w:rPr>
                <w:rFonts w:ascii="Calibri" w:cs="Calibri" w:eastAsia="Calibri" w:hAnsi="Calibri"/>
                <w:sz w:val="18"/>
                <w:szCs w:val="18"/>
                <w:color w:val="FFFFFF"/>
              </w:rPr>
              <w:t>2021</w:t>
            </w:r>
          </w:p>
        </w:tc>
      </w:tr>
      <w:tr>
        <w:trPr>
          <w:trHeight w:val="215"/>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Building Materials business:</w:t>
            </w:r>
          </w:p>
        </w:tc>
        <w:tc>
          <w:tcPr>
            <w:tcW w:w="48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Borders>
              <w:right w:val="single" w:sz="8" w:color="007CBA"/>
            </w:tcBorders>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
        </w:trPr>
        <w:tc>
          <w:tcPr>
            <w:tcW w:w="640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Aggregates</w:t>
            </w:r>
          </w:p>
        </w:tc>
        <w:tc>
          <w:tcPr>
            <w:tcW w:w="48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1,378.1</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983.8</w:t>
            </w:r>
          </w:p>
        </w:tc>
        <w:tc>
          <w:tcPr>
            <w:tcW w:w="46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907.6</w:t>
            </w:r>
          </w:p>
        </w:tc>
      </w:tr>
      <w:tr>
        <w:trPr>
          <w:trHeight w:val="215"/>
        </w:trPr>
        <w:tc>
          <w:tcPr>
            <w:tcW w:w="6400" w:type="dxa"/>
            <w:vAlign w:val="bottom"/>
            <w:tcBorders>
              <w:right w:val="single" w:sz="8" w:color="007CBA"/>
            </w:tcBorders>
          </w:tcPr>
          <w:p>
            <w:pPr>
              <w:ind w:left="300"/>
              <w:spacing w:after="0" w:line="215" w:lineRule="exact"/>
              <w:rPr>
                <w:sz w:val="20"/>
                <w:szCs w:val="20"/>
                <w:color w:val="auto"/>
              </w:rPr>
            </w:pPr>
            <w:r>
              <w:rPr>
                <w:rFonts w:ascii="Calibri" w:cs="Calibri" w:eastAsia="Calibri" w:hAnsi="Calibri"/>
                <w:sz w:val="18"/>
                <w:szCs w:val="18"/>
                <w:color w:val="auto"/>
              </w:rPr>
              <w:t>Cement</w:t>
            </w:r>
          </w:p>
        </w:tc>
        <w:tc>
          <w:tcPr>
            <w:tcW w:w="480" w:type="dxa"/>
            <w:vAlign w:val="bottom"/>
          </w:tcPr>
          <w:p>
            <w:pPr>
              <w:spacing w:after="0"/>
              <w:rPr>
                <w:sz w:val="18"/>
                <w:szCs w:val="18"/>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333.6</w:t>
            </w:r>
          </w:p>
        </w:tc>
        <w:tc>
          <w:tcPr>
            <w:tcW w:w="440" w:type="dxa"/>
            <w:vAlign w:val="bottom"/>
          </w:tcPr>
          <w:p>
            <w:pPr>
              <w:spacing w:after="0"/>
              <w:rPr>
                <w:sz w:val="18"/>
                <w:szCs w:val="18"/>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202.7</w:t>
            </w:r>
          </w:p>
        </w:tc>
        <w:tc>
          <w:tcPr>
            <w:tcW w:w="46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155.9</w:t>
            </w:r>
          </w:p>
        </w:tc>
      </w:tr>
      <w:tr>
        <w:trPr>
          <w:trHeight w:val="28"/>
        </w:trPr>
        <w:tc>
          <w:tcPr>
            <w:tcW w:w="6400" w:type="dxa"/>
            <w:vAlign w:val="bottom"/>
            <w:tcBorders>
              <w:right w:val="single" w:sz="8" w:color="007CBA"/>
            </w:tcBorders>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Borders>
              <w:right w:val="single" w:sz="8" w:color="007CBA"/>
            </w:tcBorders>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6400" w:type="dxa"/>
            <w:vAlign w:val="bottom"/>
            <w:tcBorders>
              <w:bottom w:val="single" w:sz="8" w:color="E5F1F8"/>
              <w:right w:val="single" w:sz="8" w:color="007CBA"/>
            </w:tcBorders>
            <w:shd w:val="clear" w:color="auto" w:fill="E5F1F8"/>
          </w:tcPr>
          <w:p>
            <w:pPr>
              <w:ind w:left="300"/>
              <w:spacing w:after="0" w:line="215" w:lineRule="exact"/>
              <w:rPr>
                <w:sz w:val="20"/>
                <w:szCs w:val="20"/>
                <w:color w:val="auto"/>
              </w:rPr>
            </w:pPr>
            <w:r>
              <w:rPr>
                <w:rFonts w:ascii="Calibri" w:cs="Calibri" w:eastAsia="Calibri" w:hAnsi="Calibri"/>
                <w:sz w:val="18"/>
                <w:szCs w:val="18"/>
                <w:color w:val="auto"/>
              </w:rPr>
              <w:t>Ready mixed concrete</w:t>
            </w:r>
          </w:p>
        </w:tc>
        <w:tc>
          <w:tcPr>
            <w:tcW w:w="48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102.0</w:t>
            </w:r>
          </w:p>
        </w:tc>
        <w:tc>
          <w:tcPr>
            <w:tcW w:w="440" w:type="dxa"/>
            <w:vAlign w:val="bottom"/>
            <w:tcBorders>
              <w:bottom w:val="single" w:sz="8" w:color="E5F1F8"/>
            </w:tcBorders>
            <w:shd w:val="clear" w:color="auto" w:fill="E5F1F8"/>
          </w:tcPr>
          <w:p>
            <w:pPr>
              <w:spacing w:after="0"/>
              <w:rPr>
                <w:sz w:val="19"/>
                <w:szCs w:val="19"/>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70.7</w:t>
            </w:r>
          </w:p>
        </w:tc>
        <w:tc>
          <w:tcPr>
            <w:tcW w:w="460" w:type="dxa"/>
            <w:vAlign w:val="bottom"/>
            <w:tcBorders>
              <w:bottom w:val="single" w:sz="8" w:color="E5F1F8"/>
            </w:tcBorders>
            <w:shd w:val="clear" w:color="auto" w:fill="E5F1F8"/>
          </w:tcPr>
          <w:p>
            <w:pPr>
              <w:spacing w:after="0"/>
              <w:rPr>
                <w:sz w:val="19"/>
                <w:szCs w:val="19"/>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96.5</w:t>
            </w:r>
          </w:p>
        </w:tc>
      </w:tr>
      <w:tr>
        <w:trPr>
          <w:trHeight w:val="215"/>
        </w:trPr>
        <w:tc>
          <w:tcPr>
            <w:tcW w:w="6400" w:type="dxa"/>
            <w:vAlign w:val="bottom"/>
          </w:tcPr>
          <w:p>
            <w:pPr>
              <w:ind w:left="300"/>
              <w:spacing w:after="0" w:line="215" w:lineRule="exact"/>
              <w:rPr>
                <w:sz w:val="20"/>
                <w:szCs w:val="20"/>
                <w:color w:val="auto"/>
              </w:rPr>
            </w:pPr>
            <w:r>
              <w:rPr>
                <w:rFonts w:ascii="Calibri" w:cs="Calibri" w:eastAsia="Calibri" w:hAnsi="Calibri"/>
                <w:sz w:val="18"/>
                <w:szCs w:val="18"/>
                <w:color w:val="auto"/>
              </w:rPr>
              <w:t>Asphalt and paving</w:t>
            </w:r>
          </w:p>
        </w:tc>
        <w:tc>
          <w:tcPr>
            <w:tcW w:w="480" w:type="dxa"/>
            <w:vAlign w:val="bottom"/>
          </w:tcPr>
          <w:p>
            <w:pPr>
              <w:spacing w:after="0"/>
              <w:rPr>
                <w:sz w:val="18"/>
                <w:szCs w:val="18"/>
                <w:color w:val="auto"/>
              </w:rPr>
            </w:pPr>
          </w:p>
        </w:tc>
        <w:tc>
          <w:tcPr>
            <w:tcW w:w="116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109.0</w:t>
            </w:r>
          </w:p>
        </w:tc>
        <w:tc>
          <w:tcPr>
            <w:tcW w:w="44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81.0</w:t>
            </w:r>
          </w:p>
        </w:tc>
        <w:tc>
          <w:tcPr>
            <w:tcW w:w="460" w:type="dxa"/>
            <w:vAlign w:val="bottom"/>
          </w:tcPr>
          <w:p>
            <w:pPr>
              <w:spacing w:after="0"/>
              <w:rPr>
                <w:sz w:val="18"/>
                <w:szCs w:val="18"/>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79.9</w:t>
            </w:r>
          </w:p>
        </w:tc>
      </w:tr>
      <w:tr>
        <w:trPr>
          <w:trHeight w:val="28"/>
        </w:trPr>
        <w:tc>
          <w:tcPr>
            <w:tcW w:w="6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6400" w:type="dxa"/>
            <w:vAlign w:val="bottom"/>
            <w:tcBorders>
              <w:bottom w:val="single" w:sz="8" w:color="E5F1F8"/>
              <w:right w:val="single" w:sz="8" w:color="007CBA"/>
            </w:tcBorders>
            <w:shd w:val="clear" w:color="auto" w:fill="E5F1F8"/>
          </w:tcPr>
          <w:p>
            <w:pPr>
              <w:ind w:left="120"/>
              <w:spacing w:after="0" w:line="208" w:lineRule="exact"/>
              <w:rPr>
                <w:sz w:val="20"/>
                <w:szCs w:val="20"/>
                <w:color w:val="auto"/>
              </w:rPr>
            </w:pPr>
            <w:r>
              <w:rPr>
                <w:rFonts w:ascii="Calibri" w:cs="Calibri" w:eastAsia="Calibri" w:hAnsi="Calibri"/>
                <w:sz w:val="18"/>
                <w:szCs w:val="18"/>
                <w:color w:val="auto"/>
              </w:rPr>
              <w:t>Total Building Materials business</w:t>
            </w:r>
          </w:p>
        </w:tc>
        <w:tc>
          <w:tcPr>
            <w:tcW w:w="48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right w:val="single" w:sz="8" w:color="007CBA"/>
            </w:tcBorders>
            <w:shd w:val="clear" w:color="auto" w:fill="E5F1F8"/>
          </w:tcPr>
          <w:p>
            <w:pPr>
              <w:jc w:val="right"/>
              <w:ind w:right="50"/>
              <w:spacing w:after="0" w:line="208" w:lineRule="exact"/>
              <w:rPr>
                <w:sz w:val="20"/>
                <w:szCs w:val="20"/>
                <w:color w:val="auto"/>
              </w:rPr>
            </w:pPr>
            <w:r>
              <w:rPr>
                <w:rFonts w:ascii="Calibri" w:cs="Calibri" w:eastAsia="Calibri" w:hAnsi="Calibri"/>
                <w:sz w:val="18"/>
                <w:szCs w:val="18"/>
                <w:b w:val="1"/>
                <w:bCs w:val="1"/>
                <w:color w:val="auto"/>
              </w:rPr>
              <w:t>1,922.7</w:t>
            </w:r>
          </w:p>
        </w:tc>
        <w:tc>
          <w:tcPr>
            <w:tcW w:w="440" w:type="dxa"/>
            <w:vAlign w:val="bottom"/>
            <w:tcBorders>
              <w:bottom w:val="single" w:sz="8" w:color="E5F1F8"/>
            </w:tcBorders>
            <w:shd w:val="clear" w:color="auto" w:fill="E5F1F8"/>
          </w:tcPr>
          <w:p>
            <w:pPr>
              <w:spacing w:after="0"/>
              <w:rPr>
                <w:sz w:val="18"/>
                <w:szCs w:val="18"/>
                <w:color w:val="auto"/>
              </w:rPr>
            </w:pPr>
          </w:p>
        </w:tc>
        <w:tc>
          <w:tcPr>
            <w:tcW w:w="1160" w:type="dxa"/>
            <w:vAlign w:val="bottom"/>
            <w:tcBorders>
              <w:bottom w:val="single" w:sz="8" w:color="E5F1F8"/>
              <w:right w:val="single" w:sz="8" w:color="007CBA"/>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1,338.2</w:t>
            </w:r>
          </w:p>
        </w:tc>
        <w:tc>
          <w:tcPr>
            <w:tcW w:w="460" w:type="dxa"/>
            <w:vAlign w:val="bottom"/>
            <w:tcBorders>
              <w:bottom w:val="single" w:sz="8" w:color="E5F1F8"/>
            </w:tcBorders>
            <w:shd w:val="clear" w:color="auto" w:fill="E5F1F8"/>
          </w:tcPr>
          <w:p>
            <w:pPr>
              <w:spacing w:after="0"/>
              <w:rPr>
                <w:sz w:val="18"/>
                <w:szCs w:val="18"/>
                <w:color w:val="auto"/>
              </w:rPr>
            </w:pPr>
          </w:p>
        </w:tc>
        <w:tc>
          <w:tcPr>
            <w:tcW w:w="1140" w:type="dxa"/>
            <w:vAlign w:val="bottom"/>
            <w:tcBorders>
              <w:bottom w:val="single" w:sz="8" w:color="E5F1F8"/>
            </w:tcBorders>
            <w:shd w:val="clear" w:color="auto" w:fill="E5F1F8"/>
          </w:tcPr>
          <w:p>
            <w:pPr>
              <w:jc w:val="right"/>
              <w:ind w:right="30"/>
              <w:spacing w:after="0" w:line="208" w:lineRule="exact"/>
              <w:rPr>
                <w:sz w:val="20"/>
                <w:szCs w:val="20"/>
                <w:color w:val="auto"/>
              </w:rPr>
            </w:pPr>
            <w:r>
              <w:rPr>
                <w:rFonts w:ascii="Calibri" w:cs="Calibri" w:eastAsia="Calibri" w:hAnsi="Calibri"/>
                <w:sz w:val="18"/>
                <w:szCs w:val="18"/>
                <w:color w:val="auto"/>
              </w:rPr>
              <w:t>1,239.9</w:t>
            </w:r>
          </w:p>
        </w:tc>
      </w:tr>
      <w:tr>
        <w:trPr>
          <w:trHeight w:val="243"/>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Magnesia Specialtes:</w:t>
            </w:r>
          </w:p>
        </w:tc>
        <w:tc>
          <w:tcPr>
            <w:tcW w:w="480" w:type="dxa"/>
            <w:vAlign w:val="bottom"/>
          </w:tcPr>
          <w:p>
            <w:pPr>
              <w:spacing w:after="0"/>
              <w:rPr>
                <w:sz w:val="21"/>
                <w:szCs w:val="21"/>
                <w:color w:val="auto"/>
              </w:rPr>
            </w:pP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97.1</w:t>
            </w:r>
          </w:p>
        </w:tc>
        <w:tc>
          <w:tcPr>
            <w:tcW w:w="440" w:type="dxa"/>
            <w:vAlign w:val="bottom"/>
          </w:tcPr>
          <w:p>
            <w:pPr>
              <w:spacing w:after="0"/>
              <w:rPr>
                <w:sz w:val="21"/>
                <w:szCs w:val="21"/>
                <w:color w:val="auto"/>
              </w:rPr>
            </w:pP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90.9</w:t>
            </w:r>
          </w:p>
        </w:tc>
        <w:tc>
          <w:tcPr>
            <w:tcW w:w="460" w:type="dxa"/>
            <w:vAlign w:val="bottom"/>
          </w:tcPr>
          <w:p>
            <w:pPr>
              <w:spacing w:after="0"/>
              <w:rPr>
                <w:sz w:val="21"/>
                <w:szCs w:val="21"/>
                <w:color w:val="auto"/>
              </w:rPr>
            </w:pP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106.5</w:t>
            </w:r>
          </w:p>
        </w:tc>
      </w:tr>
      <w:tr>
        <w:trPr>
          <w:trHeight w:val="248"/>
        </w:trPr>
        <w:tc>
          <w:tcPr>
            <w:tcW w:w="64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Corporate</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2.8</w:t>
            </w:r>
          </w:p>
        </w:tc>
        <w:tc>
          <w:tcPr>
            <w:tcW w:w="44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(5.8 )</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2.0</w:t>
            </w:r>
          </w:p>
        </w:tc>
      </w:tr>
      <w:tr>
        <w:trPr>
          <w:trHeight w:val="208"/>
        </w:trPr>
        <w:tc>
          <w:tcPr>
            <w:tcW w:w="64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Consolidated gross proft</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2,022.6</w:t>
            </w:r>
          </w:p>
        </w:tc>
        <w:tc>
          <w:tcPr>
            <w:tcW w:w="44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1,423.3</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1,348.4</w:t>
            </w:r>
          </w:p>
        </w:tc>
      </w:tr>
      <w:tr>
        <w:trPr>
          <w:trHeight w:val="28"/>
        </w:trPr>
        <w:tc>
          <w:tcPr>
            <w:tcW w:w="6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49"/>
        </w:trPr>
        <w:tc>
          <w:tcPr>
            <w:tcW w:w="6400" w:type="dxa"/>
            <w:vAlign w:val="bottom"/>
          </w:tcPr>
          <w:p>
            <w:pPr>
              <w:spacing w:after="0"/>
              <w:rPr>
                <w:sz w:val="20"/>
                <w:szCs w:val="20"/>
                <w:color w:val="auto"/>
              </w:rPr>
            </w:pPr>
            <w:r>
              <w:rPr>
                <w:rFonts w:ascii="Calibri" w:cs="Calibri" w:eastAsia="Calibri" w:hAnsi="Calibri"/>
                <w:sz w:val="18"/>
                <w:szCs w:val="18"/>
                <w:color w:val="auto"/>
              </w:rPr>
              <w:t>Domestc and foreign total revenues are as follows:</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1"/>
        </w:trPr>
        <w:tc>
          <w:tcPr>
            <w:tcW w:w="6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07"/>
        </w:trPr>
        <w:tc>
          <w:tcPr>
            <w:tcW w:w="6400" w:type="dxa"/>
            <w:vAlign w:val="bottom"/>
            <w:tcBorders>
              <w:right w:val="single" w:sz="8" w:color="007CBA"/>
            </w:tcBorders>
            <w:shd w:val="clear" w:color="auto" w:fill="007CBA"/>
          </w:tcPr>
          <w:p>
            <w:pPr>
              <w:ind w:left="120"/>
              <w:spacing w:after="0" w:line="207" w:lineRule="exact"/>
              <w:rPr>
                <w:sz w:val="20"/>
                <w:szCs w:val="20"/>
                <w:color w:val="auto"/>
              </w:rPr>
            </w:pPr>
            <w:r>
              <w:rPr>
                <w:rFonts w:ascii="Calibri" w:cs="Calibri" w:eastAsia="Calibri" w:hAnsi="Calibri"/>
                <w:sz w:val="18"/>
                <w:szCs w:val="18"/>
                <w:i w:val="1"/>
                <w:iCs w:val="1"/>
                <w:color w:val="FFFFFF"/>
              </w:rPr>
              <w:t>years ended December 31</w:t>
            </w:r>
          </w:p>
        </w:tc>
        <w:tc>
          <w:tcPr>
            <w:tcW w:w="48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60" w:type="dxa"/>
            <w:vAlign w:val="bottom"/>
            <w:tcBorders>
              <w:right w:val="single" w:sz="8" w:color="007CBA"/>
            </w:tcBorders>
            <w:shd w:val="clear" w:color="auto" w:fill="007CBA"/>
          </w:tcPr>
          <w:p>
            <w:pPr>
              <w:spacing w:after="0"/>
              <w:rPr>
                <w:sz w:val="18"/>
                <w:szCs w:val="18"/>
                <w:color w:val="auto"/>
              </w:rPr>
            </w:pPr>
          </w:p>
        </w:tc>
        <w:tc>
          <w:tcPr>
            <w:tcW w:w="460" w:type="dxa"/>
            <w:vAlign w:val="bottom"/>
            <w:shd w:val="clear" w:color="auto" w:fill="007CBA"/>
          </w:tcPr>
          <w:p>
            <w:pPr>
              <w:spacing w:after="0"/>
              <w:rPr>
                <w:sz w:val="18"/>
                <w:szCs w:val="18"/>
                <w:color w:val="auto"/>
              </w:rPr>
            </w:pPr>
          </w:p>
        </w:tc>
        <w:tc>
          <w:tcPr>
            <w:tcW w:w="1140" w:type="dxa"/>
            <w:vAlign w:val="bottom"/>
            <w:shd w:val="clear" w:color="auto" w:fill="007CBA"/>
          </w:tcPr>
          <w:p>
            <w:pPr>
              <w:spacing w:after="0"/>
              <w:rPr>
                <w:sz w:val="18"/>
                <w:szCs w:val="18"/>
                <w:color w:val="auto"/>
              </w:rPr>
            </w:pPr>
          </w:p>
        </w:tc>
      </w:tr>
      <w:tr>
        <w:trPr>
          <w:trHeight w:val="232"/>
        </w:trPr>
        <w:tc>
          <w:tcPr>
            <w:tcW w:w="640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48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30"/>
              <w:spacing w:after="0" w:line="215" w:lineRule="exact"/>
              <w:rPr>
                <w:sz w:val="20"/>
                <w:szCs w:val="20"/>
                <w:color w:val="auto"/>
              </w:rPr>
            </w:pPr>
            <w:r>
              <w:rPr>
                <w:rFonts w:ascii="Calibri" w:cs="Calibri" w:eastAsia="Calibri" w:hAnsi="Calibri"/>
                <w:sz w:val="18"/>
                <w:szCs w:val="18"/>
                <w:b w:val="1"/>
                <w:bCs w:val="1"/>
                <w:color w:val="FFFFFF"/>
              </w:rPr>
              <w:t>2023</w:t>
            </w:r>
          </w:p>
        </w:tc>
        <w:tc>
          <w:tcPr>
            <w:tcW w:w="440" w:type="dxa"/>
            <w:vAlign w:val="bottom"/>
            <w:tcBorders>
              <w:bottom w:val="single" w:sz="8" w:color="007CBA"/>
            </w:tcBorders>
            <w:shd w:val="clear" w:color="auto" w:fill="007CBA"/>
          </w:tcPr>
          <w:p>
            <w:pPr>
              <w:spacing w:after="0"/>
              <w:rPr>
                <w:sz w:val="20"/>
                <w:szCs w:val="20"/>
                <w:color w:val="auto"/>
              </w:rPr>
            </w:pPr>
          </w:p>
        </w:tc>
        <w:tc>
          <w:tcPr>
            <w:tcW w:w="1160" w:type="dxa"/>
            <w:vAlign w:val="bottom"/>
            <w:tcBorders>
              <w:bottom w:val="single" w:sz="8" w:color="007CBA"/>
              <w:right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2022</w:t>
            </w:r>
          </w:p>
        </w:tc>
        <w:tc>
          <w:tcPr>
            <w:tcW w:w="46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tcBorders>
            <w:shd w:val="clear" w:color="auto" w:fill="007CBA"/>
          </w:tcPr>
          <w:p>
            <w:pPr>
              <w:jc w:val="right"/>
              <w:ind w:right="510"/>
              <w:spacing w:after="0" w:line="215" w:lineRule="exact"/>
              <w:rPr>
                <w:sz w:val="20"/>
                <w:szCs w:val="20"/>
                <w:color w:val="auto"/>
              </w:rPr>
            </w:pPr>
            <w:r>
              <w:rPr>
                <w:rFonts w:ascii="Calibri" w:cs="Calibri" w:eastAsia="Calibri" w:hAnsi="Calibri"/>
                <w:sz w:val="18"/>
                <w:szCs w:val="18"/>
                <w:color w:val="FFFFFF"/>
              </w:rPr>
              <w:t>2021</w:t>
            </w:r>
          </w:p>
        </w:tc>
      </w:tr>
      <w:tr>
        <w:trPr>
          <w:trHeight w:val="243"/>
        </w:trPr>
        <w:tc>
          <w:tcPr>
            <w:tcW w:w="640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Domestc</w:t>
            </w:r>
          </w:p>
        </w:tc>
        <w:tc>
          <w:tcPr>
            <w:tcW w:w="480" w:type="dxa"/>
            <w:vAlign w:val="bottom"/>
          </w:tcPr>
          <w:p>
            <w:pPr>
              <w:jc w:val="right"/>
              <w:ind w:right="110"/>
              <w:spacing w:after="0" w:line="215"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6,707.2</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6,077.6</w:t>
            </w:r>
          </w:p>
        </w:tc>
        <w:tc>
          <w:tcPr>
            <w:tcW w:w="46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5,338.5</w:t>
            </w:r>
          </w:p>
        </w:tc>
      </w:tr>
      <w:tr>
        <w:trPr>
          <w:trHeight w:val="248"/>
        </w:trPr>
        <w:tc>
          <w:tcPr>
            <w:tcW w:w="640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Foreign</w:t>
            </w:r>
          </w:p>
        </w:tc>
        <w:tc>
          <w:tcPr>
            <w:tcW w:w="48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70.0</w:t>
            </w:r>
          </w:p>
        </w:tc>
        <w:tc>
          <w:tcPr>
            <w:tcW w:w="440" w:type="dxa"/>
            <w:vAlign w:val="bottom"/>
            <w:tcBorders>
              <w:bottom w:val="single" w:sz="8" w:color="E5F1F8"/>
            </w:tcBorders>
            <w:shd w:val="clear" w:color="auto" w:fill="E5F1F8"/>
          </w:tcPr>
          <w:p>
            <w:pPr>
              <w:spacing w:after="0"/>
              <w:rPr>
                <w:sz w:val="21"/>
                <w:szCs w:val="21"/>
                <w:color w:val="auto"/>
              </w:rPr>
            </w:pPr>
          </w:p>
        </w:tc>
        <w:tc>
          <w:tcPr>
            <w:tcW w:w="116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83.1</w:t>
            </w:r>
          </w:p>
        </w:tc>
        <w:tc>
          <w:tcPr>
            <w:tcW w:w="460" w:type="dxa"/>
            <w:vAlign w:val="bottom"/>
            <w:tcBorders>
              <w:bottom w:val="single" w:sz="8" w:color="E5F1F8"/>
            </w:tcBorders>
            <w:shd w:val="clear" w:color="auto" w:fill="E5F1F8"/>
          </w:tcPr>
          <w:p>
            <w:pPr>
              <w:spacing w:after="0"/>
              <w:rPr>
                <w:sz w:val="21"/>
                <w:szCs w:val="21"/>
                <w:color w:val="auto"/>
              </w:rPr>
            </w:pPr>
          </w:p>
        </w:tc>
        <w:tc>
          <w:tcPr>
            <w:tcW w:w="11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75.5</w:t>
            </w:r>
          </w:p>
        </w:tc>
      </w:tr>
      <w:tr>
        <w:trPr>
          <w:trHeight w:val="208"/>
        </w:trPr>
        <w:tc>
          <w:tcPr>
            <w:tcW w:w="6400" w:type="dxa"/>
            <w:vAlign w:val="bottom"/>
            <w:tcBorders>
              <w:top w:val="single" w:sz="8" w:color="auto"/>
            </w:tcBorders>
          </w:tcPr>
          <w:p>
            <w:pPr>
              <w:ind w:left="120"/>
              <w:spacing w:after="0" w:line="208" w:lineRule="exact"/>
              <w:rPr>
                <w:sz w:val="20"/>
                <w:szCs w:val="20"/>
                <w:color w:val="auto"/>
              </w:rPr>
            </w:pPr>
            <w:r>
              <w:rPr>
                <w:rFonts w:ascii="Calibri" w:cs="Calibri" w:eastAsia="Calibri" w:hAnsi="Calibri"/>
                <w:sz w:val="18"/>
                <w:szCs w:val="18"/>
                <w:color w:val="auto"/>
              </w:rPr>
              <w:t>Consolidated total revenues</w:t>
            </w:r>
          </w:p>
        </w:tc>
        <w:tc>
          <w:tcPr>
            <w:tcW w:w="48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b w:val="1"/>
                <w:bCs w:val="1"/>
                <w:color w:val="auto"/>
              </w:rPr>
              <w:t>$</w:t>
            </w:r>
          </w:p>
        </w:tc>
        <w:tc>
          <w:tcPr>
            <w:tcW w:w="116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b w:val="1"/>
                <w:bCs w:val="1"/>
                <w:color w:val="auto"/>
              </w:rPr>
              <w:t>6,777.2</w:t>
            </w:r>
          </w:p>
        </w:tc>
        <w:tc>
          <w:tcPr>
            <w:tcW w:w="440" w:type="dxa"/>
            <w:vAlign w:val="bottom"/>
            <w:tcBorders>
              <w:top w:val="single" w:sz="8" w:color="auto"/>
            </w:tcBorders>
          </w:tcPr>
          <w:p>
            <w:pPr>
              <w:jc w:val="right"/>
              <w:ind w:right="90"/>
              <w:spacing w:after="0" w:line="208" w:lineRule="exact"/>
              <w:rPr>
                <w:sz w:val="20"/>
                <w:szCs w:val="20"/>
                <w:color w:val="auto"/>
              </w:rPr>
            </w:pPr>
            <w:r>
              <w:rPr>
                <w:rFonts w:ascii="Calibri" w:cs="Calibri" w:eastAsia="Calibri" w:hAnsi="Calibri"/>
                <w:sz w:val="18"/>
                <w:szCs w:val="18"/>
                <w:color w:val="auto"/>
              </w:rPr>
              <w:t>$</w:t>
            </w:r>
          </w:p>
        </w:tc>
        <w:tc>
          <w:tcPr>
            <w:tcW w:w="11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6,160.7</w:t>
            </w:r>
          </w:p>
        </w:tc>
        <w:tc>
          <w:tcPr>
            <w:tcW w:w="460" w:type="dxa"/>
            <w:vAlign w:val="bottom"/>
            <w:tcBorders>
              <w:top w:val="single" w:sz="8" w:color="auto"/>
            </w:tcBorders>
          </w:tcPr>
          <w:p>
            <w:pPr>
              <w:jc w:val="right"/>
              <w:ind w:right="110"/>
              <w:spacing w:after="0" w:line="208" w:lineRule="exact"/>
              <w:rPr>
                <w:sz w:val="20"/>
                <w:szCs w:val="20"/>
                <w:color w:val="auto"/>
              </w:rPr>
            </w:pPr>
            <w:r>
              <w:rPr>
                <w:rFonts w:ascii="Calibri" w:cs="Calibri" w:eastAsia="Calibri" w:hAnsi="Calibri"/>
                <w:sz w:val="18"/>
                <w:szCs w:val="18"/>
                <w:color w:val="auto"/>
              </w:rPr>
              <w:t>$</w:t>
            </w:r>
          </w:p>
        </w:tc>
        <w:tc>
          <w:tcPr>
            <w:tcW w:w="11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5,414.0</w:t>
            </w:r>
          </w:p>
        </w:tc>
      </w:tr>
      <w:tr>
        <w:trPr>
          <w:trHeight w:val="28"/>
        </w:trPr>
        <w:tc>
          <w:tcPr>
            <w:tcW w:w="6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4038600</wp:posOffset>
            </wp:positionH>
            <wp:positionV relativeFrom="paragraph">
              <wp:posOffset>-3792220</wp:posOffset>
            </wp:positionV>
            <wp:extent cx="33655" cy="18859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0">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-3792220</wp:posOffset>
            </wp:positionV>
            <wp:extent cx="33655" cy="18859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1">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-3792220</wp:posOffset>
            </wp:positionV>
            <wp:extent cx="34290" cy="18859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2">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-3475355</wp:posOffset>
            </wp:positionV>
            <wp:extent cx="33655" cy="3683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3">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-3475355</wp:posOffset>
            </wp:positionV>
            <wp:extent cx="33655" cy="3683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4">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-3475355</wp:posOffset>
            </wp:positionV>
            <wp:extent cx="34290" cy="3683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5">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-1932305</wp:posOffset>
            </wp:positionV>
            <wp:extent cx="33655" cy="18796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6">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-1932305</wp:posOffset>
            </wp:positionV>
            <wp:extent cx="33655" cy="18796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7">
                      <a:extLst>
                        <a:ext uri="{28A0092B-C50C-407E-A947-70E740481C1C}"/>
                      </a:extLst>
                    </a:blip>
                    <a:srcRect/>
                    <a:stretch>
                      <a:fillRect/>
                    </a:stretch>
                  </pic:blipFill>
                  <pic:spPr bwMode="auto">
                    <a:xfrm>
                      <a:off x="0" y="0"/>
                      <a:ext cx="33655" cy="18796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-1932305</wp:posOffset>
            </wp:positionV>
            <wp:extent cx="34290" cy="18796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8">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-1461135</wp:posOffset>
            </wp:positionV>
            <wp:extent cx="33655" cy="3683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9">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-1461135</wp:posOffset>
            </wp:positionV>
            <wp:extent cx="33655" cy="3683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0">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-1461135</wp:posOffset>
            </wp:positionV>
            <wp:extent cx="34290" cy="3683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1">
                      <a:extLst>
                        <a:ext uri="{28A0092B-C50C-407E-A947-70E740481C1C}"/>
                      </a:extLst>
                    </a:blip>
                    <a:srcRect/>
                    <a:stretch>
                      <a:fillRect/>
                    </a:stretch>
                  </pic:blipFill>
                  <pic:spPr bwMode="auto">
                    <a:xfrm>
                      <a:off x="0" y="0"/>
                      <a:ext cx="34290" cy="368300"/>
                    </a:xfrm>
                    <a:prstGeom prst="rect">
                      <a:avLst/>
                    </a:prstGeom>
                    <a:noFill/>
                  </pic:spPr>
                </pic:pic>
              </a:graphicData>
            </a:graphic>
          </wp:anchor>
        </w:drawing>
        <w:drawing>
          <wp:anchor simplePos="0" relativeHeight="251657728" behindDoc="1" locked="0" layoutInCell="0" allowOverlap="1">
            <wp:simplePos x="0" y="0"/>
            <wp:positionH relativeFrom="column">
              <wp:posOffset>4038600</wp:posOffset>
            </wp:positionH>
            <wp:positionV relativeFrom="paragraph">
              <wp:posOffset>-354965</wp:posOffset>
            </wp:positionV>
            <wp:extent cx="33655" cy="3683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2">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5075555</wp:posOffset>
            </wp:positionH>
            <wp:positionV relativeFrom="paragraph">
              <wp:posOffset>-354965</wp:posOffset>
            </wp:positionV>
            <wp:extent cx="33655" cy="3683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3">
                      <a:extLst>
                        <a:ext uri="{28A0092B-C50C-407E-A947-70E740481C1C}"/>
                      </a:extLst>
                    </a:blip>
                    <a:srcRect/>
                    <a:stretch>
                      <a:fillRect/>
                    </a:stretch>
                  </pic:blipFill>
                  <pic:spPr bwMode="auto">
                    <a:xfrm>
                      <a:off x="0" y="0"/>
                      <a:ext cx="33655" cy="368300"/>
                    </a:xfrm>
                    <a:prstGeom prst="rect">
                      <a:avLst/>
                    </a:prstGeom>
                    <a:noFill/>
                  </pic:spPr>
                </pic:pic>
              </a:graphicData>
            </a:graphic>
          </wp:anchor>
        </w:drawing>
        <w:drawing>
          <wp:anchor simplePos="0" relativeHeight="251657728" behindDoc="1" locked="0" layoutInCell="0" allowOverlap="1">
            <wp:simplePos x="0" y="0"/>
            <wp:positionH relativeFrom="column">
              <wp:posOffset>6096000</wp:posOffset>
            </wp:positionH>
            <wp:positionV relativeFrom="paragraph">
              <wp:posOffset>-354965</wp:posOffset>
            </wp:positionV>
            <wp:extent cx="34290" cy="3683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4">
                      <a:extLst>
                        <a:ext uri="{28A0092B-C50C-407E-A947-70E740481C1C}"/>
                      </a:extLst>
                    </a:blip>
                    <a:srcRect/>
                    <a:stretch>
                      <a:fillRect/>
                    </a:stretch>
                  </pic:blipFill>
                  <pic:spPr bwMode="auto">
                    <a:xfrm>
                      <a:off x="0" y="0"/>
                      <a:ext cx="34290" cy="368300"/>
                    </a:xfrm>
                    <a:prstGeom prst="rect">
                      <a:avLst/>
                    </a:prstGeom>
                    <a:noFill/>
                  </pic:spPr>
                </pic:pic>
              </a:graphicData>
            </a:graphic>
          </wp:anchor>
        </w:drawing>
      </w:r>
    </w:p>
    <w:p>
      <w:pPr>
        <w:spacing w:after="0" w:line="17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Performance Obligatons. </w:t>
      </w:r>
      <w:r>
        <w:rPr>
          <w:rFonts w:ascii="Calibri" w:cs="Calibri" w:eastAsia="Calibri" w:hAnsi="Calibri"/>
          <w:sz w:val="18"/>
          <w:szCs w:val="18"/>
          <w:color w:val="000000"/>
        </w:rPr>
        <w:t>Performance obligatons are contractual promises to transfer or provide a distnct good or service for a stated price. The Company’s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product sales agreements are single-performance obligatons that are satsfed at a point in tme. Performance obligatons within paving service agreements are satsfed over tme, primarily ranging from one day to two years. Customer payment terms are generally 30 days from invoice date. Customer payments for the paving operatons are based on a contractual billing schedule and are due 30 days from invoice date.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Future revenues from unsatsfed performance obligatons at December 31, 2023, 2022 and 2021 were $250.5 million, $239.2 million and $153.9 million, respectvely, where the remaining periods to complete these obligatons ranged from one month to 22 months at December 31, 2023, two months to 34 months at December 31, 2022 and three months to 12 months at December 31, 2021.</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Service Revenues. </w:t>
      </w:r>
      <w:r>
        <w:rPr>
          <w:rFonts w:ascii="Calibri" w:cs="Calibri" w:eastAsia="Calibri" w:hAnsi="Calibri"/>
          <w:sz w:val="18"/>
          <w:szCs w:val="18"/>
          <w:color w:val="000000"/>
        </w:rPr>
        <w:t>Service revenues, which include paving operatons located in California and Colorado, were $410.7 million, $353.7 million and $259.1</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million for the years ended December 31, 2023, 2022 and 2021, respectvely.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229870</wp:posOffset>
            </wp:positionV>
            <wp:extent cx="325755" cy="1968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364"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0" w:name="page111"/>
    <w:bookmarkEnd w:id="110"/>
    <w:p>
      <w:pPr>
        <w:ind w:left="664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8 – Financial Statements and Supplementary Data</w:t>
      </w:r>
    </w:p>
    <w:p>
      <w:pPr>
        <w:spacing w:after="0" w:line="18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Contract Balances. </w:t>
      </w:r>
      <w:r>
        <w:rPr>
          <w:rFonts w:ascii="Calibri" w:cs="Calibri" w:eastAsia="Calibri" w:hAnsi="Calibri"/>
          <w:sz w:val="18"/>
          <w:szCs w:val="18"/>
          <w:color w:val="000000"/>
        </w:rPr>
        <w:t>Costs in excess of billings relate to the conditonal right to consideraton for completed contractual performance and are contract assets</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on the consolidated balance sheets. Costs in excess of billings are reclassifed to accounts receivable when the right to consideraton becomes unconditonal. Billings in excess of costs relate to customers invoiced in advance of contractual performance and are contract liabilites on the consolidated balance sheets. The following table presents informaton about the Company’s contract balances: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2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December 31</w:t>
            </w:r>
          </w:p>
        </w:tc>
        <w:tc>
          <w:tcPr>
            <w:tcW w:w="1660" w:type="dxa"/>
            <w:vAlign w:val="bottom"/>
            <w:shd w:val="clear" w:color="auto" w:fill="007CBA"/>
          </w:tcPr>
          <w:p>
            <w:pPr>
              <w:spacing w:after="0"/>
              <w:rPr>
                <w:sz w:val="20"/>
                <w:szCs w:val="20"/>
                <w:color w:val="auto"/>
              </w:rPr>
            </w:pPr>
          </w:p>
        </w:tc>
        <w:tc>
          <w:tcPr>
            <w:tcW w:w="680" w:type="dxa"/>
            <w:vAlign w:val="bottom"/>
            <w:tcBorders>
              <w:right w:val="single" w:sz="8" w:color="007CBA"/>
            </w:tcBorders>
            <w:shd w:val="clear" w:color="auto" w:fill="007CBA"/>
          </w:tcPr>
          <w:p>
            <w:pPr>
              <w:spacing w:after="0"/>
              <w:rPr>
                <w:sz w:val="20"/>
                <w:szCs w:val="20"/>
                <w:color w:val="auto"/>
              </w:rPr>
            </w:pPr>
          </w:p>
        </w:tc>
        <w:tc>
          <w:tcPr>
            <w:tcW w:w="680" w:type="dxa"/>
            <w:vAlign w:val="bottom"/>
            <w:shd w:val="clear" w:color="auto" w:fill="007CBA"/>
          </w:tcPr>
          <w:p>
            <w:pPr>
              <w:spacing w:after="0"/>
              <w:rPr>
                <w:sz w:val="20"/>
                <w:szCs w:val="20"/>
                <w:color w:val="auto"/>
              </w:rPr>
            </w:pPr>
          </w:p>
        </w:tc>
        <w:tc>
          <w:tcPr>
            <w:tcW w:w="1600" w:type="dxa"/>
            <w:vAlign w:val="bottom"/>
            <w:shd w:val="clear" w:color="auto" w:fill="007CBA"/>
          </w:tcPr>
          <w:p>
            <w:pPr>
              <w:spacing w:after="0"/>
              <w:rPr>
                <w:sz w:val="20"/>
                <w:szCs w:val="20"/>
                <w:color w:val="auto"/>
              </w:rPr>
            </w:pPr>
          </w:p>
        </w:tc>
      </w:tr>
      <w:tr>
        <w:trPr>
          <w:trHeight w:val="231"/>
        </w:trPr>
        <w:tc>
          <w:tcPr>
            <w:tcW w:w="662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660" w:type="dxa"/>
            <w:vAlign w:val="bottom"/>
            <w:tcBorders>
              <w:bottom w:val="single" w:sz="8" w:color="007CBA"/>
            </w:tcBorders>
            <w:shd w:val="clear" w:color="auto" w:fill="007CBA"/>
          </w:tcPr>
          <w:p>
            <w:pPr>
              <w:jc w:val="right"/>
              <w:ind w:right="150"/>
              <w:spacing w:after="0" w:line="215" w:lineRule="exact"/>
              <w:rPr>
                <w:sz w:val="20"/>
                <w:szCs w:val="20"/>
                <w:color w:val="auto"/>
              </w:rPr>
            </w:pPr>
            <w:r>
              <w:rPr>
                <w:rFonts w:ascii="Calibri" w:cs="Calibri" w:eastAsia="Calibri" w:hAnsi="Calibri"/>
                <w:sz w:val="18"/>
                <w:szCs w:val="18"/>
                <w:b w:val="1"/>
                <w:bCs w:val="1"/>
                <w:color w:val="FFFFFF"/>
              </w:rPr>
              <w:t>2023</w:t>
            </w:r>
          </w:p>
        </w:tc>
        <w:tc>
          <w:tcPr>
            <w:tcW w:w="680" w:type="dxa"/>
            <w:vAlign w:val="bottom"/>
            <w:tcBorders>
              <w:bottom w:val="single" w:sz="8" w:color="007CBA"/>
              <w:right w:val="single" w:sz="8" w:color="007CBA"/>
            </w:tcBorders>
            <w:shd w:val="clear" w:color="auto" w:fill="007CBA"/>
          </w:tcPr>
          <w:p>
            <w:pPr>
              <w:spacing w:after="0"/>
              <w:rPr>
                <w:sz w:val="20"/>
                <w:szCs w:val="20"/>
                <w:color w:val="auto"/>
              </w:rPr>
            </w:pPr>
          </w:p>
        </w:tc>
        <w:tc>
          <w:tcPr>
            <w:tcW w:w="680" w:type="dxa"/>
            <w:vAlign w:val="bottom"/>
            <w:tcBorders>
              <w:bottom w:val="single" w:sz="8" w:color="007CBA"/>
            </w:tcBorders>
            <w:shd w:val="clear" w:color="auto" w:fill="007CBA"/>
          </w:tcPr>
          <w:p>
            <w:pPr>
              <w:spacing w:after="0"/>
              <w:rPr>
                <w:sz w:val="20"/>
                <w:szCs w:val="20"/>
                <w:color w:val="auto"/>
              </w:rPr>
            </w:pPr>
          </w:p>
        </w:tc>
        <w:tc>
          <w:tcPr>
            <w:tcW w:w="1600" w:type="dxa"/>
            <w:vAlign w:val="bottom"/>
            <w:tcBorders>
              <w:bottom w:val="single" w:sz="8" w:color="007CBA"/>
            </w:tcBorders>
            <w:shd w:val="clear" w:color="auto" w:fill="007CBA"/>
          </w:tcPr>
          <w:p>
            <w:pPr>
              <w:jc w:val="right"/>
              <w:ind w:right="810"/>
              <w:spacing w:after="0" w:line="215" w:lineRule="exact"/>
              <w:rPr>
                <w:sz w:val="20"/>
                <w:szCs w:val="20"/>
                <w:color w:val="auto"/>
              </w:rPr>
            </w:pPr>
            <w:r>
              <w:rPr>
                <w:rFonts w:ascii="Calibri" w:cs="Calibri" w:eastAsia="Calibri" w:hAnsi="Calibri"/>
                <w:sz w:val="18"/>
                <w:szCs w:val="18"/>
                <w:color w:val="FFFFFF"/>
              </w:rPr>
              <w:t>2022</w:t>
            </w:r>
          </w:p>
        </w:tc>
      </w:tr>
      <w:tr>
        <w:trPr>
          <w:trHeight w:val="243"/>
        </w:trPr>
        <w:tc>
          <w:tcPr>
            <w:tcW w:w="662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Costs in excess of billings</w:t>
            </w:r>
          </w:p>
        </w:tc>
        <w:tc>
          <w:tcPr>
            <w:tcW w:w="1660" w:type="dxa"/>
            <w:vAlign w:val="bottom"/>
          </w:tcPr>
          <w:p>
            <w:pPr>
              <w:jc w:val="right"/>
              <w:ind w:right="1210"/>
              <w:spacing w:after="0" w:line="215" w:lineRule="exact"/>
              <w:rPr>
                <w:sz w:val="20"/>
                <w:szCs w:val="20"/>
                <w:color w:val="auto"/>
              </w:rPr>
            </w:pPr>
            <w:r>
              <w:rPr>
                <w:rFonts w:ascii="Calibri" w:cs="Calibri" w:eastAsia="Calibri" w:hAnsi="Calibri"/>
                <w:sz w:val="18"/>
                <w:szCs w:val="18"/>
                <w:b w:val="1"/>
                <w:bCs w:val="1"/>
                <w:color w:val="auto"/>
              </w:rPr>
              <w:t>$</w:t>
            </w:r>
          </w:p>
        </w:tc>
        <w:tc>
          <w:tcPr>
            <w:tcW w:w="6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5.3</w:t>
            </w:r>
          </w:p>
        </w:tc>
        <w:tc>
          <w:tcPr>
            <w:tcW w:w="680" w:type="dxa"/>
            <w:vAlign w:val="bottom"/>
          </w:tcPr>
          <w:p>
            <w:pPr>
              <w:jc w:val="right"/>
              <w:ind w:right="250"/>
              <w:spacing w:after="0" w:line="215" w:lineRule="exact"/>
              <w:rPr>
                <w:sz w:val="20"/>
                <w:szCs w:val="20"/>
                <w:color w:val="auto"/>
              </w:rPr>
            </w:pPr>
            <w:r>
              <w:rPr>
                <w:rFonts w:ascii="Calibri" w:cs="Calibri" w:eastAsia="Calibri" w:hAnsi="Calibri"/>
                <w:sz w:val="18"/>
                <w:szCs w:val="18"/>
                <w:color w:val="auto"/>
              </w:rPr>
              <w:t>$</w:t>
            </w:r>
          </w:p>
        </w:tc>
        <w:tc>
          <w:tcPr>
            <w:tcW w:w="16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5.1</w:t>
            </w:r>
          </w:p>
        </w:tc>
      </w:tr>
      <w:tr>
        <w:trPr>
          <w:trHeight w:val="223"/>
        </w:trPr>
        <w:tc>
          <w:tcPr>
            <w:tcW w:w="6620" w:type="dxa"/>
            <w:vAlign w:val="bottom"/>
            <w:tcBorders>
              <w:bottom w:val="single" w:sz="8" w:color="E5F1F8"/>
              <w:right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Billings in excess of costs</w:t>
            </w:r>
          </w:p>
        </w:tc>
        <w:tc>
          <w:tcPr>
            <w:tcW w:w="1660" w:type="dxa"/>
            <w:vAlign w:val="bottom"/>
            <w:tcBorders>
              <w:bottom w:val="single" w:sz="8" w:color="E5F1F8"/>
            </w:tcBorders>
            <w:shd w:val="clear" w:color="auto" w:fill="E5F1F8"/>
          </w:tcPr>
          <w:p>
            <w:pPr>
              <w:jc w:val="right"/>
              <w:ind w:right="1210"/>
              <w:spacing w:after="0" w:line="215" w:lineRule="exact"/>
              <w:rPr>
                <w:sz w:val="20"/>
                <w:szCs w:val="20"/>
                <w:color w:val="auto"/>
              </w:rPr>
            </w:pPr>
            <w:r>
              <w:rPr>
                <w:rFonts w:ascii="Calibri" w:cs="Calibri" w:eastAsia="Calibri" w:hAnsi="Calibri"/>
                <w:sz w:val="18"/>
                <w:szCs w:val="18"/>
                <w:b w:val="1"/>
                <w:bCs w:val="1"/>
                <w:color w:val="auto"/>
              </w:rPr>
              <w:t>$</w:t>
            </w:r>
          </w:p>
        </w:tc>
        <w:tc>
          <w:tcPr>
            <w:tcW w:w="68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10.3</w:t>
            </w:r>
          </w:p>
        </w:tc>
        <w:tc>
          <w:tcPr>
            <w:tcW w:w="680" w:type="dxa"/>
            <w:vAlign w:val="bottom"/>
            <w:tcBorders>
              <w:bottom w:val="single" w:sz="8" w:color="E5F1F8"/>
            </w:tcBorders>
            <w:shd w:val="clear" w:color="auto" w:fill="E5F1F8"/>
          </w:tcPr>
          <w:p>
            <w:pPr>
              <w:jc w:val="right"/>
              <w:ind w:right="250"/>
              <w:spacing w:after="0" w:line="215" w:lineRule="exact"/>
              <w:rPr>
                <w:sz w:val="20"/>
                <w:szCs w:val="20"/>
                <w:color w:val="auto"/>
              </w:rPr>
            </w:pPr>
            <w:r>
              <w:rPr>
                <w:rFonts w:ascii="Calibri" w:cs="Calibri" w:eastAsia="Calibri" w:hAnsi="Calibri"/>
                <w:sz w:val="18"/>
                <w:szCs w:val="18"/>
                <w:color w:val="auto"/>
              </w:rPr>
              <w:t>$</w:t>
            </w:r>
          </w:p>
        </w:tc>
        <w:tc>
          <w:tcPr>
            <w:tcW w:w="160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10.5</w:t>
            </w:r>
          </w:p>
        </w:tc>
      </w:tr>
      <w:tr>
        <w:trPr>
          <w:trHeight w:val="20"/>
        </w:trPr>
        <w:tc>
          <w:tcPr>
            <w:tcW w:w="662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-175260</wp:posOffset>
            </wp:positionV>
            <wp:extent cx="34290" cy="18796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7">
                      <a:extLst>
                        <a:ext uri="{28A0092B-C50C-407E-A947-70E740481C1C}"/>
                      </a:extLst>
                    </a:blip>
                    <a:srcRect/>
                    <a:stretch>
                      <a:fillRect/>
                    </a:stretch>
                  </pic:blipFill>
                  <pic:spPr bwMode="auto">
                    <a:xfrm>
                      <a:off x="0" y="0"/>
                      <a:ext cx="34290" cy="187960"/>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-175260</wp:posOffset>
            </wp:positionV>
            <wp:extent cx="33655" cy="18796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8">
                      <a:extLst>
                        <a:ext uri="{28A0092B-C50C-407E-A947-70E740481C1C}"/>
                      </a:extLst>
                    </a:blip>
                    <a:srcRect/>
                    <a:stretch>
                      <a:fillRect/>
                    </a:stretch>
                  </pic:blipFill>
                  <pic:spPr bwMode="auto">
                    <a:xfrm>
                      <a:off x="0" y="0"/>
                      <a:ext cx="33655" cy="187960"/>
                    </a:xfrm>
                    <a:prstGeom prst="rect">
                      <a:avLst/>
                    </a:prstGeom>
                    <a:noFill/>
                  </pic:spPr>
                </pic:pic>
              </a:graphicData>
            </a:graphic>
          </wp:anchor>
        </w:drawing>
      </w:r>
    </w:p>
    <w:p>
      <w:pPr>
        <w:spacing w:after="0" w:line="14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Revenues recognized from the beginning balance of contract liabilites for the years ended December 31, 2023 and 2022 were $10.3 million and $7.7 million, respectvely.</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4EAD8A"/>
        </w:rPr>
        <w:t xml:space="preserve">Retainage. </w:t>
      </w:r>
      <w:r>
        <w:rPr>
          <w:rFonts w:ascii="Calibri" w:cs="Calibri" w:eastAsia="Calibri" w:hAnsi="Calibri"/>
          <w:sz w:val="18"/>
          <w:szCs w:val="18"/>
          <w:color w:val="000000"/>
        </w:rPr>
        <w:t>Retainage, which primarily relates to the paving services, represents amounts that have been billed to customers but payment withheld untl fnal</w:t>
      </w:r>
      <w:r>
        <w:rPr>
          <w:rFonts w:ascii="Calibri" w:cs="Calibri" w:eastAsia="Calibri" w:hAnsi="Calibri"/>
          <w:sz w:val="18"/>
          <w:szCs w:val="18"/>
          <w:b w:val="1"/>
          <w:bCs w:val="1"/>
          <w:i w:val="1"/>
          <w:iCs w:val="1"/>
          <w:color w:val="4EAD8A"/>
        </w:rPr>
        <w:t xml:space="preserve"> </w:t>
      </w:r>
      <w:r>
        <w:rPr>
          <w:rFonts w:ascii="Calibri" w:cs="Calibri" w:eastAsia="Calibri" w:hAnsi="Calibri"/>
          <w:sz w:val="18"/>
          <w:szCs w:val="18"/>
          <w:color w:val="000000"/>
        </w:rPr>
        <w:t xml:space="preserve">acceptance of the performance obligaton by the customer. Included in </w:t>
      </w:r>
      <w:r>
        <w:rPr>
          <w:rFonts w:ascii="Calibri" w:cs="Calibri" w:eastAsia="Calibri" w:hAnsi="Calibri"/>
          <w:sz w:val="18"/>
          <w:szCs w:val="18"/>
          <w:i w:val="1"/>
          <w:iCs w:val="1"/>
          <w:color w:val="000000"/>
        </w:rPr>
        <w:t>Other current assets</w:t>
      </w:r>
      <w:r>
        <w:rPr>
          <w:rFonts w:ascii="Calibri" w:cs="Calibri" w:eastAsia="Calibri" w:hAnsi="Calibri"/>
          <w:sz w:val="18"/>
          <w:szCs w:val="18"/>
          <w:color w:val="000000"/>
        </w:rPr>
        <w:t xml:space="preserve"> on the Company’s consolidated balance sheets, retainage was $16.6 million and $13.4 million at December 31, 2023 and 2022, respectvely.</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Q: Supplemental Cash Flow Informaton</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Noncash investng and fnancing actvites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80" w:type="dxa"/>
            <w:vAlign w:val="bottom"/>
            <w:tcBorders>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i w:val="1"/>
                <w:iCs w:val="1"/>
                <w:color w:val="FFFFFF"/>
              </w:rPr>
              <w:t>years ended December 31</w:t>
            </w:r>
          </w:p>
        </w:tc>
        <w:tc>
          <w:tcPr>
            <w:tcW w:w="1040" w:type="dxa"/>
            <w:vAlign w:val="bottom"/>
            <w:shd w:val="clear" w:color="auto" w:fill="007CBA"/>
          </w:tcPr>
          <w:p>
            <w:pPr>
              <w:spacing w:after="0"/>
              <w:rPr>
                <w:sz w:val="20"/>
                <w:szCs w:val="20"/>
                <w:color w:val="auto"/>
              </w:rPr>
            </w:pPr>
          </w:p>
        </w:tc>
        <w:tc>
          <w:tcPr>
            <w:tcW w:w="580" w:type="dxa"/>
            <w:vAlign w:val="bottom"/>
            <w:tcBorders>
              <w:right w:val="single" w:sz="8" w:color="007CBA"/>
            </w:tcBorders>
            <w:shd w:val="clear" w:color="auto" w:fill="007CBA"/>
          </w:tcPr>
          <w:p>
            <w:pPr>
              <w:spacing w:after="0"/>
              <w:rPr>
                <w:sz w:val="20"/>
                <w:szCs w:val="20"/>
                <w:color w:val="auto"/>
              </w:rPr>
            </w:pPr>
          </w:p>
        </w:tc>
        <w:tc>
          <w:tcPr>
            <w:tcW w:w="440" w:type="dxa"/>
            <w:vAlign w:val="bottom"/>
            <w:shd w:val="clear" w:color="auto" w:fill="007CBA"/>
          </w:tcPr>
          <w:p>
            <w:pPr>
              <w:spacing w:after="0"/>
              <w:rPr>
                <w:sz w:val="20"/>
                <w:szCs w:val="20"/>
                <w:color w:val="auto"/>
              </w:rPr>
            </w:pPr>
          </w:p>
        </w:tc>
        <w:tc>
          <w:tcPr>
            <w:tcW w:w="1140" w:type="dxa"/>
            <w:vAlign w:val="bottom"/>
            <w:tcBorders>
              <w:right w:val="single" w:sz="8" w:color="007CBA"/>
            </w:tcBorders>
            <w:shd w:val="clear" w:color="auto" w:fill="007CBA"/>
          </w:tcPr>
          <w:p>
            <w:pPr>
              <w:spacing w:after="0"/>
              <w:rPr>
                <w:sz w:val="20"/>
                <w:szCs w:val="20"/>
                <w:color w:val="auto"/>
              </w:rPr>
            </w:pPr>
          </w:p>
        </w:tc>
        <w:tc>
          <w:tcPr>
            <w:tcW w:w="440" w:type="dxa"/>
            <w:vAlign w:val="bottom"/>
            <w:shd w:val="clear" w:color="auto" w:fill="007CBA"/>
          </w:tcPr>
          <w:p>
            <w:pPr>
              <w:spacing w:after="0"/>
              <w:rPr>
                <w:sz w:val="20"/>
                <w:szCs w:val="20"/>
                <w:color w:val="auto"/>
              </w:rPr>
            </w:pPr>
          </w:p>
        </w:tc>
        <w:tc>
          <w:tcPr>
            <w:tcW w:w="1120" w:type="dxa"/>
            <w:vAlign w:val="bottom"/>
            <w:shd w:val="clear" w:color="auto" w:fill="007CBA"/>
          </w:tcPr>
          <w:p>
            <w:pPr>
              <w:spacing w:after="0"/>
              <w:rPr>
                <w:sz w:val="20"/>
                <w:szCs w:val="20"/>
                <w:color w:val="auto"/>
              </w:rPr>
            </w:pPr>
          </w:p>
        </w:tc>
      </w:tr>
      <w:tr>
        <w:trPr>
          <w:trHeight w:val="231"/>
        </w:trPr>
        <w:tc>
          <w:tcPr>
            <w:tcW w:w="6480" w:type="dxa"/>
            <w:vAlign w:val="bottom"/>
            <w:tcBorders>
              <w:bottom w:val="single" w:sz="8" w:color="007CBA"/>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color w:val="FFFFFF"/>
              </w:rPr>
              <w:t>(in millions)</w:t>
            </w:r>
          </w:p>
        </w:tc>
        <w:tc>
          <w:tcPr>
            <w:tcW w:w="1040" w:type="dxa"/>
            <w:vAlign w:val="bottom"/>
            <w:tcBorders>
              <w:bottom w:val="single" w:sz="8" w:color="007CBA"/>
            </w:tcBorders>
            <w:shd w:val="clear" w:color="auto" w:fill="007CBA"/>
          </w:tcPr>
          <w:p>
            <w:pPr>
              <w:jc w:val="right"/>
              <w:spacing w:after="0" w:line="215" w:lineRule="exact"/>
              <w:rPr>
                <w:sz w:val="20"/>
                <w:szCs w:val="20"/>
                <w:color w:val="auto"/>
              </w:rPr>
            </w:pPr>
            <w:r>
              <w:rPr>
                <w:rFonts w:ascii="Calibri" w:cs="Calibri" w:eastAsia="Calibri" w:hAnsi="Calibri"/>
                <w:sz w:val="18"/>
                <w:szCs w:val="18"/>
                <w:b w:val="1"/>
                <w:bCs w:val="1"/>
                <w:color w:val="FFFFFF"/>
              </w:rPr>
              <w:t>2023</w:t>
            </w:r>
          </w:p>
        </w:tc>
        <w:tc>
          <w:tcPr>
            <w:tcW w:w="580" w:type="dxa"/>
            <w:vAlign w:val="bottom"/>
            <w:tcBorders>
              <w:bottom w:val="single" w:sz="8" w:color="007CBA"/>
              <w:right w:val="single" w:sz="8" w:color="007CBA"/>
            </w:tcBorders>
            <w:shd w:val="clear" w:color="auto" w:fill="007CBA"/>
          </w:tcPr>
          <w:p>
            <w:pPr>
              <w:spacing w:after="0"/>
              <w:rPr>
                <w:sz w:val="20"/>
                <w:szCs w:val="20"/>
                <w:color w:val="auto"/>
              </w:rPr>
            </w:pPr>
          </w:p>
        </w:tc>
        <w:tc>
          <w:tcPr>
            <w:tcW w:w="440" w:type="dxa"/>
            <w:vAlign w:val="bottom"/>
            <w:tcBorders>
              <w:bottom w:val="single" w:sz="8" w:color="007CBA"/>
            </w:tcBorders>
            <w:shd w:val="clear" w:color="auto" w:fill="007CBA"/>
          </w:tcPr>
          <w:p>
            <w:pPr>
              <w:spacing w:after="0"/>
              <w:rPr>
                <w:sz w:val="20"/>
                <w:szCs w:val="20"/>
                <w:color w:val="auto"/>
              </w:rPr>
            </w:pPr>
          </w:p>
        </w:tc>
        <w:tc>
          <w:tcPr>
            <w:tcW w:w="1140" w:type="dxa"/>
            <w:vAlign w:val="bottom"/>
            <w:tcBorders>
              <w:bottom w:val="single" w:sz="8" w:color="007CBA"/>
              <w:right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2022</w:t>
            </w:r>
          </w:p>
        </w:tc>
        <w:tc>
          <w:tcPr>
            <w:tcW w:w="440" w:type="dxa"/>
            <w:vAlign w:val="bottom"/>
            <w:tcBorders>
              <w:bottom w:val="single" w:sz="8" w:color="007CBA"/>
            </w:tcBorders>
            <w:shd w:val="clear" w:color="auto" w:fill="007CBA"/>
          </w:tcPr>
          <w:p>
            <w:pPr>
              <w:spacing w:after="0"/>
              <w:rPr>
                <w:sz w:val="20"/>
                <w:szCs w:val="20"/>
                <w:color w:val="auto"/>
              </w:rPr>
            </w:pPr>
          </w:p>
        </w:tc>
        <w:tc>
          <w:tcPr>
            <w:tcW w:w="1120" w:type="dxa"/>
            <w:vAlign w:val="bottom"/>
            <w:tcBorders>
              <w:bottom w:val="single" w:sz="8" w:color="007CBA"/>
            </w:tcBorders>
            <w:shd w:val="clear" w:color="auto" w:fill="007CBA"/>
          </w:tcPr>
          <w:p>
            <w:pPr>
              <w:jc w:val="right"/>
              <w:ind w:right="490"/>
              <w:spacing w:after="0" w:line="215" w:lineRule="exact"/>
              <w:rPr>
                <w:sz w:val="20"/>
                <w:szCs w:val="20"/>
                <w:color w:val="auto"/>
              </w:rPr>
            </w:pPr>
            <w:r>
              <w:rPr>
                <w:rFonts w:ascii="Calibri" w:cs="Calibri" w:eastAsia="Calibri" w:hAnsi="Calibri"/>
                <w:sz w:val="18"/>
                <w:szCs w:val="18"/>
                <w:color w:val="FFFFFF"/>
              </w:rPr>
              <w:t>2021</w:t>
            </w:r>
          </w:p>
        </w:tc>
      </w:tr>
      <w:tr>
        <w:trPr>
          <w:trHeight w:val="215"/>
        </w:trPr>
        <w:tc>
          <w:tcPr>
            <w:tcW w:w="64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Accrued liabilites for purchases of property, plant and equipment</w:t>
            </w:r>
          </w:p>
        </w:tc>
        <w:tc>
          <w:tcPr>
            <w:tcW w:w="1040" w:type="dxa"/>
            <w:vAlign w:val="bottom"/>
          </w:tcPr>
          <w:p>
            <w:pPr>
              <w:jc w:val="right"/>
              <w:ind w:right="69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128.4</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152.4</w:t>
            </w:r>
          </w:p>
        </w:tc>
        <w:tc>
          <w:tcPr>
            <w:tcW w:w="44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92.4</w:t>
            </w:r>
          </w:p>
        </w:tc>
      </w:tr>
      <w:tr>
        <w:trPr>
          <w:trHeight w:val="28"/>
        </w:trPr>
        <w:tc>
          <w:tcPr>
            <w:tcW w:w="6480" w:type="dxa"/>
            <w:vAlign w:val="bottom"/>
            <w:tcBorders>
              <w:right w:val="single" w:sz="8" w:color="007CBA"/>
            </w:tcBorders>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7"/>
        </w:trPr>
        <w:tc>
          <w:tcPr>
            <w:tcW w:w="6480" w:type="dxa"/>
            <w:vAlign w:val="bottom"/>
            <w:tcBorders>
              <w:right w:val="single" w:sz="8" w:color="007CBA"/>
            </w:tcBorders>
            <w:shd w:val="clear" w:color="auto" w:fill="E5F1F8"/>
          </w:tcPr>
          <w:p>
            <w:pPr>
              <w:ind w:left="120"/>
              <w:spacing w:after="0" w:line="207" w:lineRule="exact"/>
              <w:rPr>
                <w:sz w:val="20"/>
                <w:szCs w:val="20"/>
                <w:color w:val="auto"/>
              </w:rPr>
            </w:pPr>
            <w:r>
              <w:rPr>
                <w:rFonts w:ascii="Calibri" w:cs="Calibri" w:eastAsia="Calibri" w:hAnsi="Calibri"/>
                <w:sz w:val="18"/>
                <w:szCs w:val="18"/>
                <w:color w:val="auto"/>
              </w:rPr>
              <w:t>Right-of-use assets obtained in exchange for new operatng lease</w:t>
            </w:r>
          </w:p>
        </w:tc>
        <w:tc>
          <w:tcPr>
            <w:tcW w:w="1040" w:type="dxa"/>
            <w:vAlign w:val="bottom"/>
            <w:shd w:val="clear" w:color="auto" w:fill="E5F1F8"/>
          </w:tcPr>
          <w:p>
            <w:pPr>
              <w:spacing w:after="0"/>
              <w:rPr>
                <w:sz w:val="18"/>
                <w:szCs w:val="18"/>
                <w:color w:val="auto"/>
              </w:rPr>
            </w:pPr>
          </w:p>
        </w:tc>
        <w:tc>
          <w:tcPr>
            <w:tcW w:w="580" w:type="dxa"/>
            <w:vAlign w:val="bottom"/>
            <w:tcBorders>
              <w:right w:val="single" w:sz="8" w:color="007CBA"/>
            </w:tcBorders>
            <w:shd w:val="clear" w:color="auto" w:fill="E5F1F8"/>
          </w:tcPr>
          <w:p>
            <w:pPr>
              <w:spacing w:after="0"/>
              <w:rPr>
                <w:sz w:val="18"/>
                <w:szCs w:val="18"/>
                <w:color w:val="auto"/>
              </w:rPr>
            </w:pPr>
          </w:p>
        </w:tc>
        <w:tc>
          <w:tcPr>
            <w:tcW w:w="440" w:type="dxa"/>
            <w:vAlign w:val="bottom"/>
            <w:shd w:val="clear" w:color="auto" w:fill="E5F1F8"/>
          </w:tcPr>
          <w:p>
            <w:pPr>
              <w:spacing w:after="0"/>
              <w:rPr>
                <w:sz w:val="18"/>
                <w:szCs w:val="18"/>
                <w:color w:val="auto"/>
              </w:rPr>
            </w:pPr>
          </w:p>
        </w:tc>
        <w:tc>
          <w:tcPr>
            <w:tcW w:w="1140" w:type="dxa"/>
            <w:vAlign w:val="bottom"/>
            <w:tcBorders>
              <w:right w:val="single" w:sz="8" w:color="007CBA"/>
            </w:tcBorders>
            <w:shd w:val="clear" w:color="auto" w:fill="E5F1F8"/>
          </w:tcPr>
          <w:p>
            <w:pPr>
              <w:spacing w:after="0"/>
              <w:rPr>
                <w:sz w:val="18"/>
                <w:szCs w:val="18"/>
                <w:color w:val="auto"/>
              </w:rPr>
            </w:pPr>
          </w:p>
        </w:tc>
        <w:tc>
          <w:tcPr>
            <w:tcW w:w="440" w:type="dxa"/>
            <w:vAlign w:val="bottom"/>
            <w:shd w:val="clear" w:color="auto" w:fill="E5F1F8"/>
          </w:tcPr>
          <w:p>
            <w:pPr>
              <w:spacing w:after="0"/>
              <w:rPr>
                <w:sz w:val="18"/>
                <w:szCs w:val="18"/>
                <w:color w:val="auto"/>
              </w:rPr>
            </w:pPr>
          </w:p>
        </w:tc>
        <w:tc>
          <w:tcPr>
            <w:tcW w:w="1120" w:type="dxa"/>
            <w:vAlign w:val="bottom"/>
            <w:shd w:val="clear" w:color="auto" w:fill="E5F1F8"/>
          </w:tcPr>
          <w:p>
            <w:pPr>
              <w:spacing w:after="0"/>
              <w:rPr>
                <w:sz w:val="18"/>
                <w:szCs w:val="18"/>
                <w:color w:val="auto"/>
              </w:rPr>
            </w:pPr>
          </w:p>
        </w:tc>
      </w:tr>
      <w:tr>
        <w:trPr>
          <w:trHeight w:val="232"/>
        </w:trPr>
        <w:tc>
          <w:tcPr>
            <w:tcW w:w="6480" w:type="dxa"/>
            <w:vAlign w:val="bottom"/>
            <w:tcBorders>
              <w:bottom w:val="single" w:sz="8" w:color="E5F1F8"/>
              <w:right w:val="single" w:sz="8" w:color="007CBA"/>
            </w:tcBorders>
            <w:shd w:val="clear" w:color="auto" w:fill="E5F1F8"/>
          </w:tcPr>
          <w:p>
            <w:pPr>
              <w:ind w:left="240"/>
              <w:spacing w:after="0" w:line="215" w:lineRule="exact"/>
              <w:rPr>
                <w:sz w:val="20"/>
                <w:szCs w:val="20"/>
                <w:color w:val="auto"/>
              </w:rPr>
            </w:pPr>
            <w:r>
              <w:rPr>
                <w:rFonts w:ascii="Calibri" w:cs="Calibri" w:eastAsia="Calibri" w:hAnsi="Calibri"/>
                <w:sz w:val="18"/>
                <w:szCs w:val="18"/>
                <w:color w:val="auto"/>
              </w:rPr>
              <w:t>liabilites</w:t>
            </w:r>
          </w:p>
        </w:tc>
        <w:tc>
          <w:tcPr>
            <w:tcW w:w="1040" w:type="dxa"/>
            <w:vAlign w:val="bottom"/>
            <w:tcBorders>
              <w:bottom w:val="single" w:sz="8" w:color="E5F1F8"/>
            </w:tcBorders>
            <w:shd w:val="clear" w:color="auto" w:fill="E5F1F8"/>
          </w:tcPr>
          <w:p>
            <w:pPr>
              <w:jc w:val="right"/>
              <w:ind w:right="69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63.4</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27.2</w:t>
            </w:r>
          </w:p>
        </w:tc>
        <w:tc>
          <w:tcPr>
            <w:tcW w:w="44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65.6</w:t>
            </w:r>
          </w:p>
        </w:tc>
      </w:tr>
      <w:tr>
        <w:trPr>
          <w:trHeight w:val="207"/>
        </w:trPr>
        <w:tc>
          <w:tcPr>
            <w:tcW w:w="6480" w:type="dxa"/>
            <w:vAlign w:val="bottom"/>
            <w:tcBorders>
              <w:right w:val="single" w:sz="8" w:color="007CBA"/>
            </w:tcBorders>
          </w:tcPr>
          <w:p>
            <w:pPr>
              <w:ind w:left="120"/>
              <w:spacing w:after="0" w:line="207" w:lineRule="exact"/>
              <w:rPr>
                <w:sz w:val="20"/>
                <w:szCs w:val="20"/>
                <w:color w:val="auto"/>
              </w:rPr>
            </w:pPr>
            <w:r>
              <w:rPr>
                <w:rFonts w:ascii="Calibri" w:cs="Calibri" w:eastAsia="Calibri" w:hAnsi="Calibri"/>
                <w:sz w:val="18"/>
                <w:szCs w:val="18"/>
                <w:color w:val="auto"/>
              </w:rPr>
              <w:t>Right-of-use assets obtained in exchange for new fnance lease</w:t>
            </w:r>
          </w:p>
        </w:tc>
        <w:tc>
          <w:tcPr>
            <w:tcW w:w="1040" w:type="dxa"/>
            <w:vAlign w:val="bottom"/>
          </w:tcPr>
          <w:p>
            <w:pPr>
              <w:spacing w:after="0"/>
              <w:rPr>
                <w:sz w:val="18"/>
                <w:szCs w:val="18"/>
                <w:color w:val="auto"/>
              </w:rPr>
            </w:pPr>
          </w:p>
        </w:tc>
        <w:tc>
          <w:tcPr>
            <w:tcW w:w="58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6480" w:type="dxa"/>
            <w:vAlign w:val="bottom"/>
            <w:tcBorders>
              <w:right w:val="single" w:sz="8" w:color="007CBA"/>
            </w:tcBorders>
          </w:tcPr>
          <w:p>
            <w:pPr>
              <w:ind w:left="240"/>
              <w:spacing w:after="0" w:line="215" w:lineRule="exact"/>
              <w:rPr>
                <w:sz w:val="20"/>
                <w:szCs w:val="20"/>
                <w:color w:val="auto"/>
              </w:rPr>
            </w:pPr>
            <w:r>
              <w:rPr>
                <w:rFonts w:ascii="Calibri" w:cs="Calibri" w:eastAsia="Calibri" w:hAnsi="Calibri"/>
                <w:sz w:val="18"/>
                <w:szCs w:val="18"/>
                <w:color w:val="auto"/>
              </w:rPr>
              <w:t>liabilites</w:t>
            </w:r>
          </w:p>
        </w:tc>
        <w:tc>
          <w:tcPr>
            <w:tcW w:w="1040" w:type="dxa"/>
            <w:vAlign w:val="bottom"/>
          </w:tcPr>
          <w:p>
            <w:pPr>
              <w:jc w:val="right"/>
              <w:ind w:right="69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21.9</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11.7</w:t>
            </w:r>
          </w:p>
        </w:tc>
        <w:tc>
          <w:tcPr>
            <w:tcW w:w="44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202.3</w:t>
            </w:r>
          </w:p>
        </w:tc>
      </w:tr>
      <w:tr>
        <w:trPr>
          <w:trHeight w:val="37"/>
        </w:trPr>
        <w:tc>
          <w:tcPr>
            <w:tcW w:w="6480" w:type="dxa"/>
            <w:vAlign w:val="bottom"/>
            <w:tcBorders>
              <w:right w:val="single" w:sz="8" w:color="007CBA"/>
            </w:tcBorders>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Borders>
              <w:right w:val="single" w:sz="8" w:color="007CBA"/>
            </w:tcBorders>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Borders>
              <w:right w:val="single" w:sz="8" w:color="007CBA"/>
            </w:tcBorders>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64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Remeasurement of operatng lease right-of-use assets</w:t>
            </w:r>
          </w:p>
        </w:tc>
        <w:tc>
          <w:tcPr>
            <w:tcW w:w="1040" w:type="dxa"/>
            <w:vAlign w:val="bottom"/>
            <w:tcBorders>
              <w:bottom w:val="single" w:sz="8" w:color="E5F1F8"/>
            </w:tcBorders>
            <w:shd w:val="clear" w:color="auto" w:fill="E5F1F8"/>
          </w:tcPr>
          <w:p>
            <w:pPr>
              <w:jc w:val="right"/>
              <w:ind w:right="69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10.3</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007CBA"/>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(2.9 )</w:t>
            </w:r>
          </w:p>
        </w:tc>
        <w:tc>
          <w:tcPr>
            <w:tcW w:w="44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color w:val="auto"/>
              </w:rPr>
              <w:t>(12.8 )</w:t>
            </w:r>
          </w:p>
        </w:tc>
      </w:tr>
      <w:tr>
        <w:trPr>
          <w:trHeight w:val="215"/>
        </w:trPr>
        <w:tc>
          <w:tcPr>
            <w:tcW w:w="64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Remeasurement of fnance lease right-of-use assets</w:t>
            </w:r>
          </w:p>
        </w:tc>
        <w:tc>
          <w:tcPr>
            <w:tcW w:w="1040" w:type="dxa"/>
            <w:vAlign w:val="bottom"/>
          </w:tcPr>
          <w:p>
            <w:pPr>
              <w:jc w:val="right"/>
              <w:ind w:right="69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spacing w:after="0" w:line="215" w:lineRule="exact"/>
              <w:rPr>
                <w:sz w:val="20"/>
                <w:szCs w:val="20"/>
                <w:color w:val="auto"/>
              </w:rPr>
            </w:pPr>
            <w:r>
              <w:rPr>
                <w:rFonts w:ascii="Calibri" w:cs="Calibri" w:eastAsia="Calibri" w:hAnsi="Calibri"/>
                <w:sz w:val="18"/>
                <w:szCs w:val="18"/>
                <w:color w:val="auto"/>
              </w:rPr>
              <w:t>(12.6 )</w:t>
            </w:r>
          </w:p>
        </w:tc>
        <w:tc>
          <w:tcPr>
            <w:tcW w:w="44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6480" w:type="dxa"/>
            <w:vAlign w:val="bottom"/>
            <w:tcBorders>
              <w:right w:val="single" w:sz="8" w:color="007CBA"/>
            </w:tcBorders>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64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Acquisiton of assets through asset exchange</w:t>
            </w:r>
          </w:p>
        </w:tc>
        <w:tc>
          <w:tcPr>
            <w:tcW w:w="1040" w:type="dxa"/>
            <w:vAlign w:val="bottom"/>
            <w:tcBorders>
              <w:bottom w:val="single" w:sz="8" w:color="E5F1F8"/>
            </w:tcBorders>
            <w:shd w:val="clear" w:color="auto" w:fill="E5F1F8"/>
          </w:tcPr>
          <w:p>
            <w:pPr>
              <w:jc w:val="right"/>
              <w:ind w:right="69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5.2</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07"/>
        </w:trPr>
        <w:tc>
          <w:tcPr>
            <w:tcW w:w="6480" w:type="dxa"/>
            <w:vAlign w:val="bottom"/>
          </w:tcPr>
          <w:p>
            <w:pPr>
              <w:ind w:left="120"/>
              <w:spacing w:after="0" w:line="207" w:lineRule="exact"/>
              <w:rPr>
                <w:sz w:val="20"/>
                <w:szCs w:val="20"/>
                <w:color w:val="auto"/>
              </w:rPr>
            </w:pPr>
            <w:r>
              <w:rPr>
                <w:rFonts w:ascii="Calibri" w:cs="Calibri" w:eastAsia="Calibri" w:hAnsi="Calibri"/>
                <w:sz w:val="18"/>
                <w:szCs w:val="18"/>
                <w:color w:val="auto"/>
              </w:rPr>
              <w:t>Accounts payable relieved in connecton with sale of property, plant</w:t>
            </w: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6480" w:type="dxa"/>
            <w:vAlign w:val="bottom"/>
          </w:tcPr>
          <w:p>
            <w:pPr>
              <w:ind w:left="240"/>
              <w:spacing w:after="0" w:line="215" w:lineRule="exact"/>
              <w:rPr>
                <w:sz w:val="20"/>
                <w:szCs w:val="20"/>
                <w:color w:val="auto"/>
              </w:rPr>
            </w:pPr>
            <w:r>
              <w:rPr>
                <w:rFonts w:ascii="Calibri" w:cs="Calibri" w:eastAsia="Calibri" w:hAnsi="Calibri"/>
                <w:sz w:val="18"/>
                <w:szCs w:val="18"/>
                <w:color w:val="auto"/>
              </w:rPr>
              <w:t>and equipment</w:t>
            </w:r>
          </w:p>
        </w:tc>
        <w:tc>
          <w:tcPr>
            <w:tcW w:w="1040" w:type="dxa"/>
            <w:vAlign w:val="bottom"/>
          </w:tcPr>
          <w:p>
            <w:pPr>
              <w:jc w:val="right"/>
              <w:ind w:right="69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0.7</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44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37"/>
        </w:trPr>
        <w:tc>
          <w:tcPr>
            <w:tcW w:w="6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362"/>
        </w:trPr>
        <w:tc>
          <w:tcPr>
            <w:tcW w:w="6480" w:type="dxa"/>
            <w:vAlign w:val="bottom"/>
          </w:tcPr>
          <w:p>
            <w:pPr>
              <w:spacing w:after="0"/>
              <w:rPr>
                <w:sz w:val="20"/>
                <w:szCs w:val="20"/>
                <w:color w:val="auto"/>
              </w:rPr>
            </w:pPr>
            <w:r>
              <w:rPr>
                <w:rFonts w:ascii="Calibri" w:cs="Calibri" w:eastAsia="Calibri" w:hAnsi="Calibri"/>
                <w:sz w:val="18"/>
                <w:szCs w:val="18"/>
                <w:color w:val="auto"/>
              </w:rPr>
              <w:t>Supplemental disclosures of cash fow informaton are as follows:</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2"/>
        </w:trPr>
        <w:tc>
          <w:tcPr>
            <w:tcW w:w="64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15"/>
        </w:trPr>
        <w:tc>
          <w:tcPr>
            <w:tcW w:w="6480" w:type="dxa"/>
            <w:vAlign w:val="bottom"/>
            <w:tcBorders>
              <w:right w:val="single" w:sz="8" w:color="007CBA"/>
            </w:tcBorders>
            <w:shd w:val="clear" w:color="auto" w:fill="007CBA"/>
          </w:tcPr>
          <w:p>
            <w:pPr>
              <w:ind w:left="120"/>
              <w:spacing w:after="0" w:line="215" w:lineRule="exact"/>
              <w:rPr>
                <w:sz w:val="20"/>
                <w:szCs w:val="20"/>
                <w:color w:val="auto"/>
              </w:rPr>
            </w:pPr>
            <w:r>
              <w:rPr>
                <w:rFonts w:ascii="Calibri" w:cs="Calibri" w:eastAsia="Calibri" w:hAnsi="Calibri"/>
                <w:sz w:val="18"/>
                <w:szCs w:val="18"/>
                <w:i w:val="1"/>
                <w:iCs w:val="1"/>
                <w:color w:val="FFFFFF"/>
              </w:rPr>
              <w:t>years ended December 31</w:t>
            </w:r>
          </w:p>
        </w:tc>
        <w:tc>
          <w:tcPr>
            <w:tcW w:w="1040" w:type="dxa"/>
            <w:vAlign w:val="bottom"/>
            <w:shd w:val="clear" w:color="auto" w:fill="007CBA"/>
          </w:tcPr>
          <w:p>
            <w:pPr>
              <w:spacing w:after="0"/>
              <w:rPr>
                <w:sz w:val="18"/>
                <w:szCs w:val="18"/>
                <w:color w:val="auto"/>
              </w:rPr>
            </w:pPr>
          </w:p>
        </w:tc>
        <w:tc>
          <w:tcPr>
            <w:tcW w:w="58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40" w:type="dxa"/>
            <w:vAlign w:val="bottom"/>
            <w:tcBorders>
              <w:right w:val="single" w:sz="8" w:color="007CBA"/>
            </w:tcBorders>
            <w:shd w:val="clear" w:color="auto" w:fill="007CBA"/>
          </w:tcPr>
          <w:p>
            <w:pPr>
              <w:spacing w:after="0"/>
              <w:rPr>
                <w:sz w:val="18"/>
                <w:szCs w:val="18"/>
                <w:color w:val="auto"/>
              </w:rPr>
            </w:pPr>
          </w:p>
        </w:tc>
        <w:tc>
          <w:tcPr>
            <w:tcW w:w="440" w:type="dxa"/>
            <w:vAlign w:val="bottom"/>
            <w:shd w:val="clear" w:color="auto" w:fill="007CBA"/>
          </w:tcPr>
          <w:p>
            <w:pPr>
              <w:spacing w:after="0"/>
              <w:rPr>
                <w:sz w:val="18"/>
                <w:szCs w:val="18"/>
                <w:color w:val="auto"/>
              </w:rPr>
            </w:pPr>
          </w:p>
        </w:tc>
        <w:tc>
          <w:tcPr>
            <w:tcW w:w="1120" w:type="dxa"/>
            <w:vAlign w:val="bottom"/>
            <w:shd w:val="clear" w:color="auto" w:fill="007CBA"/>
          </w:tcPr>
          <w:p>
            <w:pPr>
              <w:spacing w:after="0"/>
              <w:rPr>
                <w:sz w:val="18"/>
                <w:szCs w:val="18"/>
                <w:color w:val="auto"/>
              </w:rPr>
            </w:pPr>
          </w:p>
        </w:tc>
      </w:tr>
      <w:tr>
        <w:trPr>
          <w:trHeight w:val="251"/>
        </w:trPr>
        <w:tc>
          <w:tcPr>
            <w:tcW w:w="6480" w:type="dxa"/>
            <w:vAlign w:val="bottom"/>
            <w:tcBorders>
              <w:bottom w:val="single" w:sz="8" w:color="007CBA"/>
              <w:right w:val="single" w:sz="8" w:color="007CBA"/>
            </w:tcBorders>
            <w:shd w:val="clear" w:color="auto" w:fill="007CBA"/>
          </w:tcPr>
          <w:p>
            <w:pPr>
              <w:ind w:left="120"/>
              <w:spacing w:after="0"/>
              <w:rPr>
                <w:sz w:val="20"/>
                <w:szCs w:val="20"/>
                <w:color w:val="auto"/>
              </w:rPr>
            </w:pPr>
            <w:r>
              <w:rPr>
                <w:rFonts w:ascii="Calibri" w:cs="Calibri" w:eastAsia="Calibri" w:hAnsi="Calibri"/>
                <w:sz w:val="18"/>
                <w:szCs w:val="18"/>
                <w:color w:val="FFFFFF"/>
              </w:rPr>
              <w:t>(in millions)</w:t>
            </w:r>
          </w:p>
        </w:tc>
        <w:tc>
          <w:tcPr>
            <w:tcW w:w="1040" w:type="dxa"/>
            <w:vAlign w:val="bottom"/>
            <w:tcBorders>
              <w:bottom w:val="single" w:sz="8" w:color="007CBA"/>
            </w:tcBorders>
            <w:shd w:val="clear" w:color="auto" w:fill="007CBA"/>
          </w:tcPr>
          <w:p>
            <w:pPr>
              <w:jc w:val="right"/>
              <w:spacing w:after="0"/>
              <w:rPr>
                <w:sz w:val="20"/>
                <w:szCs w:val="20"/>
                <w:color w:val="auto"/>
              </w:rPr>
            </w:pPr>
            <w:r>
              <w:rPr>
                <w:rFonts w:ascii="Calibri" w:cs="Calibri" w:eastAsia="Calibri" w:hAnsi="Calibri"/>
                <w:sz w:val="18"/>
                <w:szCs w:val="18"/>
                <w:b w:val="1"/>
                <w:bCs w:val="1"/>
                <w:color w:val="FFFFFF"/>
              </w:rPr>
              <w:t>2023</w:t>
            </w:r>
          </w:p>
        </w:tc>
        <w:tc>
          <w:tcPr>
            <w:tcW w:w="580" w:type="dxa"/>
            <w:vAlign w:val="bottom"/>
            <w:tcBorders>
              <w:bottom w:val="single" w:sz="8" w:color="007CBA"/>
              <w:right w:val="single" w:sz="8" w:color="007CBA"/>
            </w:tcBorders>
            <w:shd w:val="clear" w:color="auto" w:fill="007CBA"/>
          </w:tcPr>
          <w:p>
            <w:pPr>
              <w:spacing w:after="0"/>
              <w:rPr>
                <w:sz w:val="21"/>
                <w:szCs w:val="21"/>
                <w:color w:val="auto"/>
              </w:rPr>
            </w:pPr>
          </w:p>
        </w:tc>
        <w:tc>
          <w:tcPr>
            <w:tcW w:w="440" w:type="dxa"/>
            <w:vAlign w:val="bottom"/>
            <w:tcBorders>
              <w:bottom w:val="single" w:sz="8" w:color="007CBA"/>
            </w:tcBorders>
            <w:shd w:val="clear" w:color="auto" w:fill="007CBA"/>
          </w:tcPr>
          <w:p>
            <w:pPr>
              <w:spacing w:after="0"/>
              <w:rPr>
                <w:sz w:val="21"/>
                <w:szCs w:val="21"/>
                <w:color w:val="auto"/>
              </w:rPr>
            </w:pPr>
          </w:p>
        </w:tc>
        <w:tc>
          <w:tcPr>
            <w:tcW w:w="1140" w:type="dxa"/>
            <w:vAlign w:val="bottom"/>
            <w:tcBorders>
              <w:bottom w:val="single" w:sz="8" w:color="007CBA"/>
              <w:right w:val="single" w:sz="8" w:color="007CBA"/>
            </w:tcBorders>
            <w:shd w:val="clear" w:color="auto" w:fill="007CBA"/>
          </w:tcPr>
          <w:p>
            <w:pPr>
              <w:jc w:val="right"/>
              <w:ind w:right="490"/>
              <w:spacing w:after="0"/>
              <w:rPr>
                <w:sz w:val="20"/>
                <w:szCs w:val="20"/>
                <w:color w:val="auto"/>
              </w:rPr>
            </w:pPr>
            <w:r>
              <w:rPr>
                <w:rFonts w:ascii="Calibri" w:cs="Calibri" w:eastAsia="Calibri" w:hAnsi="Calibri"/>
                <w:sz w:val="18"/>
                <w:szCs w:val="18"/>
                <w:color w:val="FFFFFF"/>
              </w:rPr>
              <w:t>2022</w:t>
            </w:r>
          </w:p>
        </w:tc>
        <w:tc>
          <w:tcPr>
            <w:tcW w:w="440" w:type="dxa"/>
            <w:vAlign w:val="bottom"/>
            <w:tcBorders>
              <w:bottom w:val="single" w:sz="8" w:color="007CBA"/>
            </w:tcBorders>
            <w:shd w:val="clear" w:color="auto" w:fill="007CBA"/>
          </w:tcPr>
          <w:p>
            <w:pPr>
              <w:spacing w:after="0"/>
              <w:rPr>
                <w:sz w:val="21"/>
                <w:szCs w:val="21"/>
                <w:color w:val="auto"/>
              </w:rPr>
            </w:pPr>
          </w:p>
        </w:tc>
        <w:tc>
          <w:tcPr>
            <w:tcW w:w="1120" w:type="dxa"/>
            <w:vAlign w:val="bottom"/>
            <w:tcBorders>
              <w:bottom w:val="single" w:sz="8" w:color="007CBA"/>
            </w:tcBorders>
            <w:shd w:val="clear" w:color="auto" w:fill="007CBA"/>
          </w:tcPr>
          <w:p>
            <w:pPr>
              <w:jc w:val="right"/>
              <w:ind w:right="490"/>
              <w:spacing w:after="0"/>
              <w:rPr>
                <w:sz w:val="20"/>
                <w:szCs w:val="20"/>
                <w:color w:val="auto"/>
              </w:rPr>
            </w:pPr>
            <w:r>
              <w:rPr>
                <w:rFonts w:ascii="Calibri" w:cs="Calibri" w:eastAsia="Calibri" w:hAnsi="Calibri"/>
                <w:sz w:val="18"/>
                <w:szCs w:val="18"/>
                <w:color w:val="FFFFFF"/>
              </w:rPr>
              <w:t>2021</w:t>
            </w:r>
          </w:p>
        </w:tc>
      </w:tr>
      <w:tr>
        <w:trPr>
          <w:trHeight w:val="215"/>
        </w:trPr>
        <w:tc>
          <w:tcPr>
            <w:tcW w:w="6480" w:type="dxa"/>
            <w:vAlign w:val="bottom"/>
            <w:tcBorders>
              <w:right w:val="single" w:sz="8" w:color="007CBA"/>
            </w:tcBorders>
          </w:tcPr>
          <w:p>
            <w:pPr>
              <w:ind w:left="120"/>
              <w:spacing w:after="0" w:line="215" w:lineRule="exact"/>
              <w:rPr>
                <w:sz w:val="20"/>
                <w:szCs w:val="20"/>
                <w:color w:val="auto"/>
              </w:rPr>
            </w:pPr>
            <w:r>
              <w:rPr>
                <w:rFonts w:ascii="Calibri" w:cs="Calibri" w:eastAsia="Calibri" w:hAnsi="Calibri"/>
                <w:sz w:val="18"/>
                <w:szCs w:val="18"/>
                <w:color w:val="auto"/>
              </w:rPr>
              <w:t>Cash paid for interest, net of amount capitalized</w:t>
            </w:r>
          </w:p>
        </w:tc>
        <w:tc>
          <w:tcPr>
            <w:tcW w:w="1040" w:type="dxa"/>
            <w:vAlign w:val="bottom"/>
          </w:tcPr>
          <w:p>
            <w:pPr>
              <w:jc w:val="right"/>
              <w:ind w:right="69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158.9</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164.7</w:t>
            </w:r>
          </w:p>
        </w:tc>
        <w:tc>
          <w:tcPr>
            <w:tcW w:w="44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104.9</w:t>
            </w:r>
          </w:p>
        </w:tc>
      </w:tr>
      <w:tr>
        <w:trPr>
          <w:trHeight w:val="28"/>
        </w:trPr>
        <w:tc>
          <w:tcPr>
            <w:tcW w:w="6480" w:type="dxa"/>
            <w:vAlign w:val="bottom"/>
            <w:tcBorders>
              <w:right w:val="single" w:sz="8" w:color="007CBA"/>
            </w:tcBorders>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Borders>
              <w:right w:val="single" w:sz="8" w:color="007CBA"/>
            </w:tcBorders>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6480" w:type="dxa"/>
            <w:vAlign w:val="bottom"/>
            <w:tcBorders>
              <w:bottom w:val="single" w:sz="8" w:color="E5F1F8"/>
              <w:right w:val="single" w:sz="8" w:color="007CBA"/>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Cash paid for income taxes</w:t>
            </w:r>
          </w:p>
        </w:tc>
        <w:tc>
          <w:tcPr>
            <w:tcW w:w="1040" w:type="dxa"/>
            <w:vAlign w:val="bottom"/>
            <w:tcBorders>
              <w:bottom w:val="single" w:sz="8" w:color="E5F1F8"/>
            </w:tcBorders>
            <w:shd w:val="clear" w:color="auto" w:fill="E5F1F8"/>
          </w:tcPr>
          <w:p>
            <w:pPr>
              <w:jc w:val="right"/>
              <w:ind w:right="69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291.5</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200.6</w:t>
            </w:r>
          </w:p>
        </w:tc>
        <w:tc>
          <w:tcPr>
            <w:tcW w:w="44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102.9</w:t>
            </w:r>
          </w:p>
        </w:tc>
      </w:tr>
      <w:tr>
        <w:trPr>
          <w:trHeight w:val="207"/>
        </w:trPr>
        <w:tc>
          <w:tcPr>
            <w:tcW w:w="6480" w:type="dxa"/>
            <w:vAlign w:val="bottom"/>
            <w:tcBorders>
              <w:right w:val="single" w:sz="8" w:color="007CBA"/>
            </w:tcBorders>
          </w:tcPr>
          <w:p>
            <w:pPr>
              <w:ind w:left="120"/>
              <w:spacing w:after="0" w:line="207" w:lineRule="exact"/>
              <w:rPr>
                <w:sz w:val="20"/>
                <w:szCs w:val="20"/>
                <w:color w:val="auto"/>
              </w:rPr>
            </w:pPr>
            <w:r>
              <w:rPr>
                <w:rFonts w:ascii="Calibri" w:cs="Calibri" w:eastAsia="Calibri" w:hAnsi="Calibri"/>
                <w:sz w:val="18"/>
                <w:szCs w:val="18"/>
                <w:color w:val="auto"/>
              </w:rPr>
              <w:t>Cash paid for amounts included in the measurement of</w:t>
            </w:r>
          </w:p>
        </w:tc>
        <w:tc>
          <w:tcPr>
            <w:tcW w:w="1040" w:type="dxa"/>
            <w:vAlign w:val="bottom"/>
          </w:tcPr>
          <w:p>
            <w:pPr>
              <w:spacing w:after="0"/>
              <w:rPr>
                <w:sz w:val="18"/>
                <w:szCs w:val="18"/>
                <w:color w:val="auto"/>
              </w:rPr>
            </w:pPr>
          </w:p>
        </w:tc>
        <w:tc>
          <w:tcPr>
            <w:tcW w:w="58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6480" w:type="dxa"/>
            <w:vAlign w:val="bottom"/>
            <w:tcBorders>
              <w:right w:val="single" w:sz="8" w:color="007CBA"/>
            </w:tcBorders>
          </w:tcPr>
          <w:p>
            <w:pPr>
              <w:ind w:left="240"/>
              <w:spacing w:after="0" w:line="215" w:lineRule="exact"/>
              <w:rPr>
                <w:sz w:val="20"/>
                <w:szCs w:val="20"/>
                <w:color w:val="auto"/>
              </w:rPr>
            </w:pPr>
            <w:r>
              <w:rPr>
                <w:rFonts w:ascii="Calibri" w:cs="Calibri" w:eastAsia="Calibri" w:hAnsi="Calibri"/>
                <w:sz w:val="18"/>
                <w:szCs w:val="18"/>
                <w:color w:val="auto"/>
              </w:rPr>
              <w:t>lease liabilites:</w:t>
            </w:r>
          </w:p>
        </w:tc>
        <w:tc>
          <w:tcPr>
            <w:tcW w:w="1040" w:type="dxa"/>
            <w:vAlign w:val="bottom"/>
          </w:tcPr>
          <w:p>
            <w:pPr>
              <w:spacing w:after="0"/>
              <w:rPr>
                <w:sz w:val="18"/>
                <w:szCs w:val="18"/>
                <w:color w:val="auto"/>
              </w:rPr>
            </w:pPr>
          </w:p>
        </w:tc>
        <w:tc>
          <w:tcPr>
            <w:tcW w:w="58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Borders>
              <w:right w:val="single" w:sz="8" w:color="007CBA"/>
            </w:tcBorders>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7"/>
        </w:trPr>
        <w:tc>
          <w:tcPr>
            <w:tcW w:w="6480" w:type="dxa"/>
            <w:vAlign w:val="bottom"/>
            <w:tcBorders>
              <w:right w:val="single" w:sz="8" w:color="007CBA"/>
            </w:tcBorders>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Borders>
              <w:right w:val="single" w:sz="8" w:color="007CBA"/>
            </w:tcBorders>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Borders>
              <w:right w:val="single" w:sz="8" w:color="007CBA"/>
            </w:tcBorders>
          </w:tcPr>
          <w:p>
            <w:pPr>
              <w:spacing w:after="0"/>
              <w:rPr>
                <w:sz w:val="3"/>
                <w:szCs w:val="3"/>
                <w:color w:val="auto"/>
              </w:rPr>
            </w:pPr>
          </w:p>
        </w:tc>
        <w:tc>
          <w:tcPr>
            <w:tcW w:w="4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3"/>
        </w:trPr>
        <w:tc>
          <w:tcPr>
            <w:tcW w:w="6480" w:type="dxa"/>
            <w:vAlign w:val="bottom"/>
            <w:tcBorders>
              <w:bottom w:val="single" w:sz="8" w:color="E5F1F8"/>
              <w:right w:val="single" w:sz="8" w:color="007CBA"/>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Operatng cash fows used for operatng leases</w:t>
            </w:r>
          </w:p>
        </w:tc>
        <w:tc>
          <w:tcPr>
            <w:tcW w:w="1040" w:type="dxa"/>
            <w:vAlign w:val="bottom"/>
            <w:tcBorders>
              <w:bottom w:val="single" w:sz="8" w:color="E5F1F8"/>
            </w:tcBorders>
            <w:shd w:val="clear" w:color="auto" w:fill="E5F1F8"/>
          </w:tcPr>
          <w:p>
            <w:pPr>
              <w:jc w:val="right"/>
              <w:ind w:right="69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bottom w:val="single" w:sz="8" w:color="E5F1F8"/>
              <w:right w:val="single" w:sz="8" w:color="007CBA"/>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76.6</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007CBA"/>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78.6</w:t>
            </w:r>
          </w:p>
        </w:tc>
        <w:tc>
          <w:tcPr>
            <w:tcW w:w="44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71.8</w:t>
            </w:r>
          </w:p>
        </w:tc>
      </w:tr>
      <w:tr>
        <w:trPr>
          <w:trHeight w:val="243"/>
        </w:trPr>
        <w:tc>
          <w:tcPr>
            <w:tcW w:w="6480" w:type="dxa"/>
            <w:vAlign w:val="bottom"/>
            <w:tcBorders>
              <w:right w:val="single" w:sz="8" w:color="007CBA"/>
            </w:tcBorders>
          </w:tcPr>
          <w:p>
            <w:pPr>
              <w:ind w:left="200"/>
              <w:spacing w:after="0" w:line="215" w:lineRule="exact"/>
              <w:rPr>
                <w:sz w:val="20"/>
                <w:szCs w:val="20"/>
                <w:color w:val="auto"/>
              </w:rPr>
            </w:pPr>
            <w:r>
              <w:rPr>
                <w:rFonts w:ascii="Calibri" w:cs="Calibri" w:eastAsia="Calibri" w:hAnsi="Calibri"/>
                <w:sz w:val="18"/>
                <w:szCs w:val="18"/>
                <w:color w:val="auto"/>
              </w:rPr>
              <w:t>Operatng cash fows used for fnance leases</w:t>
            </w:r>
          </w:p>
        </w:tc>
        <w:tc>
          <w:tcPr>
            <w:tcW w:w="1040" w:type="dxa"/>
            <w:vAlign w:val="bottom"/>
          </w:tcPr>
          <w:p>
            <w:pPr>
              <w:jc w:val="right"/>
              <w:ind w:right="69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right w:val="single" w:sz="8" w:color="007CBA"/>
            </w:tcBorders>
          </w:tcPr>
          <w:p>
            <w:pPr>
              <w:jc w:val="right"/>
              <w:ind w:right="50"/>
              <w:spacing w:after="0" w:line="215" w:lineRule="exact"/>
              <w:rPr>
                <w:sz w:val="20"/>
                <w:szCs w:val="20"/>
                <w:color w:val="auto"/>
              </w:rPr>
            </w:pPr>
            <w:r>
              <w:rPr>
                <w:rFonts w:ascii="Calibri" w:cs="Calibri" w:eastAsia="Calibri" w:hAnsi="Calibri"/>
                <w:sz w:val="18"/>
                <w:szCs w:val="18"/>
                <w:b w:val="1"/>
                <w:bCs w:val="1"/>
                <w:color w:val="auto"/>
              </w:rPr>
              <w:t>4.8</w:t>
            </w:r>
          </w:p>
        </w:tc>
        <w:tc>
          <w:tcPr>
            <w:tcW w:w="4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right w:val="single" w:sz="8" w:color="007CBA"/>
            </w:tcBorders>
          </w:tcPr>
          <w:p>
            <w:pPr>
              <w:jc w:val="right"/>
              <w:ind w:right="30"/>
              <w:spacing w:after="0" w:line="215" w:lineRule="exact"/>
              <w:rPr>
                <w:sz w:val="20"/>
                <w:szCs w:val="20"/>
                <w:color w:val="auto"/>
              </w:rPr>
            </w:pPr>
            <w:r>
              <w:rPr>
                <w:rFonts w:ascii="Calibri" w:cs="Calibri" w:eastAsia="Calibri" w:hAnsi="Calibri"/>
                <w:sz w:val="18"/>
                <w:szCs w:val="18"/>
                <w:color w:val="auto"/>
              </w:rPr>
              <w:t>4.5</w:t>
            </w:r>
          </w:p>
        </w:tc>
        <w:tc>
          <w:tcPr>
            <w:tcW w:w="44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3.5</w:t>
            </w:r>
          </w:p>
        </w:tc>
      </w:tr>
      <w:tr>
        <w:trPr>
          <w:trHeight w:val="223"/>
        </w:trPr>
        <w:tc>
          <w:tcPr>
            <w:tcW w:w="6480" w:type="dxa"/>
            <w:vAlign w:val="bottom"/>
            <w:tcBorders>
              <w:bottom w:val="single" w:sz="8" w:color="E5F1F8"/>
              <w:right w:val="single" w:sz="8" w:color="E5F1F8"/>
            </w:tcBorders>
            <w:shd w:val="clear" w:color="auto" w:fill="E5F1F8"/>
          </w:tcPr>
          <w:p>
            <w:pPr>
              <w:ind w:left="200"/>
              <w:spacing w:after="0" w:line="215" w:lineRule="exact"/>
              <w:rPr>
                <w:sz w:val="20"/>
                <w:szCs w:val="20"/>
                <w:color w:val="auto"/>
              </w:rPr>
            </w:pPr>
            <w:r>
              <w:rPr>
                <w:rFonts w:ascii="Calibri" w:cs="Calibri" w:eastAsia="Calibri" w:hAnsi="Calibri"/>
                <w:sz w:val="18"/>
                <w:szCs w:val="18"/>
                <w:color w:val="auto"/>
              </w:rPr>
              <w:t>Financing cash fows used for fnance leases</w:t>
            </w:r>
          </w:p>
        </w:tc>
        <w:tc>
          <w:tcPr>
            <w:tcW w:w="1040" w:type="dxa"/>
            <w:vAlign w:val="bottom"/>
            <w:tcBorders>
              <w:bottom w:val="single" w:sz="8" w:color="E5F1F8"/>
            </w:tcBorders>
            <w:shd w:val="clear" w:color="auto" w:fill="E5F1F8"/>
          </w:tcPr>
          <w:p>
            <w:pPr>
              <w:jc w:val="right"/>
              <w:ind w:right="690"/>
              <w:spacing w:after="0" w:line="215" w:lineRule="exact"/>
              <w:rPr>
                <w:sz w:val="20"/>
                <w:szCs w:val="20"/>
                <w:color w:val="auto"/>
              </w:rPr>
            </w:pPr>
            <w:r>
              <w:rPr>
                <w:rFonts w:ascii="Calibri" w:cs="Calibri" w:eastAsia="Calibri" w:hAnsi="Calibri"/>
                <w:sz w:val="18"/>
                <w:szCs w:val="18"/>
                <w:b w:val="1"/>
                <w:bCs w:val="1"/>
                <w:color w:val="auto"/>
              </w:rPr>
              <w:t>$</w:t>
            </w:r>
          </w:p>
        </w:tc>
        <w:tc>
          <w:tcPr>
            <w:tcW w:w="580" w:type="dxa"/>
            <w:vAlign w:val="bottom"/>
            <w:tcBorders>
              <w:bottom w:val="single" w:sz="8" w:color="E5F1F8"/>
              <w:right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17.6</w:t>
            </w:r>
          </w:p>
        </w:tc>
        <w:tc>
          <w:tcPr>
            <w:tcW w:w="440" w:type="dxa"/>
            <w:vAlign w:val="bottom"/>
            <w:tcBorders>
              <w:bottom w:val="single" w:sz="8" w:color="E5F1F8"/>
            </w:tcBorders>
            <w:shd w:val="clear" w:color="auto" w:fill="E5F1F8"/>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1140" w:type="dxa"/>
            <w:vAlign w:val="bottom"/>
            <w:tcBorders>
              <w:bottom w:val="single" w:sz="8" w:color="E5F1F8"/>
              <w:right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15.0</w:t>
            </w:r>
          </w:p>
        </w:tc>
        <w:tc>
          <w:tcPr>
            <w:tcW w:w="440" w:type="dxa"/>
            <w:vAlign w:val="bottom"/>
            <w:tcBorders>
              <w:bottom w:val="single" w:sz="8" w:color="E5F1F8"/>
            </w:tcBorders>
            <w:shd w:val="clear" w:color="auto" w:fill="E5F1F8"/>
          </w:tcPr>
          <w:p>
            <w:pPr>
              <w:jc w:val="right"/>
              <w:ind w:right="11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11.1</w:t>
            </w:r>
          </w:p>
        </w:tc>
      </w:tr>
      <w:tr>
        <w:trPr>
          <w:trHeight w:val="20"/>
        </w:trPr>
        <w:tc>
          <w:tcPr>
            <w:tcW w:w="648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-2009140</wp:posOffset>
            </wp:positionV>
            <wp:extent cx="34290" cy="3257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9">
                      <a:extLst>
                        <a:ext uri="{28A0092B-C50C-407E-A947-70E740481C1C}"/>
                      </a:extLst>
                    </a:blip>
                    <a:srcRect/>
                    <a:stretch>
                      <a:fillRect/>
                    </a:stretch>
                  </pic:blipFill>
                  <pic:spPr bwMode="auto">
                    <a:xfrm>
                      <a:off x="0" y="0"/>
                      <a:ext cx="34290" cy="325755"/>
                    </a:xfrm>
                    <a:prstGeom prst="rect">
                      <a:avLst/>
                    </a:prstGeom>
                    <a:noFill/>
                  </pic:spPr>
                </pic:pic>
              </a:graphicData>
            </a:graphic>
          </wp:anchor>
        </w:drawing>
        <w:drawing>
          <wp:anchor simplePos="0" relativeHeight="251657728" behindDoc="1" locked="0" layoutInCell="0" allowOverlap="1">
            <wp:simplePos x="0" y="0"/>
            <wp:positionH relativeFrom="column">
              <wp:posOffset>5118735</wp:posOffset>
            </wp:positionH>
            <wp:positionV relativeFrom="paragraph">
              <wp:posOffset>-2009140</wp:posOffset>
            </wp:positionV>
            <wp:extent cx="33655" cy="3257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0">
                      <a:extLst>
                        <a:ext uri="{28A0092B-C50C-407E-A947-70E740481C1C}"/>
                      </a:extLst>
                    </a:blip>
                    <a:srcRect/>
                    <a:stretch>
                      <a:fillRect/>
                    </a:stretch>
                  </pic:blipFill>
                  <pic:spPr bwMode="auto">
                    <a:xfrm>
                      <a:off x="0" y="0"/>
                      <a:ext cx="33655" cy="32575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-2009140</wp:posOffset>
            </wp:positionV>
            <wp:extent cx="34290" cy="3257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1">
                      <a:extLst>
                        <a:ext uri="{28A0092B-C50C-407E-A947-70E740481C1C}"/>
                      </a:extLst>
                    </a:blip>
                    <a:srcRect/>
                    <a:stretch>
                      <a:fillRect/>
                    </a:stretch>
                  </pic:blipFill>
                  <pic:spPr bwMode="auto">
                    <a:xfrm>
                      <a:off x="0" y="0"/>
                      <a:ext cx="34290" cy="325755"/>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-175260</wp:posOffset>
            </wp:positionV>
            <wp:extent cx="34290" cy="18859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2">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5118735</wp:posOffset>
            </wp:positionH>
            <wp:positionV relativeFrom="paragraph">
              <wp:posOffset>-175260</wp:posOffset>
            </wp:positionV>
            <wp:extent cx="33655" cy="18859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3">
                      <a:extLst>
                        <a:ext uri="{28A0092B-C50C-407E-A947-70E740481C1C}"/>
                      </a:extLst>
                    </a:blip>
                    <a:srcRect/>
                    <a:stretch>
                      <a:fillRect/>
                    </a:stretch>
                  </pic:blipFill>
                  <pic:spPr bwMode="auto">
                    <a:xfrm>
                      <a:off x="0" y="0"/>
                      <a:ext cx="33655" cy="18859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-175260</wp:posOffset>
            </wp:positionV>
            <wp:extent cx="34290" cy="18859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4">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R: Other Operatng Income, Net</w:t>
      </w:r>
    </w:p>
    <w:p>
      <w:pPr>
        <w:spacing w:after="0" w:line="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operatng income, net, is comprised generally of gains and losses on the sale of assets; recoveries and losses related to certain customer accounts receivable; rental, royalty and services income; accreton expense; depreciaton expense; and gains and losses related to asset retrement obligatons. These net amounts represented income of $28.4 million, $189.2 million and $34.3 million in 2023, 2022 and 2021, respectvely. In 2023, other operatng income, net, included $19.5 million of gains on land sales. In 2022, other operatng income, net, included a $151.9 million pretax gain on the divestture of the Colorado and Central Texas ready mixed concrete operatons. For 2021, other operatng income, net, included $21.6 million of gains on land sales and divested assets, including the Company’s former corporate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94615</wp:posOffset>
            </wp:positionV>
            <wp:extent cx="325755" cy="1968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5">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1" w:name="page112"/>
    <w:bookmarkEnd w:id="111"/>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8 – Financial Statements and Supplementary Data</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7DC6"/>
        </w:rPr>
        <w:t>Note S: Other Nonoperatng Income, Net</w:t>
      </w:r>
    </w:p>
    <w:p>
      <w:pPr>
        <w:spacing w:after="0" w:line="5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Other nonoperatng income, net, is comprised generally of interest income; foreign currency transacton gains and losses; pension and postretrement beneft cost (excluding service cost); net equity earnings from nonconsolidated investments and other miscellaneous income and expenses. Other nonoperatng income, net, was $62.1 million, $53.4 million and $24.4 million in 2023, 2022 and 2021, respectvely. In 2023, other nonoperatng income, net, included $46.7 million of interest income and $8.9 million of third-party railroad track maintenance expense. In 2022, other nonoperatng income, net, included $13.6 million of interest income, a $12.0 million pretax gain related to the repurchase of the Company's debt and $8.2 million of third-party railroad track maintenance expense. In 2021, other nonoperatng income, net, included $7.7 million of third-party railroad track maintenance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94615</wp:posOffset>
            </wp:positionV>
            <wp:extent cx="325755" cy="1968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52"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2" w:name="page113"/>
    <w:bookmarkEnd w:id="112"/>
    <w:p>
      <w:pPr>
        <w:ind w:left="8080"/>
        <w:spacing w:after="0"/>
        <w:rPr>
          <w:sz w:val="20"/>
          <w:szCs w:val="20"/>
          <w:color w:val="auto"/>
        </w:rPr>
      </w:pPr>
      <w:r>
        <w:rPr>
          <w:rFonts w:ascii="Calibri" w:cs="Calibri" w:eastAsia="Calibri" w:hAnsi="Calibri"/>
          <w:sz w:val="17"/>
          <w:szCs w:val="17"/>
          <w:color w:val="auto"/>
        </w:rPr>
        <w:t xml:space="preserve">Part II </w:t>
      </w:r>
      <w:r>
        <w:rPr>
          <w:rFonts w:ascii="Arial" w:cs="Arial" w:eastAsia="Arial" w:hAnsi="Arial"/>
          <w:sz w:val="22"/>
          <w:szCs w:val="22"/>
          <w:color w:val="0070C0"/>
        </w:rPr>
        <w:t>♦</w:t>
      </w:r>
      <w:r>
        <w:rPr>
          <w:rFonts w:ascii="Calibri" w:cs="Calibri" w:eastAsia="Calibri" w:hAnsi="Calibri"/>
          <w:sz w:val="17"/>
          <w:szCs w:val="17"/>
          <w:color w:val="auto"/>
        </w:rPr>
        <w:t xml:space="preserve"> Item 9A – Controls and Procedures</w:t>
      </w:r>
    </w:p>
    <w:p>
      <w:pPr>
        <w:spacing w:after="0" w:line="226" w:lineRule="exact"/>
        <w:rPr>
          <w:sz w:val="20"/>
          <w:szCs w:val="20"/>
          <w:color w:val="auto"/>
        </w:rPr>
      </w:pPr>
    </w:p>
    <w:p>
      <w:pPr>
        <w:jc w:val="both"/>
        <w:spacing w:after="0"/>
        <w:rPr>
          <w:sz w:val="20"/>
          <w:szCs w:val="20"/>
          <w:color w:val="auto"/>
        </w:rPr>
      </w:pPr>
      <w:r>
        <w:rPr>
          <w:rFonts w:ascii="Calibri" w:cs="Calibri" w:eastAsia="Calibri" w:hAnsi="Calibri"/>
          <w:sz w:val="25"/>
          <w:szCs w:val="25"/>
          <w:b w:val="1"/>
          <w:bCs w:val="1"/>
          <w:color w:val="auto"/>
        </w:rPr>
        <w:t>ITEM 9 – CHANGES IN AND DISAGREEMENTS WITH ACCOUNTANTS ON ACCOUNTING AND FINANCIAL DISCLOSURE</w:t>
      </w:r>
    </w:p>
    <w:p>
      <w:pPr>
        <w:spacing w:after="0" w:line="60"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1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9A – CONTROLS AND PROCEDURES</w:t>
      </w:r>
    </w:p>
    <w:p>
      <w:pPr>
        <w:spacing w:after="0" w:line="11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Evaluaton of Disclosure Controls and Procedures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2023, an evaluaton was performed under the supervision and with the partcipaton of the Company’s management, including the Chief Executve Ofcer (CEO) and Chief Financial Ofcer (CFO), of the efectveness of the design and operaton of the Company’s disclosure controls and procedures. Based on that evaluaton, the Company’s CEO and CFO concluded that the Company’s disclosure controls and procedures were efectve at the reasonable assurance level.</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foregoing evaluaton of the Company’s disclosure controls and procedures was based on the defniton in Exchange Act Rule 13a-15(e), which requires that disclosure controls and procedures are efectvely designed to provide reasonable assurance that informaton required to be disclosed by an issuer in the reports that it fles or submits with the SEC under the Exchange Act is recorded, processed, summarized and reported, within the tme periods specifed in the SEC’s rules and forms, and is accumulated and communicated to the issuer’s management, including its principal executve and principal fnancial ofcers, or persons performing similar functons, as appropriate to allow tmely decisions regarding required disclosure.</w:t>
      </w:r>
    </w:p>
    <w:p>
      <w:pPr>
        <w:spacing w:after="0" w:line="17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Management’s Report on Internal Control over Financial Reportng</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management’s report on internal control over fnancial reportng is included as the “</w:t>
      </w:r>
      <w:r>
        <w:rPr>
          <w:rFonts w:ascii="Calibri" w:cs="Calibri" w:eastAsia="Calibri" w:hAnsi="Calibri"/>
          <w:sz w:val="18"/>
          <w:szCs w:val="18"/>
          <w:u w:val="single" w:color="auto"/>
          <w:color w:val="007DC6"/>
        </w:rPr>
        <w:t>Statement of Financial Responsibility and Management’s Report on</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07DC6"/>
        </w:rPr>
        <w:t>Internal Controls over Financial Reportng</w:t>
      </w:r>
      <w:r>
        <w:rPr>
          <w:rFonts w:ascii="Calibri" w:cs="Calibri" w:eastAsia="Calibri" w:hAnsi="Calibri"/>
          <w:sz w:val="18"/>
          <w:szCs w:val="18"/>
          <w:color w:val="000000"/>
        </w:rPr>
        <w:t>” in Item 8, “</w:t>
      </w:r>
      <w:r>
        <w:rPr>
          <w:rFonts w:ascii="Calibri" w:cs="Calibri" w:eastAsia="Calibri" w:hAnsi="Calibri"/>
          <w:sz w:val="18"/>
          <w:szCs w:val="18"/>
          <w:u w:val="single" w:color="auto"/>
          <w:color w:val="007DC6"/>
        </w:rPr>
        <w:t>Financial Statements and Supplemental Data</w:t>
      </w:r>
      <w:r>
        <w:rPr>
          <w:rFonts w:ascii="Calibri" w:cs="Calibri" w:eastAsia="Calibri" w:hAnsi="Calibri"/>
          <w:sz w:val="18"/>
          <w:szCs w:val="18"/>
          <w:color w:val="000000"/>
        </w:rPr>
        <w:t>,” of this Form 10-K. The Company’s management</w:t>
      </w:r>
      <w:r>
        <w:rPr>
          <w:rFonts w:ascii="Calibri" w:cs="Calibri" w:eastAsia="Calibri" w:hAnsi="Calibri"/>
          <w:sz w:val="18"/>
          <w:szCs w:val="18"/>
          <w:color w:val="007DC6"/>
        </w:rPr>
        <w:t xml:space="preserve"> </w:t>
      </w:r>
      <w:r>
        <w:rPr>
          <w:rFonts w:ascii="Calibri" w:cs="Calibri" w:eastAsia="Calibri" w:hAnsi="Calibri"/>
          <w:sz w:val="18"/>
          <w:szCs w:val="18"/>
          <w:color w:val="000000"/>
        </w:rPr>
        <w:t>concluded that the Company’s internal control over fnancial reportng was efectve in providing reasonable assurance regarding the reliability of fnancial reportng and the preparaton of the Company’s fnancial statements for external purposes in accordance with U.S. generally accepted accountng principles as of December 31, 2023. PricewaterhouseCoopers LLP, the independent registered public accountng frm that audited the Company’s consolidated fnancial statements contained herein, also audited the Company’s internal control over fnancial reportng as of December 31, 2023. The audit report is included in Item 8, “</w:t>
      </w:r>
      <w:r>
        <w:rPr>
          <w:rFonts w:ascii="Calibri" w:cs="Calibri" w:eastAsia="Calibri" w:hAnsi="Calibri"/>
          <w:sz w:val="18"/>
          <w:szCs w:val="18"/>
          <w:u w:val="single" w:color="auto"/>
          <w:color w:val="007DC6"/>
        </w:rPr>
        <w:t>Financial Statements and Supplementary Data</w:t>
      </w:r>
      <w:r>
        <w:rPr>
          <w:rFonts w:ascii="Calibri" w:cs="Calibri" w:eastAsia="Calibri" w:hAnsi="Calibri"/>
          <w:sz w:val="18"/>
          <w:szCs w:val="18"/>
          <w:color w:val="000000"/>
        </w:rPr>
        <w: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-838835</wp:posOffset>
            </wp:positionV>
            <wp:extent cx="30689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9">
                      <a:extLst>
                        <a:ext uri="{28A0092B-C50C-407E-A947-70E740481C1C}"/>
                      </a:extLst>
                    </a:blip>
                    <a:srcRect/>
                    <a:stretch>
                      <a:fillRect/>
                    </a:stretch>
                  </pic:blipFill>
                  <pic:spPr bwMode="auto">
                    <a:xfrm>
                      <a:off x="0" y="0"/>
                      <a:ext cx="3068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-701675</wp:posOffset>
            </wp:positionV>
            <wp:extent cx="469773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0">
                      <a:extLst>
                        <a:ext uri="{28A0092B-C50C-407E-A947-70E740481C1C}"/>
                      </a:extLst>
                    </a:blip>
                    <a:srcRect/>
                    <a:stretch>
                      <a:fillRect/>
                    </a:stretch>
                  </pic:blipFill>
                  <pic:spPr bwMode="auto">
                    <a:xfrm>
                      <a:off x="0" y="0"/>
                      <a:ext cx="46977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-15875</wp:posOffset>
            </wp:positionV>
            <wp:extent cx="208343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1">
                      <a:extLst>
                        <a:ext uri="{28A0092B-C50C-407E-A947-70E740481C1C}"/>
                      </a:extLst>
                    </a:blip>
                    <a:srcRect/>
                    <a:stretch>
                      <a:fillRect/>
                    </a:stretch>
                  </pic:blipFill>
                  <pic:spPr bwMode="auto">
                    <a:xfrm>
                      <a:off x="0" y="0"/>
                      <a:ext cx="208343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Changes in Internal Control over Financial Reportng</w:t>
      </w:r>
    </w:p>
    <w:p>
      <w:pPr>
        <w:spacing w:after="0" w:line="6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There were no changes in the Company’s internal control over fnancial reportng during the most recently completed fscal quarter ended December 31, 2023 that materially afected, or are reasonably likely to materially afect, the Company’s internal control over fnancial reportng.</w:t>
      </w:r>
    </w:p>
    <w:p>
      <w:pPr>
        <w:spacing w:after="0" w:line="17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Limitatons on the Efectveness of Controls</w:t>
      </w:r>
    </w:p>
    <w:p>
      <w:pPr>
        <w:spacing w:after="0" w:line="64"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The Company's management, including the CEO and CFO, does not expect that the Company’s control system will prevent all error and all fraud. A control system, no mater how well conceived and operated, can provide only reasonable, not absolute, assurance that the objectves of the control system are met. Further, the design of a control system must refect the fact that there are resource constraints, and the benefts of controls must be considered relatve to their costs. Because of the inherent limitatons in all control systems, no evaluaton of controls can provide absolute assurance that all control issues and instances of fraud, if any, within the Company have been detected. These inherent limitatons include the realites that judgments in decision making can be faulty and that breakdowns can occur because of simple error or mistake. Additonally, controls can be circumvented by the individual acts of some persons, by collusion of two or more people, or by management override of the control. The design of any system of controls is based in part upon certain assumptons about the likelihood of future events, and there can be no assurance that any design will succeed in achieving its stated goals under all potental future conditons. Over tme, controls may become inadequate because of changes in conditons, or the degree of compliance with the policies or procedures may deteriorate. Because of the inherent limitatons in a cost-efectve control system, misstatements due to error or fraud may occur and not be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90170</wp:posOffset>
            </wp:positionV>
            <wp:extent cx="325755" cy="1968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2">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3" w:name="page114"/>
    <w:bookmarkEnd w:id="113"/>
    <w:p>
      <w:pPr>
        <w:jc w:val="right"/>
        <w:spacing w:after="0"/>
        <w:rPr>
          <w:sz w:val="20"/>
          <w:szCs w:val="20"/>
          <w:color w:val="auto"/>
        </w:rPr>
      </w:pPr>
      <w:r>
        <w:rPr>
          <w:rFonts w:ascii="Calibri" w:cs="Calibri" w:eastAsia="Calibri" w:hAnsi="Calibri"/>
          <w:sz w:val="18"/>
          <w:szCs w:val="18"/>
          <w:color w:val="auto"/>
        </w:rPr>
        <w:t xml:space="preserve">Part II </w:t>
      </w:r>
      <w:r>
        <w:rPr>
          <w:rFonts w:ascii="Arial" w:cs="Arial" w:eastAsia="Arial" w:hAnsi="Arial"/>
          <w:sz w:val="23"/>
          <w:szCs w:val="23"/>
          <w:color w:val="0070C0"/>
        </w:rPr>
        <w:t>♦</w:t>
      </w:r>
      <w:r>
        <w:rPr>
          <w:rFonts w:ascii="Calibri" w:cs="Calibri" w:eastAsia="Calibri" w:hAnsi="Calibri"/>
          <w:sz w:val="18"/>
          <w:szCs w:val="18"/>
          <w:color w:val="auto"/>
        </w:rPr>
        <w:t xml:space="preserve"> Item 9A – Controls and Procedures</w:t>
      </w:r>
    </w:p>
    <w:p>
      <w:pPr>
        <w:spacing w:after="0" w:line="16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CEO and CFO Certfcatons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Included among the exhibits to this Form 10-K are forms of “Certfcatons” of the Company’s CEO and CFO as required in accordance with Secton 302 of the Sarbanes-Oxley Act of 2002 (the “Secton 302 Certfcaton”). The Secton 302 Certfcatons refer to this evaluaton of the Company’s disclosure policies and procedures and internal control over fnancial reportng. The informaton in this secton should be read in conjuncton with the Secton 302 Certfcatons for a more complete understanding of the topics presented.</w:t>
      </w:r>
    </w:p>
    <w:p>
      <w:pPr>
        <w:spacing w:after="0" w:line="21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9B – OTHER INFORMATION</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three months ended December 31, 2023, no director or ofcer of the Company adopted or terminated a "Rule 10b5-1 trading arrangement" or "non-Rule 10b5-1 trading arrangement," as each term is defned in Item 408(a) of Regulaton S-K.</w:t>
      </w:r>
    </w:p>
    <w:p>
      <w:pPr>
        <w:spacing w:after="0" w:line="21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9C – DISCLOSURE REGARDING FOREIGN JURISDICTIONS THAT PREVENT INSPECTIONS</w:t>
      </w:r>
    </w:p>
    <w:p>
      <w:pPr>
        <w:spacing w:after="0" w:line="59"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92075</wp:posOffset>
            </wp:positionV>
            <wp:extent cx="325755" cy="1974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4">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Page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4" w:name="page115"/>
    <w:bookmarkEnd w:id="114"/>
    <w:p>
      <w:pPr>
        <w:ind w:left="5840"/>
        <w:spacing w:after="0"/>
        <w:rPr>
          <w:sz w:val="20"/>
          <w:szCs w:val="20"/>
          <w:color w:val="auto"/>
        </w:rPr>
      </w:pPr>
      <w:r>
        <w:rPr>
          <w:rFonts w:ascii="MS PGothic" w:cs="MS PGothic" w:eastAsia="MS PGothic" w:hAnsi="MS PGothic"/>
          <w:sz w:val="17"/>
          <w:szCs w:val="17"/>
          <w:color w:val="auto"/>
        </w:rPr>
        <w:t xml:space="preserve">Part III </w:t>
      </w:r>
      <w:r>
        <w:rPr>
          <w:rFonts w:ascii="Arial" w:cs="Arial" w:eastAsia="Arial" w:hAnsi="Arial"/>
          <w:sz w:val="22"/>
          <w:szCs w:val="22"/>
          <w:color w:val="0070C0"/>
        </w:rPr>
        <w:t>♦</w:t>
      </w:r>
      <w:r>
        <w:rPr>
          <w:rFonts w:ascii="MS PGothic" w:cs="MS PGothic" w:eastAsia="MS PGothic" w:hAnsi="MS PGothic"/>
          <w:sz w:val="17"/>
          <w:szCs w:val="17"/>
          <w:color w:val="auto"/>
        </w:rPr>
        <w:t xml:space="preserve"> Item 10 – Directors, Executve Ofcers and Corporate Governance</w:t>
      </w:r>
    </w:p>
    <w:p>
      <w:pPr>
        <w:spacing w:after="0" w:line="183" w:lineRule="exact"/>
        <w:rPr>
          <w:sz w:val="20"/>
          <w:szCs w:val="20"/>
          <w:color w:val="auto"/>
        </w:rPr>
      </w:pPr>
    </w:p>
    <w:p>
      <w:pPr>
        <w:jc w:val="center"/>
        <w:ind w:right="80"/>
        <w:spacing w:after="0"/>
        <w:rPr>
          <w:sz w:val="20"/>
          <w:szCs w:val="20"/>
          <w:color w:val="auto"/>
        </w:rPr>
      </w:pPr>
      <w:r>
        <w:rPr>
          <w:rFonts w:ascii="Calibri" w:cs="Calibri" w:eastAsia="Calibri" w:hAnsi="Calibri"/>
          <w:sz w:val="36"/>
          <w:szCs w:val="36"/>
          <w:color w:val="auto"/>
        </w:rPr>
        <w:t>PART III</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10 – DIRECTORS, EXECUTIVE OFFICERS AND CORPORATE GOVERNANCE</w:t>
      </w:r>
    </w:p>
    <w:p>
      <w:pPr>
        <w:spacing w:after="0" w:line="64" w:lineRule="exact"/>
        <w:rPr>
          <w:sz w:val="20"/>
          <w:szCs w:val="20"/>
          <w:color w:val="auto"/>
        </w:rPr>
      </w:pPr>
    </w:p>
    <w:p>
      <w:pPr>
        <w:jc w:val="both"/>
        <w:spacing w:after="0" w:line="294" w:lineRule="auto"/>
        <w:rPr>
          <w:sz w:val="20"/>
          <w:szCs w:val="20"/>
          <w:color w:val="auto"/>
        </w:rPr>
      </w:pPr>
      <w:r>
        <w:rPr>
          <w:rFonts w:ascii="MS PGothic" w:cs="MS PGothic" w:eastAsia="MS PGothic" w:hAnsi="MS PGothic"/>
          <w:sz w:val="18"/>
          <w:szCs w:val="18"/>
          <w:color w:val="auto"/>
        </w:rPr>
        <w:t>The informaton concerning directors of the Company, the Audit Commitee of the Board of Directors, and the Audit Commitee fnancial expert serving on the Audit Commitee, all as required in response to this Item 10, is included under the captons “Corporate Governance Maters” in the Company’s defnitve proxy statement to be fled with the SEC pursuant to Regulaton 14A within 120 days afer the close of the Company’s fscal year ended December 31, 2023 (the “2024 Proxy Statement”), and that informaton is hereby incorporated by reference in this Form 10-K. Informaton concerning Secton 16(a) reportng compliance is incorporated by reference to the informaton appearing under the capton “Secton 16(a) Reports” in the 2024 Proxy Statement. Informaton concerning executve ofcers of the Company required in response to this Item 10 is included in Part I, under the heading “</w:t>
      </w:r>
      <w:r>
        <w:rPr>
          <w:rFonts w:ascii="MS PGothic" w:cs="MS PGothic" w:eastAsia="MS PGothic" w:hAnsi="MS PGothic"/>
          <w:sz w:val="18"/>
          <w:szCs w:val="18"/>
          <w:u w:val="single" w:color="auto"/>
          <w:color w:val="007DC6"/>
        </w:rPr>
        <w:t>Informaton about our Executve</w:t>
      </w:r>
      <w:r>
        <w:rPr>
          <w:rFonts w:ascii="MS PGothic" w:cs="MS PGothic" w:eastAsia="MS PGothic" w:hAnsi="MS PGothic"/>
          <w:sz w:val="18"/>
          <w:szCs w:val="18"/>
          <w:color w:val="auto"/>
        </w:rPr>
        <w:t xml:space="preserve"> </w:t>
      </w:r>
      <w:r>
        <w:rPr>
          <w:rFonts w:ascii="MS PGothic" w:cs="MS PGothic" w:eastAsia="MS PGothic" w:hAnsi="MS PGothic"/>
          <w:sz w:val="18"/>
          <w:szCs w:val="18"/>
          <w:u w:val="single" w:color="auto"/>
          <w:color w:val="007DC6"/>
        </w:rPr>
        <w:t>Ofcers</w:t>
      </w:r>
      <w:r>
        <w:rPr>
          <w:rFonts w:ascii="MS PGothic" w:cs="MS PGothic" w:eastAsia="MS PGothic" w:hAnsi="MS PGothic"/>
          <w:sz w:val="18"/>
          <w:szCs w:val="18"/>
          <w:color w:val="000000"/>
        </w:rPr>
        <w:t>,” of this Form 10-K. The informaton concerning the Company’s code of ethics required in response to this Item 10 is included in Part I, under the</w:t>
      </w:r>
      <w:r>
        <w:rPr>
          <w:rFonts w:ascii="MS PGothic" w:cs="MS PGothic" w:eastAsia="MS PGothic" w:hAnsi="MS PGothic"/>
          <w:sz w:val="18"/>
          <w:szCs w:val="18"/>
          <w:color w:val="007DC6"/>
        </w:rPr>
        <w:t xml:space="preserve"> </w:t>
      </w:r>
      <w:r>
        <w:rPr>
          <w:rFonts w:ascii="MS PGothic" w:cs="MS PGothic" w:eastAsia="MS PGothic" w:hAnsi="MS PGothic"/>
          <w:sz w:val="18"/>
          <w:szCs w:val="18"/>
          <w:color w:val="000000"/>
        </w:rPr>
        <w:t>heading “</w:t>
      </w:r>
      <w:r>
        <w:rPr>
          <w:rFonts w:ascii="MS PGothic" w:cs="MS PGothic" w:eastAsia="MS PGothic" w:hAnsi="MS PGothic"/>
          <w:sz w:val="18"/>
          <w:szCs w:val="18"/>
          <w:u w:val="single" w:color="auto"/>
          <w:color w:val="007DC6"/>
        </w:rPr>
        <w:t>Available Informaton</w:t>
      </w:r>
      <w:r>
        <w:rPr>
          <w:rFonts w:ascii="MS PGothic" w:cs="MS PGothic" w:eastAsia="MS PGothic" w:hAnsi="MS PGothic"/>
          <w:sz w:val="18"/>
          <w:szCs w:val="18"/>
          <w:color w:val="000000"/>
        </w:rPr>
        <w: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5650230</wp:posOffset>
            </wp:positionH>
            <wp:positionV relativeFrom="paragraph">
              <wp:posOffset>-316865</wp:posOffset>
            </wp:positionV>
            <wp:extent cx="147891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6">
                      <a:extLst>
                        <a:ext uri="{28A0092B-C50C-407E-A947-70E740481C1C}"/>
                      </a:extLst>
                    </a:blip>
                    <a:srcRect/>
                    <a:stretch>
                      <a:fillRect/>
                    </a:stretch>
                  </pic:blipFill>
                  <pic:spPr bwMode="auto">
                    <a:xfrm>
                      <a:off x="0" y="0"/>
                      <a:ext cx="14789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34671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7">
                      <a:extLst>
                        <a:ext uri="{28A0092B-C50C-407E-A947-70E740481C1C}"/>
                      </a:extLst>
                    </a:blip>
                    <a:srcRect/>
                    <a:stretch>
                      <a:fillRect/>
                    </a:stretch>
                  </pic:blipFill>
                  <pic:spPr bwMode="auto">
                    <a:xfrm>
                      <a:off x="0" y="0"/>
                      <a:ext cx="34671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-42545</wp:posOffset>
            </wp:positionV>
            <wp:extent cx="96964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8">
                      <a:extLst>
                        <a:ext uri="{28A0092B-C50C-407E-A947-70E740481C1C}"/>
                      </a:extLst>
                    </a:blip>
                    <a:srcRect/>
                    <a:stretch>
                      <a:fillRect/>
                    </a:stretch>
                  </pic:blipFill>
                  <pic:spPr bwMode="auto">
                    <a:xfrm>
                      <a:off x="0" y="0"/>
                      <a:ext cx="969645"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11 – EXECUTIVE COMPENSATION</w:t>
      </w:r>
    </w:p>
    <w:p>
      <w:pPr>
        <w:spacing w:after="0" w:line="118" w:lineRule="exact"/>
        <w:rPr>
          <w:sz w:val="20"/>
          <w:szCs w:val="20"/>
          <w:color w:val="auto"/>
        </w:rPr>
      </w:pPr>
    </w:p>
    <w:p>
      <w:pPr>
        <w:jc w:val="both"/>
        <w:spacing w:after="0" w:line="336" w:lineRule="auto"/>
        <w:rPr>
          <w:sz w:val="20"/>
          <w:szCs w:val="20"/>
          <w:color w:val="auto"/>
        </w:rPr>
      </w:pPr>
      <w:r>
        <w:rPr>
          <w:rFonts w:ascii="MS PGothic" w:cs="MS PGothic" w:eastAsia="MS PGothic" w:hAnsi="MS PGothic"/>
          <w:sz w:val="17"/>
          <w:szCs w:val="17"/>
          <w:color w:val="auto"/>
        </w:rPr>
        <w:t>The informaton required in response to this Item 11 is included under the captons “Executve Compensaton,” “Compensaton Discussion and Analysis,” “Pay Versus Performance,” “Corporate Governance Maters,” “Management Development and Compensaton Commitee Report,” and “Compensaton Commitee Interlocks and Insider Partcipaton” in the Company’s 2024 Proxy Statement, and that informaton is hereby incorporated by reference in this Form 10-K.</w:t>
      </w:r>
    </w:p>
    <w:p>
      <w:pPr>
        <w:spacing w:after="0" w:line="150" w:lineRule="exact"/>
        <w:rPr>
          <w:sz w:val="20"/>
          <w:szCs w:val="20"/>
          <w:color w:val="auto"/>
        </w:rPr>
      </w:pPr>
    </w:p>
    <w:p>
      <w:pPr>
        <w:jc w:val="both"/>
        <w:spacing w:after="0"/>
        <w:rPr>
          <w:sz w:val="20"/>
          <w:szCs w:val="20"/>
          <w:color w:val="auto"/>
        </w:rPr>
      </w:pPr>
      <w:r>
        <w:rPr>
          <w:rFonts w:ascii="Calibri" w:cs="Calibri" w:eastAsia="Calibri" w:hAnsi="Calibri"/>
          <w:sz w:val="25"/>
          <w:szCs w:val="25"/>
          <w:b w:val="1"/>
          <w:bCs w:val="1"/>
          <w:color w:val="auto"/>
        </w:rPr>
        <w:t>ITEM 12 – SECURITY OWNERSHIP OF CERTAIN BENEFICIAL OWNERS AND MANAGEMENT AND RELATED STOCKHOLDER MATTERS</w:t>
      </w:r>
    </w:p>
    <w:p>
      <w:pPr>
        <w:spacing w:after="0" w:line="65"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auto"/>
        </w:rPr>
        <w:t>The informaton required in response to this Item 12 is included under the captons “General Informaton,” “Security Ownership of Certain Benefcial Owners and Management,” and “Securites Authorized for Issuance Under Equity Compensaton Plans” in the Company’s 2024 Proxy Statement, and that informaton is hereby incorporated by reference in this Form 10-K.</w:t>
      </w:r>
    </w:p>
    <w:p>
      <w:pPr>
        <w:spacing w:after="0" w:line="16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13 – CERTAIN RELATIONSHIPS AND RELATED TRANSACTIONS, AND DIRECTOR INDEPENDENCE</w:t>
      </w:r>
    </w:p>
    <w:p>
      <w:pPr>
        <w:spacing w:after="0" w:line="64" w:lineRule="exact"/>
        <w:rPr>
          <w:sz w:val="20"/>
          <w:szCs w:val="20"/>
          <w:color w:val="auto"/>
        </w:rPr>
      </w:pPr>
    </w:p>
    <w:p>
      <w:pPr>
        <w:jc w:val="both"/>
        <w:spacing w:after="0" w:line="311" w:lineRule="auto"/>
        <w:rPr>
          <w:sz w:val="20"/>
          <w:szCs w:val="20"/>
          <w:color w:val="auto"/>
        </w:rPr>
      </w:pPr>
      <w:r>
        <w:rPr>
          <w:rFonts w:ascii="MS PGothic" w:cs="MS PGothic" w:eastAsia="MS PGothic" w:hAnsi="MS PGothic"/>
          <w:sz w:val="18"/>
          <w:szCs w:val="18"/>
          <w:color w:val="auto"/>
        </w:rPr>
        <w:t>The informaton required in response to this Item 13 is included under the captons “Compensaton Commitee Interlocks and Insider Partcipaton in Compensaton Decisions” and “Corporate Governance Maters” in the Company’s 2024 Proxy Statement, and that informaton is hereby incorporated by reference in this Form 10-K.</w:t>
      </w:r>
    </w:p>
    <w:p>
      <w:pPr>
        <w:spacing w:after="0" w:line="160"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14 – PRINCIPAL ACCOUNTANT FEES AND SERVICES</w:t>
      </w:r>
    </w:p>
    <w:p>
      <w:pPr>
        <w:spacing w:after="0" w:line="64"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auto"/>
        </w:rPr>
        <w:t>The informaton required in response to this Item 14 is included under the capton “Independent Auditors” in the Company’s 2024 Proxy Statement, and that informaton is hereby incorporated by reference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47625</wp:posOffset>
            </wp:positionV>
            <wp:extent cx="325755" cy="1968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MS PGothic" w:cs="MS PGothic" w:eastAsia="MS PGothic" w:hAnsi="MS PGothic"/>
          <w:sz w:val="18"/>
          <w:szCs w:val="18"/>
          <w:color w:val="auto"/>
        </w:rPr>
        <w:t xml:space="preserve">Form 10-K </w:t>
      </w:r>
      <w:r>
        <w:rPr>
          <w:rFonts w:ascii="Arial" w:cs="Arial" w:eastAsia="Arial" w:hAnsi="Arial"/>
          <w:sz w:val="23"/>
          <w:szCs w:val="23"/>
          <w:color w:val="0070C0"/>
        </w:rPr>
        <w:t>♦</w:t>
      </w:r>
      <w:r>
        <w:rPr>
          <w:rFonts w:ascii="MS PGothic" w:cs="MS PGothic" w:eastAsia="MS PGothic" w:hAnsi="MS PGothic"/>
          <w:sz w:val="18"/>
          <w:szCs w:val="18"/>
          <w:color w:val="auto"/>
        </w:rPr>
        <w:t xml:space="preserve">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5" w:name="page116"/>
    <w:bookmarkEnd w:id="115"/>
    <w:p>
      <w:pPr>
        <w:jc w:val="right"/>
        <w:spacing w:after="0"/>
        <w:rPr>
          <w:sz w:val="20"/>
          <w:szCs w:val="20"/>
          <w:color w:val="auto"/>
        </w:rPr>
      </w:pPr>
      <w:r>
        <w:rPr>
          <w:rFonts w:ascii="Calibri" w:cs="Calibri" w:eastAsia="Calibri" w:hAnsi="Calibri"/>
          <w:sz w:val="18"/>
          <w:szCs w:val="18"/>
          <w:color w:val="auto"/>
        </w:rPr>
        <w:t xml:space="preserve">Part IV </w:t>
      </w:r>
      <w:r>
        <w:rPr>
          <w:rFonts w:ascii="Arial" w:cs="Arial" w:eastAsia="Arial" w:hAnsi="Arial"/>
          <w:sz w:val="23"/>
          <w:szCs w:val="23"/>
          <w:color w:val="0070C0"/>
        </w:rPr>
        <w:t>♦</w:t>
      </w:r>
      <w:r>
        <w:rPr>
          <w:rFonts w:ascii="Calibri" w:cs="Calibri" w:eastAsia="Calibri" w:hAnsi="Calibri"/>
          <w:sz w:val="18"/>
          <w:szCs w:val="18"/>
          <w:color w:val="auto"/>
        </w:rPr>
        <w:t xml:space="preserve"> Item 15 – Exhibits and Financial Statement Schedules</w:t>
      </w:r>
    </w:p>
    <w:p>
      <w:pPr>
        <w:spacing w:after="0" w:line="155" w:lineRule="exact"/>
        <w:rPr>
          <w:sz w:val="20"/>
          <w:szCs w:val="20"/>
          <w:color w:val="auto"/>
        </w:rPr>
      </w:pPr>
    </w:p>
    <w:p>
      <w:pPr>
        <w:jc w:val="center"/>
        <w:spacing w:after="0"/>
        <w:rPr>
          <w:sz w:val="20"/>
          <w:szCs w:val="20"/>
          <w:color w:val="auto"/>
        </w:rPr>
      </w:pPr>
      <w:r>
        <w:rPr>
          <w:rFonts w:ascii="Calibri" w:cs="Calibri" w:eastAsia="Calibri" w:hAnsi="Calibri"/>
          <w:sz w:val="36"/>
          <w:szCs w:val="36"/>
          <w:color w:val="auto"/>
        </w:rPr>
        <w:t>PART IV</w:t>
      </w:r>
    </w:p>
    <w:p>
      <w:pPr>
        <w:spacing w:after="0" w:line="209"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15 – EXHIBITS AND FINANCIAL STATEMENT SCHEDULES</w:t>
      </w:r>
    </w:p>
    <w:p>
      <w:pPr>
        <w:spacing w:after="0" w:line="11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(a) (1) List of fnancial statements fled as part of this Form 10-K</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consolidated fnancial statements of Martn Marieta and consolidated subsidiaries, and related notes, appear in </w:t>
      </w:r>
      <w:r>
        <w:rPr>
          <w:rFonts w:ascii="Calibri" w:cs="Calibri" w:eastAsia="Calibri" w:hAnsi="Calibri"/>
          <w:sz w:val="18"/>
          <w:szCs w:val="18"/>
          <w:u w:val="single" w:color="auto"/>
          <w:color w:val="0563C1"/>
        </w:rPr>
        <w:t>Item 8, “Financial Statements and</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563C1"/>
        </w:rPr>
        <w:t>Supplemental Data,”</w:t>
      </w:r>
      <w:r>
        <w:rPr>
          <w:rFonts w:ascii="Calibri" w:cs="Calibri" w:eastAsia="Calibri" w:hAnsi="Calibri"/>
          <w:sz w:val="18"/>
          <w:szCs w:val="18"/>
          <w:color w:val="0563C1"/>
        </w:rPr>
        <w:t xml:space="preserve"> </w:t>
      </w:r>
      <w:r>
        <w:rPr>
          <w:rFonts w:ascii="Calibri" w:cs="Calibri" w:eastAsia="Calibri" w:hAnsi="Calibri"/>
          <w:sz w:val="18"/>
          <w:szCs w:val="18"/>
          <w:color w:val="000000"/>
        </w:rPr>
        <w:t>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5544185</wp:posOffset>
            </wp:positionH>
            <wp:positionV relativeFrom="paragraph">
              <wp:posOffset>-155575</wp:posOffset>
            </wp:positionV>
            <wp:extent cx="159194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1">
                      <a:extLst>
                        <a:ext uri="{28A0092B-C50C-407E-A947-70E740481C1C}"/>
                      </a:extLst>
                    </a:blip>
                    <a:srcRect/>
                    <a:stretch>
                      <a:fillRect/>
                    </a:stretch>
                  </pic:blipFill>
                  <pic:spPr bwMode="auto">
                    <a:xfrm>
                      <a:off x="0" y="0"/>
                      <a:ext cx="15919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92646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2">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(a) (2) List of fnancial statement schedules fled as part of this Form 10-K</w:t>
      </w:r>
    </w:p>
    <w:p>
      <w:pPr>
        <w:spacing w:after="0" w:line="64" w:lineRule="exact"/>
        <w:rPr>
          <w:sz w:val="20"/>
          <w:szCs w:val="20"/>
          <w:color w:val="auto"/>
        </w:rPr>
      </w:pPr>
    </w:p>
    <w:p>
      <w:pPr>
        <w:ind w:right="1660"/>
        <w:spacing w:after="0" w:line="348" w:lineRule="auto"/>
        <w:rPr>
          <w:sz w:val="20"/>
          <w:szCs w:val="20"/>
          <w:color w:val="auto"/>
        </w:rPr>
      </w:pPr>
      <w:r>
        <w:rPr>
          <w:rFonts w:ascii="Calibri" w:cs="Calibri" w:eastAsia="Calibri" w:hAnsi="Calibri"/>
          <w:sz w:val="18"/>
          <w:szCs w:val="18"/>
          <w:color w:val="auto"/>
        </w:rPr>
        <w:t>The following fnancial statement schedule of Martn Marieta and consolidated subsidiaries is included in Item 15(c) of this Form 10-K. Schedule II - Valuaton and Qualifying Accounts</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All other schedules have been omited because they are not applicable, not required, or the informaton has been otherwise supplied in the fnancial statements or notes to the fnancial statements.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report of the Company’s independent registered public accountng frm with respect to the above-referenced fnancial statements is included in </w:t>
      </w:r>
      <w:r>
        <w:rPr>
          <w:rFonts w:ascii="Calibri" w:cs="Calibri" w:eastAsia="Calibri" w:hAnsi="Calibri"/>
          <w:sz w:val="18"/>
          <w:szCs w:val="18"/>
          <w:u w:val="single" w:color="auto"/>
          <w:color w:val="0563C1"/>
        </w:rPr>
        <w:t>Item 8,</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0563C1"/>
        </w:rPr>
        <w:t>“Financial Statements and Supplemental Data,”</w:t>
      </w:r>
      <w:r>
        <w:rPr>
          <w:rFonts w:ascii="Calibri" w:cs="Calibri" w:eastAsia="Calibri" w:hAnsi="Calibri"/>
          <w:sz w:val="18"/>
          <w:szCs w:val="18"/>
          <w:color w:val="0563C1"/>
        </w:rPr>
        <w:t xml:space="preserve"> </w:t>
      </w:r>
      <w:r>
        <w:rPr>
          <w:rFonts w:ascii="Calibri" w:cs="Calibri" w:eastAsia="Calibri" w:hAnsi="Calibri"/>
          <w:sz w:val="18"/>
          <w:szCs w:val="18"/>
          <w:color w:val="000000"/>
        </w:rPr>
        <w:t>of this Form 10-K. The consent of the Company’s independent registered public accountng frm is atached as</w:t>
      </w:r>
      <w:r>
        <w:rPr>
          <w:rFonts w:ascii="Calibri" w:cs="Calibri" w:eastAsia="Calibri" w:hAnsi="Calibri"/>
          <w:sz w:val="18"/>
          <w:szCs w:val="18"/>
          <w:color w:val="0563C1"/>
        </w:rPr>
        <w:t xml:space="preserve"> </w:t>
      </w:r>
      <w:r>
        <w:rPr>
          <w:rFonts w:ascii="Calibri" w:cs="Calibri" w:eastAsia="Calibri" w:hAnsi="Calibri"/>
          <w:sz w:val="18"/>
          <w:szCs w:val="18"/>
          <w:color w:val="000000"/>
        </w:rPr>
        <w:t>Exhibit 23.01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6813550</wp:posOffset>
            </wp:positionH>
            <wp:positionV relativeFrom="paragraph">
              <wp:posOffset>-292100</wp:posOffset>
            </wp:positionV>
            <wp:extent cx="31813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3">
                      <a:extLst>
                        <a:ext uri="{28A0092B-C50C-407E-A947-70E740481C1C}"/>
                      </a:extLst>
                    </a:blip>
                    <a:srcRect/>
                    <a:stretch>
                      <a:fillRect/>
                    </a:stretch>
                  </pic:blipFill>
                  <pic:spPr bwMode="auto">
                    <a:xfrm>
                      <a:off x="0" y="0"/>
                      <a:ext cx="3181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213233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4">
                      <a:extLst>
                        <a:ext uri="{28A0092B-C50C-407E-A947-70E740481C1C}"/>
                      </a:extLst>
                    </a:blip>
                    <a:srcRect/>
                    <a:stretch>
                      <a:fillRect/>
                    </a:stretch>
                  </pic:blipFill>
                  <pic:spPr bwMode="auto">
                    <a:xfrm>
                      <a:off x="0" y="0"/>
                      <a:ext cx="213233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007DC6"/>
        </w:rPr>
        <w:t>(a) (3) Exhibits</w:t>
      </w:r>
    </w:p>
    <w:p>
      <w:pPr>
        <w:spacing w:after="0" w:line="6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list of Exhibits on the accompanying Index of Exhibits included in Item 15(b) of this Form 10-K is hereby incorporated by reference. Each management contract or compensatory plan or arrangement required to be fled as an exhibit is indicated by asterisks.</w:t>
      </w:r>
    </w:p>
    <w:p>
      <w:pPr>
        <w:spacing w:after="0" w:line="215"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965F6E"/>
        </w:rPr>
        <w:t>(b) Index of Exhibits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501"/>
        </w:trPr>
        <w:tc>
          <w:tcPr>
            <w:tcW w:w="220" w:type="dxa"/>
            <w:vAlign w:val="bottom"/>
            <w:tcBorders>
              <w:right w:val="single" w:sz="8" w:color="91BBD3"/>
            </w:tcBorders>
          </w:tcPr>
          <w:p>
            <w:pPr>
              <w:spacing w:after="0"/>
              <w:rPr>
                <w:sz w:val="24"/>
                <w:szCs w:val="24"/>
                <w:color w:val="auto"/>
              </w:rPr>
            </w:pPr>
          </w:p>
        </w:tc>
        <w:tc>
          <w:tcPr>
            <w:tcW w:w="1640" w:type="dxa"/>
            <w:vAlign w:val="bottom"/>
            <w:tcBorders>
              <w:top w:val="single" w:sz="8" w:color="91BBD3"/>
              <w:bottom w:val="single" w:sz="8" w:color="007DC6"/>
              <w:right w:val="single" w:sz="8" w:color="91BBD3"/>
            </w:tcBorders>
            <w:shd w:val="clear" w:color="auto" w:fill="007DC6"/>
          </w:tcPr>
          <w:p>
            <w:pPr>
              <w:jc w:val="right"/>
              <w:ind w:right="351"/>
              <w:spacing w:after="0"/>
              <w:rPr>
                <w:sz w:val="20"/>
                <w:szCs w:val="20"/>
                <w:color w:val="auto"/>
              </w:rPr>
            </w:pPr>
            <w:r>
              <w:rPr>
                <w:rFonts w:ascii="Calibri" w:cs="Calibri" w:eastAsia="Calibri" w:hAnsi="Calibri"/>
                <w:sz w:val="18"/>
                <w:szCs w:val="18"/>
                <w:b w:val="1"/>
                <w:bCs w:val="1"/>
                <w:color w:val="FFFFFF"/>
              </w:rPr>
              <w:t>Exhibit No.</w:t>
            </w:r>
          </w:p>
        </w:tc>
        <w:tc>
          <w:tcPr>
            <w:tcW w:w="100" w:type="dxa"/>
            <w:vAlign w:val="bottom"/>
            <w:tcBorders>
              <w:top w:val="single" w:sz="8" w:color="007DC6"/>
              <w:bottom w:val="single" w:sz="8" w:color="007DC6"/>
            </w:tcBorders>
            <w:shd w:val="clear" w:color="auto" w:fill="007DC6"/>
          </w:tcPr>
          <w:p>
            <w:pPr>
              <w:spacing w:after="0"/>
              <w:rPr>
                <w:sz w:val="24"/>
                <w:szCs w:val="24"/>
                <w:color w:val="auto"/>
              </w:rPr>
            </w:pPr>
          </w:p>
        </w:tc>
        <w:tc>
          <w:tcPr>
            <w:tcW w:w="2180" w:type="dxa"/>
            <w:vAlign w:val="bottom"/>
            <w:tcBorders>
              <w:top w:val="single" w:sz="8" w:color="007DC6"/>
              <w:bottom w:val="single" w:sz="8" w:color="007DC6"/>
            </w:tcBorders>
            <w:shd w:val="clear" w:color="auto" w:fill="007DC6"/>
          </w:tcPr>
          <w:p>
            <w:pPr>
              <w:spacing w:after="0"/>
              <w:rPr>
                <w:sz w:val="24"/>
                <w:szCs w:val="24"/>
                <w:color w:val="auto"/>
              </w:rPr>
            </w:pPr>
          </w:p>
        </w:tc>
        <w:tc>
          <w:tcPr>
            <w:tcW w:w="700" w:type="dxa"/>
            <w:vAlign w:val="bottom"/>
            <w:tcBorders>
              <w:top w:val="single" w:sz="8" w:color="007DC6"/>
              <w:bottom w:val="single" w:sz="8" w:color="007DC6"/>
            </w:tcBorders>
            <w:shd w:val="clear" w:color="auto" w:fill="007DC6"/>
          </w:tcPr>
          <w:p>
            <w:pPr>
              <w:spacing w:after="0"/>
              <w:rPr>
                <w:sz w:val="24"/>
                <w:szCs w:val="24"/>
                <w:color w:val="auto"/>
              </w:rPr>
            </w:pPr>
          </w:p>
        </w:tc>
        <w:tc>
          <w:tcPr>
            <w:tcW w:w="2060" w:type="dxa"/>
            <w:vAlign w:val="bottom"/>
            <w:tcBorders>
              <w:top w:val="single" w:sz="8" w:color="007DC6"/>
              <w:bottom w:val="single" w:sz="8" w:color="007DC6"/>
            </w:tcBorders>
            <w:shd w:val="clear" w:color="auto" w:fill="007DC6"/>
          </w:tcPr>
          <w:p>
            <w:pPr>
              <w:spacing w:after="0"/>
              <w:rPr>
                <w:sz w:val="24"/>
                <w:szCs w:val="24"/>
                <w:color w:val="auto"/>
              </w:rPr>
            </w:pPr>
          </w:p>
        </w:tc>
        <w:tc>
          <w:tcPr>
            <w:tcW w:w="780" w:type="dxa"/>
            <w:vAlign w:val="bottom"/>
            <w:tcBorders>
              <w:top w:val="single" w:sz="8" w:color="007DC6"/>
              <w:bottom w:val="single" w:sz="8" w:color="007DC6"/>
            </w:tcBorders>
            <w:shd w:val="clear" w:color="auto" w:fill="007DC6"/>
          </w:tcPr>
          <w:p>
            <w:pPr>
              <w:spacing w:after="0"/>
              <w:rPr>
                <w:sz w:val="24"/>
                <w:szCs w:val="24"/>
                <w:color w:val="auto"/>
              </w:rPr>
            </w:pPr>
          </w:p>
        </w:tc>
        <w:tc>
          <w:tcPr>
            <w:tcW w:w="1640" w:type="dxa"/>
            <w:vAlign w:val="bottom"/>
            <w:tcBorders>
              <w:top w:val="single" w:sz="8" w:color="007DC6"/>
              <w:bottom w:val="single" w:sz="8" w:color="007DC6"/>
            </w:tcBorders>
            <w:shd w:val="clear" w:color="auto" w:fill="007DC6"/>
          </w:tcPr>
          <w:p>
            <w:pPr>
              <w:spacing w:after="0"/>
              <w:rPr>
                <w:sz w:val="24"/>
                <w:szCs w:val="24"/>
                <w:color w:val="auto"/>
              </w:rPr>
            </w:pPr>
          </w:p>
        </w:tc>
        <w:tc>
          <w:tcPr>
            <w:tcW w:w="1640" w:type="dxa"/>
            <w:vAlign w:val="bottom"/>
            <w:tcBorders>
              <w:top w:val="single" w:sz="8" w:color="007DC6"/>
              <w:bottom w:val="single" w:sz="8" w:color="007DC6"/>
              <w:right w:val="single" w:sz="8" w:color="007DC6"/>
            </w:tcBorders>
            <w:shd w:val="clear" w:color="auto" w:fill="007DC6"/>
          </w:tcPr>
          <w:p>
            <w:pPr>
              <w:spacing w:after="0"/>
              <w:rPr>
                <w:sz w:val="24"/>
                <w:szCs w:val="24"/>
                <w:color w:val="auto"/>
              </w:rPr>
            </w:pPr>
          </w:p>
        </w:tc>
        <w:tc>
          <w:tcPr>
            <w:tcW w:w="120" w:type="dxa"/>
            <w:vAlign w:val="bottom"/>
            <w:tcBorders>
              <w:top w:val="single" w:sz="8" w:color="007DC6"/>
              <w:bottom w:val="single" w:sz="8" w:color="007DC6"/>
              <w:right w:val="single" w:sz="8" w:color="91BBD3"/>
            </w:tcBorders>
            <w:shd w:val="clear" w:color="auto" w:fill="007DC6"/>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 w:type="dxa"/>
            <w:vAlign w:val="bottom"/>
            <w:tcBorders>
              <w:right w:val="single" w:sz="8" w:color="91BBD3"/>
            </w:tcBorders>
          </w:tcPr>
          <w:p>
            <w:pPr>
              <w:spacing w:after="0"/>
              <w:rPr>
                <w:sz w:val="12"/>
                <w:szCs w:val="12"/>
                <w:color w:val="auto"/>
              </w:rPr>
            </w:pPr>
          </w:p>
        </w:tc>
        <w:tc>
          <w:tcPr>
            <w:tcW w:w="1640" w:type="dxa"/>
            <w:vAlign w:val="bottom"/>
            <w:tcBorders>
              <w:top w:val="single" w:sz="8" w:color="91BBD3"/>
              <w:right w:val="single" w:sz="8" w:color="91BBD3"/>
            </w:tcBorders>
          </w:tcPr>
          <w:p>
            <w:pPr>
              <w:jc w:val="right"/>
              <w:ind w:right="1171"/>
              <w:spacing w:after="0" w:line="149" w:lineRule="exact"/>
              <w:rPr>
                <w:sz w:val="20"/>
                <w:szCs w:val="20"/>
                <w:color w:val="auto"/>
              </w:rPr>
            </w:pPr>
            <w:r>
              <w:rPr>
                <w:rFonts w:ascii="Calibri" w:cs="Calibri" w:eastAsia="Calibri" w:hAnsi="Calibri"/>
                <w:sz w:val="16"/>
                <w:szCs w:val="16"/>
                <w:b w:val="1"/>
                <w:bCs w:val="1"/>
                <w:color w:val="auto"/>
              </w:rPr>
              <w:t>2.01</w:t>
            </w:r>
          </w:p>
        </w:tc>
        <w:tc>
          <w:tcPr>
            <w:tcW w:w="100" w:type="dxa"/>
            <w:vAlign w:val="bottom"/>
            <w:tcBorders>
              <w:top w:val="single" w:sz="8" w:color="91BBD3"/>
            </w:tcBorders>
          </w:tcPr>
          <w:p>
            <w:pPr>
              <w:spacing w:after="0"/>
              <w:rPr>
                <w:sz w:val="12"/>
                <w:szCs w:val="12"/>
                <w:color w:val="auto"/>
              </w:rPr>
            </w:pPr>
          </w:p>
        </w:tc>
        <w:tc>
          <w:tcPr>
            <w:tcW w:w="9000" w:type="dxa"/>
            <w:vAlign w:val="bottom"/>
            <w:tcBorders>
              <w:top w:val="single" w:sz="8" w:color="91BBD3"/>
              <w:bottom w:val="single" w:sz="8" w:color="0563C1"/>
            </w:tcBorders>
            <w:gridSpan w:val="6"/>
          </w:tcPr>
          <w:p>
            <w:pPr>
              <w:spacing w:after="0" w:line="149" w:lineRule="exact"/>
              <w:rPr>
                <w:rFonts w:ascii="Calibri" w:cs="Calibri" w:eastAsia="Calibri" w:hAnsi="Calibri"/>
                <w:sz w:val="16"/>
                <w:szCs w:val="16"/>
                <w:color w:val="0563C1"/>
              </w:rPr>
            </w:pPr>
            <w:hyperlink r:id="rId715">
              <w:r>
                <w:rPr>
                  <w:rFonts w:ascii="Calibri" w:cs="Calibri" w:eastAsia="Calibri" w:hAnsi="Calibri"/>
                  <w:sz w:val="16"/>
                  <w:szCs w:val="16"/>
                  <w:color w:val="0563C1"/>
                </w:rPr>
                <w:t>Equity and Asset Purchase Agreement, dated as of November 20, 2023, among Martn Marieta Materials, Inc., CRH Americas</w:t>
              </w:r>
            </w:hyperlink>
          </w:p>
        </w:tc>
        <w:tc>
          <w:tcPr>
            <w:tcW w:w="120" w:type="dxa"/>
            <w:vAlign w:val="bottom"/>
            <w:tcBorders>
              <w:top w:val="single" w:sz="8" w:color="91BBD3"/>
              <w:right w:val="single" w:sz="8" w:color="91BBD3"/>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7"/>
          </w:tcPr>
          <w:p>
            <w:pPr>
              <w:spacing w:after="0" w:line="196" w:lineRule="exact"/>
              <w:rPr>
                <w:rFonts w:ascii="Calibri" w:cs="Calibri" w:eastAsia="Calibri" w:hAnsi="Calibri"/>
                <w:sz w:val="18"/>
                <w:szCs w:val="18"/>
                <w:color w:val="0563C1"/>
              </w:rPr>
            </w:pPr>
            <w:hyperlink r:id="rId715">
              <w:r>
                <w:rPr>
                  <w:rFonts w:ascii="Calibri" w:cs="Calibri" w:eastAsia="Calibri" w:hAnsi="Calibri"/>
                  <w:sz w:val="18"/>
                  <w:szCs w:val="18"/>
                  <w:color w:val="0563C1"/>
                </w:rPr>
                <w:t>Materials, Inc. and CRH plc (incorporated by reference to Exhibit 2.1 to the Martn Marieta Materials, Inc., Current Report on</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top w:val="single" w:sz="8" w:color="0563C1"/>
            </w:tcBorders>
            <w:gridSpan w:val="6"/>
          </w:tcPr>
          <w:p>
            <w:pPr>
              <w:spacing w:after="0" w:line="196" w:lineRule="exact"/>
              <w:rPr>
                <w:rFonts w:ascii="Calibri" w:cs="Calibri" w:eastAsia="Calibri" w:hAnsi="Calibri"/>
                <w:sz w:val="18"/>
                <w:szCs w:val="18"/>
                <w:color w:val="0563C1"/>
              </w:rPr>
            </w:pPr>
            <w:hyperlink r:id="rId715">
              <w:r>
                <w:rPr>
                  <w:rFonts w:ascii="Calibri" w:cs="Calibri" w:eastAsia="Calibri" w:hAnsi="Calibri"/>
                  <w:sz w:val="18"/>
                  <w:szCs w:val="18"/>
                  <w:color w:val="0563C1"/>
                </w:rPr>
                <w:t>Form 8-K fled on November 24, 2023) (Commission File No. 1-12744)</w:t>
              </w:r>
            </w:hyperlink>
          </w:p>
        </w:tc>
        <w:tc>
          <w:tcPr>
            <w:tcW w:w="12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20" w:type="dxa"/>
            <w:vAlign w:val="bottom"/>
            <w:tcBorders>
              <w:right w:val="single" w:sz="8" w:color="91BBD3"/>
            </w:tcBorders>
          </w:tcPr>
          <w:p>
            <w:pPr>
              <w:spacing w:after="0"/>
              <w:rPr>
                <w:sz w:val="4"/>
                <w:szCs w:val="4"/>
                <w:color w:val="auto"/>
              </w:rPr>
            </w:pPr>
          </w:p>
        </w:tc>
        <w:tc>
          <w:tcPr>
            <w:tcW w:w="164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2180" w:type="dxa"/>
            <w:vAlign w:val="bottom"/>
            <w:tcBorders>
              <w:top w:val="single" w:sz="8" w:color="0563C1"/>
              <w:bottom w:val="single" w:sz="8" w:color="91BBD3"/>
            </w:tcBorders>
          </w:tcPr>
          <w:p>
            <w:pPr>
              <w:spacing w:after="0"/>
              <w:rPr>
                <w:sz w:val="4"/>
                <w:szCs w:val="4"/>
                <w:color w:val="auto"/>
              </w:rPr>
            </w:pPr>
          </w:p>
        </w:tc>
        <w:tc>
          <w:tcPr>
            <w:tcW w:w="700" w:type="dxa"/>
            <w:vAlign w:val="bottom"/>
            <w:tcBorders>
              <w:top w:val="single" w:sz="8" w:color="0563C1"/>
              <w:bottom w:val="single" w:sz="8" w:color="91BBD3"/>
            </w:tcBorders>
          </w:tcPr>
          <w:p>
            <w:pPr>
              <w:spacing w:after="0"/>
              <w:rPr>
                <w:sz w:val="4"/>
                <w:szCs w:val="4"/>
                <w:color w:val="auto"/>
              </w:rPr>
            </w:pPr>
          </w:p>
        </w:tc>
        <w:tc>
          <w:tcPr>
            <w:tcW w:w="2060" w:type="dxa"/>
            <w:vAlign w:val="bottom"/>
            <w:tcBorders>
              <w:top w:val="single" w:sz="8" w:color="0563C1"/>
              <w:bottom w:val="single" w:sz="8" w:color="91BBD3"/>
            </w:tcBorders>
          </w:tcPr>
          <w:p>
            <w:pPr>
              <w:spacing w:after="0"/>
              <w:rPr>
                <w:sz w:val="4"/>
                <w:szCs w:val="4"/>
                <w:color w:val="auto"/>
              </w:rPr>
            </w:pPr>
          </w:p>
        </w:tc>
        <w:tc>
          <w:tcPr>
            <w:tcW w:w="780" w:type="dxa"/>
            <w:vAlign w:val="bottom"/>
            <w:tcBorders>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12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20" w:type="dxa"/>
            <w:vAlign w:val="bottom"/>
            <w:tcBorders>
              <w:right w:val="single" w:sz="8" w:color="91BBD3"/>
            </w:tcBorders>
          </w:tcPr>
          <w:p>
            <w:pPr>
              <w:spacing w:after="0"/>
              <w:rPr>
                <w:sz w:val="14"/>
                <w:szCs w:val="14"/>
                <w:color w:val="auto"/>
              </w:rPr>
            </w:pPr>
          </w:p>
        </w:tc>
        <w:tc>
          <w:tcPr>
            <w:tcW w:w="1640" w:type="dxa"/>
            <w:vAlign w:val="bottom"/>
            <w:tcBorders>
              <w:right w:val="single" w:sz="8" w:color="91BBD3"/>
            </w:tcBorders>
            <w:shd w:val="clear" w:color="auto" w:fill="DAE8F0"/>
          </w:tcPr>
          <w:p>
            <w:pPr>
              <w:jc w:val="right"/>
              <w:ind w:right="1171"/>
              <w:spacing w:after="0" w:line="169" w:lineRule="exact"/>
              <w:rPr>
                <w:sz w:val="20"/>
                <w:szCs w:val="20"/>
                <w:color w:val="auto"/>
              </w:rPr>
            </w:pPr>
            <w:r>
              <w:rPr>
                <w:rFonts w:ascii="Calibri" w:cs="Calibri" w:eastAsia="Calibri" w:hAnsi="Calibri"/>
                <w:sz w:val="18"/>
                <w:szCs w:val="18"/>
                <w:b w:val="1"/>
                <w:bCs w:val="1"/>
                <w:color w:val="auto"/>
              </w:rPr>
              <w:t>3.01</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7"/>
            <w:shd w:val="clear" w:color="auto" w:fill="DAE8F0"/>
          </w:tcPr>
          <w:p>
            <w:pPr>
              <w:spacing w:after="0" w:line="169" w:lineRule="exact"/>
              <w:rPr>
                <w:rFonts w:ascii="Calibri" w:cs="Calibri" w:eastAsia="Calibri" w:hAnsi="Calibri"/>
                <w:sz w:val="18"/>
                <w:szCs w:val="18"/>
                <w:color w:val="0563C1"/>
              </w:rPr>
            </w:pPr>
            <w:hyperlink r:id="rId716">
              <w:r>
                <w:rPr>
                  <w:rFonts w:ascii="Calibri" w:cs="Calibri" w:eastAsia="Calibri" w:hAnsi="Calibri"/>
                  <w:sz w:val="18"/>
                  <w:szCs w:val="18"/>
                  <w:color w:val="0563C1"/>
                </w:rPr>
                <w:t>Restated Artcles of Incorporaton of the Company, as amended (incorporated by reference to Exhibit 3.01 to the Martn</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tcPr>
          <w:p>
            <w:pPr>
              <w:spacing w:after="0" w:line="20" w:lineRule="exact"/>
              <w:rPr>
                <w:sz w:val="1"/>
                <w:szCs w:val="1"/>
                <w:color w:val="auto"/>
              </w:rPr>
            </w:pPr>
          </w:p>
        </w:tc>
        <w:tc>
          <w:tcPr>
            <w:tcW w:w="164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2180" w:type="dxa"/>
            <w:vAlign w:val="bottom"/>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840" w:type="dxa"/>
            <w:vAlign w:val="bottom"/>
            <w:gridSpan w:val="2"/>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1640" w:type="dxa"/>
            <w:vAlign w:val="bottom"/>
            <w:tcBorders>
              <w:right w:val="single" w:sz="8" w:color="0000EE"/>
            </w:tcBorders>
            <w:shd w:val="clear" w:color="auto" w:fill="0563C1"/>
          </w:tcPr>
          <w:p>
            <w:pPr>
              <w:spacing w:after="0" w:line="20" w:lineRule="exact"/>
              <w:rPr>
                <w:sz w:val="1"/>
                <w:szCs w:val="1"/>
                <w:color w:val="auto"/>
              </w:rPr>
            </w:pPr>
          </w:p>
        </w:tc>
        <w:tc>
          <w:tcPr>
            <w:tcW w:w="120" w:type="dxa"/>
            <w:vAlign w:val="bottom"/>
            <w:tcBorders>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right w:val="single" w:sz="8" w:color="DAE8F0"/>
            </w:tcBorders>
            <w:gridSpan w:val="6"/>
            <w:shd w:val="clear" w:color="auto" w:fill="DAE8F0"/>
          </w:tcPr>
          <w:p>
            <w:pPr>
              <w:spacing w:after="0" w:line="196" w:lineRule="exact"/>
              <w:rPr>
                <w:rFonts w:ascii="Calibri" w:cs="Calibri" w:eastAsia="Calibri" w:hAnsi="Calibri"/>
                <w:sz w:val="18"/>
                <w:szCs w:val="18"/>
                <w:color w:val="0563C1"/>
                <w:w w:val="99"/>
              </w:rPr>
            </w:pPr>
            <w:hyperlink r:id="rId716">
              <w:r>
                <w:rPr>
                  <w:rFonts w:ascii="Calibri" w:cs="Calibri" w:eastAsia="Calibri" w:hAnsi="Calibri"/>
                  <w:sz w:val="18"/>
                  <w:szCs w:val="18"/>
                  <w:color w:val="0563C1"/>
                  <w:w w:val="99"/>
                </w:rPr>
                <w:t>Marieta Materials, Inc. Annual Report on Form 10-K for the fscal year ended December 31, 2016, fled on February 24, 2017)</w:t>
              </w:r>
            </w:hyperlink>
          </w:p>
        </w:tc>
        <w:tc>
          <w:tcPr>
            <w:tcW w:w="120" w:type="dxa"/>
            <w:vAlign w:val="bottom"/>
            <w:tcBorders>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20" w:type="dxa"/>
            <w:vAlign w:val="bottom"/>
            <w:tcBorders>
              <w:right w:val="single" w:sz="8" w:color="91BBD3"/>
            </w:tcBorders>
          </w:tcPr>
          <w:p>
            <w:pPr>
              <w:spacing w:after="0"/>
              <w:rPr>
                <w:sz w:val="22"/>
                <w:szCs w:val="22"/>
                <w:color w:val="auto"/>
              </w:rPr>
            </w:pPr>
          </w:p>
        </w:tc>
        <w:tc>
          <w:tcPr>
            <w:tcW w:w="1640" w:type="dxa"/>
            <w:vAlign w:val="bottom"/>
            <w:tcBorders>
              <w:bottom w:val="single" w:sz="8" w:color="91BBD3"/>
              <w:right w:val="single" w:sz="8" w:color="91BBD3"/>
            </w:tcBorders>
            <w:shd w:val="clear" w:color="auto" w:fill="DAE8F0"/>
          </w:tcPr>
          <w:p>
            <w:pPr>
              <w:spacing w:after="0"/>
              <w:rPr>
                <w:sz w:val="22"/>
                <w:szCs w:val="22"/>
                <w:color w:val="auto"/>
              </w:rPr>
            </w:pPr>
          </w:p>
        </w:tc>
        <w:tc>
          <w:tcPr>
            <w:tcW w:w="100" w:type="dxa"/>
            <w:vAlign w:val="bottom"/>
            <w:tcBorders>
              <w:bottom w:val="single" w:sz="8" w:color="91BBD3"/>
            </w:tcBorders>
            <w:shd w:val="clear" w:color="auto" w:fill="DAE8F0"/>
          </w:tcPr>
          <w:p>
            <w:pPr>
              <w:spacing w:after="0"/>
              <w:rPr>
                <w:sz w:val="22"/>
                <w:szCs w:val="22"/>
                <w:color w:val="auto"/>
              </w:rPr>
            </w:pPr>
          </w:p>
        </w:tc>
        <w:tc>
          <w:tcPr>
            <w:tcW w:w="2180" w:type="dxa"/>
            <w:vAlign w:val="bottom"/>
            <w:tcBorders>
              <w:bottom w:val="single" w:sz="8" w:color="0563C1"/>
            </w:tcBorders>
            <w:shd w:val="clear" w:color="auto" w:fill="DAE8F0"/>
          </w:tcPr>
          <w:p>
            <w:pPr>
              <w:spacing w:after="0" w:line="196" w:lineRule="exact"/>
              <w:rPr>
                <w:rFonts w:ascii="Calibri" w:cs="Calibri" w:eastAsia="Calibri" w:hAnsi="Calibri"/>
                <w:sz w:val="18"/>
                <w:szCs w:val="18"/>
                <w:color w:val="0563C1"/>
                <w:w w:val="96"/>
              </w:rPr>
            </w:pPr>
            <w:hyperlink r:id="rId716">
              <w:r>
                <w:rPr>
                  <w:rFonts w:ascii="Calibri" w:cs="Calibri" w:eastAsia="Calibri" w:hAnsi="Calibri"/>
                  <w:sz w:val="18"/>
                  <w:szCs w:val="18"/>
                  <w:color w:val="0563C1"/>
                  <w:w w:val="96"/>
                </w:rPr>
                <w:t>(Commission File No. 1-12744)</w:t>
              </w:r>
            </w:hyperlink>
          </w:p>
        </w:tc>
        <w:tc>
          <w:tcPr>
            <w:tcW w:w="6940" w:type="dxa"/>
            <w:vAlign w:val="bottom"/>
            <w:tcBorders>
              <w:bottom w:val="single" w:sz="8" w:color="91BBD3"/>
              <w:right w:val="single" w:sz="8" w:color="91BBD3"/>
            </w:tcBorders>
            <w:gridSpan w:val="6"/>
            <w:shd w:val="clear" w:color="auto" w:fill="DAE8F0"/>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20" w:type="dxa"/>
            <w:vAlign w:val="bottom"/>
            <w:tcBorders>
              <w:right w:val="single" w:sz="8" w:color="91BBD3"/>
            </w:tcBorders>
          </w:tcPr>
          <w:p>
            <w:pPr>
              <w:spacing w:after="0"/>
              <w:rPr>
                <w:sz w:val="14"/>
                <w:szCs w:val="14"/>
                <w:color w:val="auto"/>
              </w:rPr>
            </w:pPr>
          </w:p>
        </w:tc>
        <w:tc>
          <w:tcPr>
            <w:tcW w:w="1640" w:type="dxa"/>
            <w:vAlign w:val="bottom"/>
            <w:tcBorders>
              <w:right w:val="single" w:sz="8" w:color="91BBD3"/>
            </w:tcBorders>
          </w:tcPr>
          <w:p>
            <w:pPr>
              <w:jc w:val="right"/>
              <w:ind w:right="1171"/>
              <w:spacing w:after="0" w:line="169" w:lineRule="exact"/>
              <w:rPr>
                <w:sz w:val="20"/>
                <w:szCs w:val="20"/>
                <w:color w:val="auto"/>
              </w:rPr>
            </w:pPr>
            <w:r>
              <w:rPr>
                <w:rFonts w:ascii="Calibri" w:cs="Calibri" w:eastAsia="Calibri" w:hAnsi="Calibri"/>
                <w:sz w:val="18"/>
                <w:szCs w:val="18"/>
                <w:b w:val="1"/>
                <w:bCs w:val="1"/>
                <w:color w:val="auto"/>
              </w:rPr>
              <w:t>3.02</w:t>
            </w:r>
          </w:p>
        </w:tc>
        <w:tc>
          <w:tcPr>
            <w:tcW w:w="100" w:type="dxa"/>
            <w:vAlign w:val="bottom"/>
          </w:tcPr>
          <w:p>
            <w:pPr>
              <w:spacing w:after="0"/>
              <w:rPr>
                <w:sz w:val="14"/>
                <w:szCs w:val="14"/>
                <w:color w:val="auto"/>
              </w:rPr>
            </w:pPr>
          </w:p>
        </w:tc>
        <w:tc>
          <w:tcPr>
            <w:tcW w:w="9000" w:type="dxa"/>
            <w:vAlign w:val="bottom"/>
            <w:tcBorders>
              <w:bottom w:val="single" w:sz="8" w:color="0563C1"/>
            </w:tcBorders>
            <w:gridSpan w:val="6"/>
          </w:tcPr>
          <w:p>
            <w:pPr>
              <w:spacing w:after="0" w:line="169" w:lineRule="exact"/>
              <w:rPr>
                <w:rFonts w:ascii="Calibri" w:cs="Calibri" w:eastAsia="Calibri" w:hAnsi="Calibri"/>
                <w:sz w:val="18"/>
                <w:szCs w:val="18"/>
                <w:color w:val="0563C1"/>
              </w:rPr>
            </w:pPr>
            <w:hyperlink r:id="rId717">
              <w:r>
                <w:rPr>
                  <w:rFonts w:ascii="Calibri" w:cs="Calibri" w:eastAsia="Calibri" w:hAnsi="Calibri"/>
                  <w:sz w:val="18"/>
                  <w:szCs w:val="18"/>
                  <w:color w:val="0563C1"/>
                </w:rPr>
                <w:t>Restated Bylaws of the Company (incorporated by reference to Exhibit 3.1 to the Martn Marieta Materials, Inc. Current</w:t>
              </w:r>
            </w:hyperlink>
          </w:p>
        </w:tc>
        <w:tc>
          <w:tcPr>
            <w:tcW w:w="120" w:type="dxa"/>
            <w:vAlign w:val="bottom"/>
            <w:tcBorders>
              <w:right w:val="single" w:sz="8" w:color="91BBD3"/>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7"/>
          </w:tcPr>
          <w:p>
            <w:pPr>
              <w:spacing w:after="0" w:line="196" w:lineRule="exact"/>
              <w:rPr>
                <w:rFonts w:ascii="Calibri" w:cs="Calibri" w:eastAsia="Calibri" w:hAnsi="Calibri"/>
                <w:sz w:val="18"/>
                <w:szCs w:val="18"/>
                <w:color w:val="0563C1"/>
              </w:rPr>
            </w:pPr>
            <w:hyperlink r:id="rId717">
              <w:r>
                <w:rPr>
                  <w:rFonts w:ascii="Calibri" w:cs="Calibri" w:eastAsia="Calibri" w:hAnsi="Calibri"/>
                  <w:sz w:val="18"/>
                  <w:szCs w:val="18"/>
                  <w:color w:val="0563C1"/>
                </w:rPr>
                <w:t>Report on Form 8-K, fled on November 14, 2022)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20" w:type="dxa"/>
            <w:vAlign w:val="bottom"/>
            <w:tcBorders>
              <w:right w:val="single" w:sz="8" w:color="91BBD3"/>
            </w:tcBorders>
          </w:tcPr>
          <w:p>
            <w:pPr>
              <w:spacing w:after="0"/>
              <w:rPr>
                <w:sz w:val="4"/>
                <w:szCs w:val="4"/>
                <w:color w:val="auto"/>
              </w:rPr>
            </w:pPr>
          </w:p>
        </w:tc>
        <w:tc>
          <w:tcPr>
            <w:tcW w:w="164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2180" w:type="dxa"/>
            <w:vAlign w:val="bottom"/>
            <w:tcBorders>
              <w:top w:val="single" w:sz="8" w:color="0563C1"/>
              <w:bottom w:val="single" w:sz="8" w:color="91BBD3"/>
            </w:tcBorders>
          </w:tcPr>
          <w:p>
            <w:pPr>
              <w:spacing w:after="0"/>
              <w:rPr>
                <w:sz w:val="4"/>
                <w:szCs w:val="4"/>
                <w:color w:val="auto"/>
              </w:rPr>
            </w:pPr>
          </w:p>
        </w:tc>
        <w:tc>
          <w:tcPr>
            <w:tcW w:w="700" w:type="dxa"/>
            <w:vAlign w:val="bottom"/>
            <w:tcBorders>
              <w:top w:val="single" w:sz="8" w:color="0563C1"/>
              <w:bottom w:val="single" w:sz="8" w:color="91BBD3"/>
            </w:tcBorders>
          </w:tcPr>
          <w:p>
            <w:pPr>
              <w:spacing w:after="0"/>
              <w:rPr>
                <w:sz w:val="4"/>
                <w:szCs w:val="4"/>
                <w:color w:val="auto"/>
              </w:rPr>
            </w:pPr>
          </w:p>
        </w:tc>
        <w:tc>
          <w:tcPr>
            <w:tcW w:w="2060" w:type="dxa"/>
            <w:vAlign w:val="bottom"/>
            <w:tcBorders>
              <w:top w:val="single" w:sz="8" w:color="0563C1"/>
              <w:bottom w:val="single" w:sz="8" w:color="91BBD3"/>
            </w:tcBorders>
          </w:tcPr>
          <w:p>
            <w:pPr>
              <w:spacing w:after="0"/>
              <w:rPr>
                <w:sz w:val="4"/>
                <w:szCs w:val="4"/>
                <w:color w:val="auto"/>
              </w:rPr>
            </w:pPr>
          </w:p>
        </w:tc>
        <w:tc>
          <w:tcPr>
            <w:tcW w:w="780" w:type="dxa"/>
            <w:vAlign w:val="bottom"/>
            <w:tcBorders>
              <w:top w:val="single" w:sz="8" w:color="0563C1"/>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12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shd w:val="clear" w:color="auto" w:fill="DAE8F0"/>
          </w:tcPr>
          <w:p>
            <w:pPr>
              <w:jc w:val="right"/>
              <w:ind w:right="1171"/>
              <w:spacing w:after="0" w:line="201" w:lineRule="exact"/>
              <w:rPr>
                <w:sz w:val="20"/>
                <w:szCs w:val="20"/>
                <w:color w:val="auto"/>
              </w:rPr>
            </w:pPr>
            <w:r>
              <w:rPr>
                <w:rFonts w:ascii="Calibri" w:cs="Calibri" w:eastAsia="Calibri" w:hAnsi="Calibri"/>
                <w:sz w:val="18"/>
                <w:szCs w:val="18"/>
                <w:b w:val="1"/>
                <w:bCs w:val="1"/>
                <w:color w:val="auto"/>
              </w:rPr>
              <w:t>4.01</w:t>
            </w: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7"/>
            <w:shd w:val="clear" w:color="auto" w:fill="DAE8F0"/>
          </w:tcPr>
          <w:p>
            <w:pPr>
              <w:spacing w:after="0" w:line="201" w:lineRule="exact"/>
              <w:rPr>
                <w:sz w:val="20"/>
                <w:szCs w:val="20"/>
                <w:color w:val="auto"/>
              </w:rPr>
            </w:pPr>
            <w:r>
              <w:rPr>
                <w:rFonts w:ascii="Calibri" w:cs="Calibri" w:eastAsia="Calibri" w:hAnsi="Calibri"/>
                <w:sz w:val="18"/>
                <w:szCs w:val="18"/>
                <w:color w:val="auto"/>
              </w:rPr>
              <w:t>Specimen Common Stock Certfcate (incorporated by reference to Exhibit 4.01 to the Martn Marieta Materials, Inc.</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20" w:type="dxa"/>
            <w:vAlign w:val="bottom"/>
            <w:tcBorders>
              <w:right w:val="single" w:sz="8" w:color="91BBD3"/>
            </w:tcBorders>
          </w:tcPr>
          <w:p>
            <w:pPr>
              <w:spacing w:after="0"/>
              <w:rPr>
                <w:sz w:val="21"/>
                <w:szCs w:val="21"/>
                <w:color w:val="auto"/>
              </w:rPr>
            </w:pPr>
          </w:p>
        </w:tc>
        <w:tc>
          <w:tcPr>
            <w:tcW w:w="1640" w:type="dxa"/>
            <w:vAlign w:val="bottom"/>
            <w:tcBorders>
              <w:bottom w:val="single" w:sz="8" w:color="DAE8F0"/>
              <w:right w:val="single" w:sz="8" w:color="91BBD3"/>
            </w:tcBorders>
            <w:shd w:val="clear" w:color="auto" w:fill="DAE8F0"/>
          </w:tcPr>
          <w:p>
            <w:pPr>
              <w:spacing w:after="0"/>
              <w:rPr>
                <w:sz w:val="21"/>
                <w:szCs w:val="21"/>
                <w:color w:val="auto"/>
              </w:rPr>
            </w:pPr>
          </w:p>
        </w:tc>
        <w:tc>
          <w:tcPr>
            <w:tcW w:w="100" w:type="dxa"/>
            <w:vAlign w:val="bottom"/>
            <w:tcBorders>
              <w:bottom w:val="single" w:sz="8" w:color="DAE8F0"/>
            </w:tcBorders>
            <w:shd w:val="clear" w:color="auto" w:fill="DAE8F0"/>
          </w:tcPr>
          <w:p>
            <w:pPr>
              <w:spacing w:after="0"/>
              <w:rPr>
                <w:sz w:val="21"/>
                <w:szCs w:val="21"/>
                <w:color w:val="auto"/>
              </w:rPr>
            </w:pPr>
          </w:p>
        </w:tc>
        <w:tc>
          <w:tcPr>
            <w:tcW w:w="9120" w:type="dxa"/>
            <w:vAlign w:val="bottom"/>
            <w:tcBorders>
              <w:bottom w:val="single" w:sz="8" w:color="DAE8F0"/>
              <w:right w:val="single" w:sz="8" w:color="91BBD3"/>
            </w:tcBorders>
            <w:gridSpan w:val="7"/>
            <w:shd w:val="clear" w:color="auto" w:fill="DAE8F0"/>
          </w:tcPr>
          <w:p>
            <w:pPr>
              <w:spacing w:after="0" w:line="215" w:lineRule="exact"/>
              <w:rPr>
                <w:sz w:val="20"/>
                <w:szCs w:val="20"/>
                <w:color w:val="auto"/>
              </w:rPr>
            </w:pPr>
            <w:r>
              <w:rPr>
                <w:rFonts w:ascii="Calibri" w:cs="Calibri" w:eastAsia="Calibri" w:hAnsi="Calibri"/>
                <w:sz w:val="18"/>
                <w:szCs w:val="18"/>
                <w:color w:val="auto"/>
              </w:rPr>
              <w:t>registraton statement on Form S-1, fled on December 8, 1993 (SEC Registraton No. 33-72648) (P)</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20" w:type="dxa"/>
            <w:vAlign w:val="bottom"/>
            <w:tcBorders>
              <w:right w:val="single" w:sz="8" w:color="91BBD3"/>
            </w:tcBorders>
          </w:tcPr>
          <w:p>
            <w:pPr>
              <w:spacing w:after="0"/>
              <w:rPr>
                <w:sz w:val="14"/>
                <w:szCs w:val="14"/>
                <w:color w:val="auto"/>
              </w:rPr>
            </w:pPr>
          </w:p>
        </w:tc>
        <w:tc>
          <w:tcPr>
            <w:tcW w:w="1640" w:type="dxa"/>
            <w:vAlign w:val="bottom"/>
            <w:tcBorders>
              <w:top w:val="single" w:sz="8" w:color="91BBD3"/>
              <w:right w:val="single" w:sz="8" w:color="91BBD3"/>
            </w:tcBorders>
          </w:tcPr>
          <w:p>
            <w:pPr>
              <w:jc w:val="right"/>
              <w:ind w:right="1171"/>
              <w:spacing w:after="0" w:line="169" w:lineRule="exact"/>
              <w:rPr>
                <w:sz w:val="20"/>
                <w:szCs w:val="20"/>
                <w:color w:val="auto"/>
              </w:rPr>
            </w:pPr>
            <w:r>
              <w:rPr>
                <w:rFonts w:ascii="Calibri" w:cs="Calibri" w:eastAsia="Calibri" w:hAnsi="Calibri"/>
                <w:sz w:val="18"/>
                <w:szCs w:val="18"/>
                <w:b w:val="1"/>
                <w:bCs w:val="1"/>
                <w:color w:val="auto"/>
              </w:rPr>
              <w:t>4.02</w:t>
            </w:r>
          </w:p>
        </w:tc>
        <w:tc>
          <w:tcPr>
            <w:tcW w:w="100" w:type="dxa"/>
            <w:vAlign w:val="bottom"/>
            <w:tcBorders>
              <w:top w:val="single" w:sz="8" w:color="91BBD3"/>
            </w:tcBorders>
          </w:tcPr>
          <w:p>
            <w:pPr>
              <w:spacing w:after="0"/>
              <w:rPr>
                <w:sz w:val="14"/>
                <w:szCs w:val="14"/>
                <w:color w:val="auto"/>
              </w:rPr>
            </w:pPr>
          </w:p>
        </w:tc>
        <w:tc>
          <w:tcPr>
            <w:tcW w:w="9000" w:type="dxa"/>
            <w:vAlign w:val="bottom"/>
            <w:tcBorders>
              <w:top w:val="single" w:sz="8" w:color="91BBD3"/>
              <w:bottom w:val="single" w:sz="8" w:color="0563C1"/>
            </w:tcBorders>
            <w:gridSpan w:val="6"/>
          </w:tcPr>
          <w:p>
            <w:pPr>
              <w:spacing w:after="0" w:line="169" w:lineRule="exact"/>
              <w:rPr>
                <w:rFonts w:ascii="Calibri" w:cs="Calibri" w:eastAsia="Calibri" w:hAnsi="Calibri"/>
                <w:sz w:val="18"/>
                <w:szCs w:val="18"/>
                <w:color w:val="0563C1"/>
              </w:rPr>
            </w:pPr>
            <w:hyperlink r:id="rId716">
              <w:r>
                <w:rPr>
                  <w:rFonts w:ascii="Calibri" w:cs="Calibri" w:eastAsia="Calibri" w:hAnsi="Calibri"/>
                  <w:sz w:val="18"/>
                  <w:szCs w:val="18"/>
                  <w:color w:val="0563C1"/>
                </w:rPr>
                <w:t>Artcle 5 of the Company’s Restated Artcles of Incorporaton, as amended (incorporated by reference to Exhibit 3.01 to the</w:t>
              </w:r>
            </w:hyperlink>
          </w:p>
        </w:tc>
        <w:tc>
          <w:tcPr>
            <w:tcW w:w="120" w:type="dxa"/>
            <w:vAlign w:val="bottom"/>
            <w:tcBorders>
              <w:top w:val="single" w:sz="8" w:color="91BBD3"/>
              <w:right w:val="single" w:sz="8" w:color="91BBD3"/>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7"/>
          </w:tcPr>
          <w:p>
            <w:pPr>
              <w:spacing w:after="0" w:line="196" w:lineRule="exact"/>
              <w:rPr>
                <w:rFonts w:ascii="Calibri" w:cs="Calibri" w:eastAsia="Calibri" w:hAnsi="Calibri"/>
                <w:sz w:val="18"/>
                <w:szCs w:val="18"/>
                <w:color w:val="0563C1"/>
              </w:rPr>
            </w:pPr>
            <w:hyperlink r:id="rId716">
              <w:r>
                <w:rPr>
                  <w:rFonts w:ascii="Calibri" w:cs="Calibri" w:eastAsia="Calibri" w:hAnsi="Calibri"/>
                  <w:sz w:val="18"/>
                  <w:szCs w:val="18"/>
                  <w:color w:val="0563C1"/>
                </w:rPr>
                <w:t>Martn Marieta Materials, Inc. Annual Report on Form 10-K for the fscal year ended December 31, 2016, fled on February</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Borders>
              <w:right w:val="single" w:sz="8" w:color="91BBD3"/>
            </w:tcBorders>
          </w:tcPr>
          <w:p>
            <w:pPr>
              <w:spacing w:after="0"/>
              <w:rPr>
                <w:sz w:val="17"/>
                <w:szCs w:val="17"/>
                <w:color w:val="auto"/>
              </w:rPr>
            </w:pPr>
          </w:p>
        </w:tc>
        <w:tc>
          <w:tcPr>
            <w:tcW w:w="164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top w:val="single" w:sz="8" w:color="0563C1"/>
            </w:tcBorders>
            <w:gridSpan w:val="6"/>
          </w:tcPr>
          <w:p>
            <w:pPr>
              <w:spacing w:after="0" w:line="196" w:lineRule="exact"/>
              <w:rPr>
                <w:rFonts w:ascii="Calibri" w:cs="Calibri" w:eastAsia="Calibri" w:hAnsi="Calibri"/>
                <w:sz w:val="18"/>
                <w:szCs w:val="18"/>
                <w:color w:val="0563C1"/>
              </w:rPr>
            </w:pPr>
            <w:hyperlink r:id="rId716">
              <w:r>
                <w:rPr>
                  <w:rFonts w:ascii="Calibri" w:cs="Calibri" w:eastAsia="Calibri" w:hAnsi="Calibri"/>
                  <w:sz w:val="18"/>
                  <w:szCs w:val="18"/>
                  <w:color w:val="0563C1"/>
                </w:rPr>
                <w:t>24, 2017) (Commission File No. 1-12744)</w:t>
              </w:r>
            </w:hyperlink>
          </w:p>
        </w:tc>
        <w:tc>
          <w:tcPr>
            <w:tcW w:w="12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20" w:type="dxa"/>
            <w:vAlign w:val="bottom"/>
            <w:tcBorders>
              <w:right w:val="single" w:sz="8" w:color="91BBD3"/>
            </w:tcBorders>
          </w:tcPr>
          <w:p>
            <w:pPr>
              <w:spacing w:after="0"/>
              <w:rPr>
                <w:sz w:val="4"/>
                <w:szCs w:val="4"/>
                <w:color w:val="auto"/>
              </w:rPr>
            </w:pPr>
          </w:p>
        </w:tc>
        <w:tc>
          <w:tcPr>
            <w:tcW w:w="164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2180" w:type="dxa"/>
            <w:vAlign w:val="bottom"/>
            <w:tcBorders>
              <w:top w:val="single" w:sz="8" w:color="0563C1"/>
              <w:bottom w:val="single" w:sz="8" w:color="91BBD3"/>
            </w:tcBorders>
          </w:tcPr>
          <w:p>
            <w:pPr>
              <w:spacing w:after="0"/>
              <w:rPr>
                <w:sz w:val="4"/>
                <w:szCs w:val="4"/>
                <w:color w:val="auto"/>
              </w:rPr>
            </w:pPr>
          </w:p>
        </w:tc>
        <w:tc>
          <w:tcPr>
            <w:tcW w:w="700" w:type="dxa"/>
            <w:vAlign w:val="bottom"/>
            <w:tcBorders>
              <w:top w:val="single" w:sz="8" w:color="0563C1"/>
              <w:bottom w:val="single" w:sz="8" w:color="91BBD3"/>
            </w:tcBorders>
          </w:tcPr>
          <w:p>
            <w:pPr>
              <w:spacing w:after="0"/>
              <w:rPr>
                <w:sz w:val="4"/>
                <w:szCs w:val="4"/>
                <w:color w:val="auto"/>
              </w:rPr>
            </w:pPr>
          </w:p>
        </w:tc>
        <w:tc>
          <w:tcPr>
            <w:tcW w:w="2060" w:type="dxa"/>
            <w:vAlign w:val="bottom"/>
            <w:tcBorders>
              <w:bottom w:val="single" w:sz="8" w:color="91BBD3"/>
            </w:tcBorders>
          </w:tcPr>
          <w:p>
            <w:pPr>
              <w:spacing w:after="0"/>
              <w:rPr>
                <w:sz w:val="4"/>
                <w:szCs w:val="4"/>
                <w:color w:val="auto"/>
              </w:rPr>
            </w:pPr>
          </w:p>
        </w:tc>
        <w:tc>
          <w:tcPr>
            <w:tcW w:w="780" w:type="dxa"/>
            <w:vAlign w:val="bottom"/>
            <w:tcBorders>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12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20" w:type="dxa"/>
            <w:vAlign w:val="bottom"/>
            <w:tcBorders>
              <w:right w:val="single" w:sz="8" w:color="91BBD3"/>
            </w:tcBorders>
          </w:tcPr>
          <w:p>
            <w:pPr>
              <w:spacing w:after="0"/>
              <w:rPr>
                <w:sz w:val="14"/>
                <w:szCs w:val="14"/>
                <w:color w:val="auto"/>
              </w:rPr>
            </w:pPr>
          </w:p>
        </w:tc>
        <w:tc>
          <w:tcPr>
            <w:tcW w:w="1640" w:type="dxa"/>
            <w:vAlign w:val="bottom"/>
            <w:tcBorders>
              <w:bottom w:val="single" w:sz="8" w:color="DAE8F0"/>
              <w:right w:val="single" w:sz="8" w:color="91BBD3"/>
            </w:tcBorders>
            <w:shd w:val="clear" w:color="auto" w:fill="DAE8F0"/>
          </w:tcPr>
          <w:p>
            <w:pPr>
              <w:jc w:val="right"/>
              <w:ind w:right="1171"/>
              <w:spacing w:after="0" w:line="169" w:lineRule="exact"/>
              <w:rPr>
                <w:sz w:val="20"/>
                <w:szCs w:val="20"/>
                <w:color w:val="auto"/>
              </w:rPr>
            </w:pPr>
            <w:r>
              <w:rPr>
                <w:rFonts w:ascii="Calibri" w:cs="Calibri" w:eastAsia="Calibri" w:hAnsi="Calibri"/>
                <w:sz w:val="18"/>
                <w:szCs w:val="18"/>
                <w:b w:val="1"/>
                <w:bCs w:val="1"/>
                <w:color w:val="auto"/>
              </w:rPr>
              <w:t>4.03</w:t>
            </w:r>
          </w:p>
        </w:tc>
        <w:tc>
          <w:tcPr>
            <w:tcW w:w="100" w:type="dxa"/>
            <w:vAlign w:val="bottom"/>
            <w:tcBorders>
              <w:bottom w:val="single" w:sz="8" w:color="DAE8F0"/>
            </w:tcBorders>
            <w:shd w:val="clear" w:color="auto" w:fill="DAE8F0"/>
          </w:tcPr>
          <w:p>
            <w:pPr>
              <w:spacing w:after="0"/>
              <w:rPr>
                <w:sz w:val="14"/>
                <w:szCs w:val="14"/>
                <w:color w:val="auto"/>
              </w:rPr>
            </w:pPr>
          </w:p>
        </w:tc>
        <w:tc>
          <w:tcPr>
            <w:tcW w:w="9000" w:type="dxa"/>
            <w:vAlign w:val="bottom"/>
            <w:tcBorders>
              <w:bottom w:val="single" w:sz="8" w:color="0563C1"/>
              <w:right w:val="single" w:sz="8" w:color="DAE8F0"/>
            </w:tcBorders>
            <w:gridSpan w:val="6"/>
            <w:shd w:val="clear" w:color="auto" w:fill="DAE8F0"/>
          </w:tcPr>
          <w:p>
            <w:pPr>
              <w:spacing w:after="0" w:line="169" w:lineRule="exact"/>
              <w:rPr>
                <w:rFonts w:ascii="Calibri" w:cs="Calibri" w:eastAsia="Calibri" w:hAnsi="Calibri"/>
                <w:sz w:val="18"/>
                <w:szCs w:val="18"/>
                <w:color w:val="0563C1"/>
              </w:rPr>
            </w:pPr>
            <w:hyperlink r:id="rId717">
              <w:r>
                <w:rPr>
                  <w:rFonts w:ascii="Calibri" w:cs="Calibri" w:eastAsia="Calibri" w:hAnsi="Calibri"/>
                  <w:sz w:val="18"/>
                  <w:szCs w:val="18"/>
                  <w:color w:val="0563C1"/>
                </w:rPr>
                <w:t>Artcle 1 of the Company’s Restated Bylaws, as amended (incorporated by reference to Exhibit 3.1 to the Martn Marieta</w:t>
              </w:r>
            </w:hyperlink>
          </w:p>
        </w:tc>
        <w:tc>
          <w:tcPr>
            <w:tcW w:w="120" w:type="dxa"/>
            <w:vAlign w:val="bottom"/>
            <w:tcBorders>
              <w:bottom w:val="single" w:sz="8" w:color="DAE8F0"/>
              <w:right w:val="single" w:sz="8" w:color="91BBD3"/>
            </w:tcBorders>
            <w:shd w:val="clear" w:color="auto" w:fill="DAE8F0"/>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20" w:type="dxa"/>
            <w:vAlign w:val="bottom"/>
            <w:tcBorders>
              <w:right w:val="single" w:sz="8" w:color="91BBD3"/>
            </w:tcBorders>
          </w:tcPr>
          <w:p>
            <w:pPr>
              <w:spacing w:after="0"/>
              <w:rPr>
                <w:sz w:val="21"/>
                <w:szCs w:val="21"/>
                <w:color w:val="auto"/>
              </w:rPr>
            </w:pPr>
          </w:p>
        </w:tc>
        <w:tc>
          <w:tcPr>
            <w:tcW w:w="1640" w:type="dxa"/>
            <w:vAlign w:val="bottom"/>
            <w:tcBorders>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7"/>
            <w:shd w:val="clear" w:color="auto" w:fill="DAE8F0"/>
          </w:tcPr>
          <w:p>
            <w:pPr>
              <w:spacing w:after="0" w:line="196" w:lineRule="exact"/>
              <w:rPr>
                <w:rFonts w:ascii="Calibri" w:cs="Calibri" w:eastAsia="Calibri" w:hAnsi="Calibri"/>
                <w:sz w:val="18"/>
                <w:szCs w:val="18"/>
                <w:color w:val="0563C1"/>
              </w:rPr>
            </w:pPr>
            <w:hyperlink r:id="rId717">
              <w:r>
                <w:rPr>
                  <w:rFonts w:ascii="Calibri" w:cs="Calibri" w:eastAsia="Calibri" w:hAnsi="Calibri"/>
                  <w:sz w:val="18"/>
                  <w:szCs w:val="18"/>
                  <w:color w:val="0563C1"/>
                </w:rPr>
                <w:t>Materials, Inc. Current Report on Form 8-K, fled on November 14, 2022) (Commission File No. 1-12744)</w:t>
              </w:r>
            </w:hyperlink>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91BBD3"/>
            </w:tcBorders>
            <w:vMerge w:val="restart"/>
          </w:tcPr>
          <w:p>
            <w:pPr>
              <w:spacing w:after="0" w:line="20" w:lineRule="exact"/>
              <w:rPr>
                <w:sz w:val="1"/>
                <w:szCs w:val="1"/>
                <w:color w:val="auto"/>
              </w:rPr>
            </w:pPr>
          </w:p>
        </w:tc>
        <w:tc>
          <w:tcPr>
            <w:tcW w:w="16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2180" w:type="dxa"/>
            <w:vAlign w:val="bottom"/>
            <w:tcBorders>
              <w:top w:val="single" w:sz="8" w:color="0563C1"/>
            </w:tcBorders>
            <w:shd w:val="clear" w:color="auto" w:fill="91BBD3"/>
          </w:tcPr>
          <w:p>
            <w:pPr>
              <w:spacing w:after="0" w:line="20" w:lineRule="exact"/>
              <w:rPr>
                <w:sz w:val="1"/>
                <w:szCs w:val="1"/>
                <w:color w:val="auto"/>
              </w:rPr>
            </w:pPr>
          </w:p>
        </w:tc>
        <w:tc>
          <w:tcPr>
            <w:tcW w:w="700" w:type="dxa"/>
            <w:vAlign w:val="bottom"/>
            <w:tcBorders>
              <w:top w:val="single" w:sz="8" w:color="0563C1"/>
            </w:tcBorders>
            <w:shd w:val="clear" w:color="auto" w:fill="91BBD3"/>
          </w:tcPr>
          <w:p>
            <w:pPr>
              <w:spacing w:after="0" w:line="20" w:lineRule="exact"/>
              <w:rPr>
                <w:sz w:val="1"/>
                <w:szCs w:val="1"/>
                <w:color w:val="auto"/>
              </w:rPr>
            </w:pPr>
          </w:p>
        </w:tc>
        <w:tc>
          <w:tcPr>
            <w:tcW w:w="2060" w:type="dxa"/>
            <w:vAlign w:val="bottom"/>
            <w:tcBorders>
              <w:top w:val="single" w:sz="8" w:color="0563C1"/>
            </w:tcBorders>
            <w:shd w:val="clear" w:color="auto" w:fill="91BBD3"/>
          </w:tcPr>
          <w:p>
            <w:pPr>
              <w:spacing w:after="0" w:line="20" w:lineRule="exact"/>
              <w:rPr>
                <w:sz w:val="1"/>
                <w:szCs w:val="1"/>
                <w:color w:val="auto"/>
              </w:rPr>
            </w:pPr>
          </w:p>
        </w:tc>
        <w:tc>
          <w:tcPr>
            <w:tcW w:w="780" w:type="dxa"/>
            <w:vAlign w:val="bottom"/>
            <w:tcBorders>
              <w:top w:val="single" w:sz="8" w:color="0563C1"/>
            </w:tcBorders>
            <w:shd w:val="clear" w:color="auto" w:fill="91BBD3"/>
          </w:tcPr>
          <w:p>
            <w:pPr>
              <w:spacing w:after="0" w:line="20" w:lineRule="exact"/>
              <w:rPr>
                <w:sz w:val="1"/>
                <w:szCs w:val="1"/>
                <w:color w:val="auto"/>
              </w:rPr>
            </w:pPr>
          </w:p>
        </w:tc>
        <w:tc>
          <w:tcPr>
            <w:tcW w:w="1640" w:type="dxa"/>
            <w:vAlign w:val="bottom"/>
            <w:tcBorders>
              <w:top w:val="single" w:sz="8" w:color="0563C1"/>
            </w:tcBorders>
            <w:shd w:val="clear" w:color="auto" w:fill="91BBD3"/>
          </w:tcPr>
          <w:p>
            <w:pPr>
              <w:spacing w:after="0" w:line="20" w:lineRule="exact"/>
              <w:rPr>
                <w:sz w:val="1"/>
                <w:szCs w:val="1"/>
                <w:color w:val="auto"/>
              </w:rPr>
            </w:pPr>
          </w:p>
        </w:tc>
        <w:tc>
          <w:tcPr>
            <w:tcW w:w="16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2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20" w:type="dxa"/>
            <w:vAlign w:val="bottom"/>
            <w:tcBorders>
              <w:right w:val="single" w:sz="8" w:color="91BBD3"/>
            </w:tcBorders>
            <w:vMerge w:val="continue"/>
          </w:tcPr>
          <w:p>
            <w:pPr>
              <w:spacing w:after="0"/>
              <w:rPr>
                <w:sz w:val="17"/>
                <w:szCs w:val="17"/>
                <w:color w:val="auto"/>
              </w:rPr>
            </w:pPr>
          </w:p>
        </w:tc>
        <w:tc>
          <w:tcPr>
            <w:tcW w:w="1640" w:type="dxa"/>
            <w:vAlign w:val="bottom"/>
            <w:tcBorders>
              <w:right w:val="single" w:sz="8" w:color="91BBD3"/>
            </w:tcBorders>
          </w:tcPr>
          <w:p>
            <w:pPr>
              <w:jc w:val="right"/>
              <w:ind w:right="1171"/>
              <w:spacing w:after="0" w:line="201" w:lineRule="exact"/>
              <w:rPr>
                <w:sz w:val="20"/>
                <w:szCs w:val="20"/>
                <w:color w:val="auto"/>
              </w:rPr>
            </w:pPr>
            <w:r>
              <w:rPr>
                <w:rFonts w:ascii="Calibri" w:cs="Calibri" w:eastAsia="Calibri" w:hAnsi="Calibri"/>
                <w:sz w:val="18"/>
                <w:szCs w:val="18"/>
                <w:b w:val="1"/>
                <w:bCs w:val="1"/>
                <w:color w:val="auto"/>
              </w:rPr>
              <w:t>4.04</w:t>
            </w:r>
          </w:p>
        </w:tc>
        <w:tc>
          <w:tcPr>
            <w:tcW w:w="100" w:type="dxa"/>
            <w:vAlign w:val="bottom"/>
          </w:tcPr>
          <w:p>
            <w:pPr>
              <w:spacing w:after="0"/>
              <w:rPr>
                <w:sz w:val="17"/>
                <w:szCs w:val="17"/>
                <w:color w:val="auto"/>
              </w:rPr>
            </w:pPr>
          </w:p>
        </w:tc>
        <w:tc>
          <w:tcPr>
            <w:tcW w:w="9120" w:type="dxa"/>
            <w:vAlign w:val="bottom"/>
            <w:tcBorders>
              <w:right w:val="single" w:sz="8" w:color="91BBD3"/>
            </w:tcBorders>
            <w:gridSpan w:val="7"/>
          </w:tcPr>
          <w:p>
            <w:pPr>
              <w:spacing w:after="0" w:line="201" w:lineRule="exact"/>
              <w:rPr>
                <w:sz w:val="20"/>
                <w:szCs w:val="20"/>
                <w:color w:val="auto"/>
              </w:rPr>
            </w:pPr>
            <w:r>
              <w:rPr>
                <w:rFonts w:ascii="Calibri" w:cs="Calibri" w:eastAsia="Calibri" w:hAnsi="Calibri"/>
                <w:sz w:val="18"/>
                <w:szCs w:val="18"/>
                <w:color w:val="auto"/>
              </w:rPr>
              <w:t>Indenture dated as of December 1, 1995 between Martn Marieta Materials, Inc. and First Union Natonal Bank of North</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0" w:type="dxa"/>
            <w:vAlign w:val="bottom"/>
            <w:tcBorders>
              <w:right w:val="single" w:sz="8" w:color="91BBD3"/>
            </w:tcBorders>
          </w:tcPr>
          <w:p>
            <w:pPr>
              <w:spacing w:after="0"/>
              <w:rPr>
                <w:sz w:val="18"/>
                <w:szCs w:val="18"/>
                <w:color w:val="auto"/>
              </w:rPr>
            </w:pPr>
          </w:p>
        </w:tc>
        <w:tc>
          <w:tcPr>
            <w:tcW w:w="1640" w:type="dxa"/>
            <w:vAlign w:val="bottom"/>
            <w:tcBorders>
              <w:right w:val="single" w:sz="8" w:color="91BBD3"/>
            </w:tcBorders>
          </w:tcPr>
          <w:p>
            <w:pPr>
              <w:spacing w:after="0"/>
              <w:rPr>
                <w:sz w:val="18"/>
                <w:szCs w:val="18"/>
                <w:color w:val="auto"/>
              </w:rPr>
            </w:pPr>
          </w:p>
        </w:tc>
        <w:tc>
          <w:tcPr>
            <w:tcW w:w="100" w:type="dxa"/>
            <w:vAlign w:val="bottom"/>
          </w:tcPr>
          <w:p>
            <w:pPr>
              <w:spacing w:after="0"/>
              <w:rPr>
                <w:sz w:val="18"/>
                <w:szCs w:val="18"/>
                <w:color w:val="auto"/>
              </w:rPr>
            </w:pPr>
          </w:p>
        </w:tc>
        <w:tc>
          <w:tcPr>
            <w:tcW w:w="9120" w:type="dxa"/>
            <w:vAlign w:val="bottom"/>
            <w:tcBorders>
              <w:right w:val="single" w:sz="8" w:color="91BBD3"/>
            </w:tcBorders>
            <w:gridSpan w:val="7"/>
          </w:tcPr>
          <w:p>
            <w:pPr>
              <w:spacing w:after="0" w:line="215" w:lineRule="exact"/>
              <w:rPr>
                <w:sz w:val="20"/>
                <w:szCs w:val="20"/>
                <w:color w:val="auto"/>
              </w:rPr>
            </w:pPr>
            <w:r>
              <w:rPr>
                <w:rFonts w:ascii="Calibri" w:cs="Calibri" w:eastAsia="Calibri" w:hAnsi="Calibri"/>
                <w:sz w:val="18"/>
                <w:szCs w:val="18"/>
                <w:color w:val="auto"/>
              </w:rPr>
              <w:t>Carolina (incorporated by reference to Exhibit 4(a) to the Martn Marieta Materials, Inc. registraton statement on Form S-3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Borders>
              <w:right w:val="single" w:sz="8" w:color="91BBD3"/>
            </w:tcBorders>
          </w:tcPr>
          <w:p>
            <w:pPr>
              <w:spacing w:after="0"/>
              <w:rPr>
                <w:sz w:val="18"/>
                <w:szCs w:val="18"/>
                <w:color w:val="auto"/>
              </w:rPr>
            </w:pPr>
          </w:p>
        </w:tc>
        <w:tc>
          <w:tcPr>
            <w:tcW w:w="1640" w:type="dxa"/>
            <w:vAlign w:val="bottom"/>
            <w:tcBorders>
              <w:right w:val="single" w:sz="8" w:color="91BBD3"/>
            </w:tcBorders>
          </w:tcPr>
          <w:p>
            <w:pPr>
              <w:spacing w:after="0"/>
              <w:rPr>
                <w:sz w:val="18"/>
                <w:szCs w:val="18"/>
                <w:color w:val="auto"/>
              </w:rPr>
            </w:pPr>
          </w:p>
        </w:tc>
        <w:tc>
          <w:tcPr>
            <w:tcW w:w="100" w:type="dxa"/>
            <w:vAlign w:val="bottom"/>
          </w:tcPr>
          <w:p>
            <w:pPr>
              <w:spacing w:after="0"/>
              <w:rPr>
                <w:sz w:val="18"/>
                <w:szCs w:val="18"/>
                <w:color w:val="auto"/>
              </w:rPr>
            </w:pPr>
          </w:p>
        </w:tc>
        <w:tc>
          <w:tcPr>
            <w:tcW w:w="9120" w:type="dxa"/>
            <w:vAlign w:val="bottom"/>
            <w:tcBorders>
              <w:right w:val="single" w:sz="8" w:color="91BBD3"/>
            </w:tcBorders>
            <w:gridSpan w:val="7"/>
          </w:tcPr>
          <w:p>
            <w:pPr>
              <w:spacing w:after="0" w:line="216" w:lineRule="exact"/>
              <w:rPr>
                <w:sz w:val="20"/>
                <w:szCs w:val="20"/>
                <w:color w:val="auto"/>
              </w:rPr>
            </w:pPr>
            <w:r>
              <w:rPr>
                <w:rFonts w:ascii="Calibri" w:cs="Calibri" w:eastAsia="Calibri" w:hAnsi="Calibri"/>
                <w:sz w:val="18"/>
                <w:szCs w:val="18"/>
                <w:color w:val="auto"/>
              </w:rPr>
              <w:t>(SEC Registraton No. 33-99082)) (P)</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20" w:type="dxa"/>
            <w:vAlign w:val="bottom"/>
            <w:tcBorders>
              <w:right w:val="single" w:sz="8" w:color="91BBD3"/>
            </w:tcBorders>
          </w:tcPr>
          <w:p>
            <w:pPr>
              <w:spacing w:after="0"/>
              <w:rPr>
                <w:sz w:val="3"/>
                <w:szCs w:val="3"/>
                <w:color w:val="auto"/>
              </w:rPr>
            </w:pPr>
          </w:p>
        </w:tc>
        <w:tc>
          <w:tcPr>
            <w:tcW w:w="1640" w:type="dxa"/>
            <w:vAlign w:val="bottom"/>
            <w:tcBorders>
              <w:bottom w:val="single" w:sz="8" w:color="91BBD3"/>
              <w:right w:val="single" w:sz="8" w:color="91BBD3"/>
            </w:tcBorders>
          </w:tcPr>
          <w:p>
            <w:pPr>
              <w:spacing w:after="0"/>
              <w:rPr>
                <w:sz w:val="3"/>
                <w:szCs w:val="3"/>
                <w:color w:val="auto"/>
              </w:rPr>
            </w:pPr>
          </w:p>
        </w:tc>
        <w:tc>
          <w:tcPr>
            <w:tcW w:w="100" w:type="dxa"/>
            <w:vAlign w:val="bottom"/>
            <w:tcBorders>
              <w:bottom w:val="single" w:sz="8" w:color="91BBD3"/>
            </w:tcBorders>
          </w:tcPr>
          <w:p>
            <w:pPr>
              <w:spacing w:after="0"/>
              <w:rPr>
                <w:sz w:val="3"/>
                <w:szCs w:val="3"/>
                <w:color w:val="auto"/>
              </w:rPr>
            </w:pPr>
          </w:p>
        </w:tc>
        <w:tc>
          <w:tcPr>
            <w:tcW w:w="2180" w:type="dxa"/>
            <w:vAlign w:val="bottom"/>
            <w:tcBorders>
              <w:bottom w:val="single" w:sz="8" w:color="91BBD3"/>
            </w:tcBorders>
          </w:tcPr>
          <w:p>
            <w:pPr>
              <w:spacing w:after="0"/>
              <w:rPr>
                <w:sz w:val="3"/>
                <w:szCs w:val="3"/>
                <w:color w:val="auto"/>
              </w:rPr>
            </w:pPr>
          </w:p>
        </w:tc>
        <w:tc>
          <w:tcPr>
            <w:tcW w:w="700" w:type="dxa"/>
            <w:vAlign w:val="bottom"/>
            <w:tcBorders>
              <w:bottom w:val="single" w:sz="8" w:color="91BBD3"/>
            </w:tcBorders>
          </w:tcPr>
          <w:p>
            <w:pPr>
              <w:spacing w:after="0"/>
              <w:rPr>
                <w:sz w:val="3"/>
                <w:szCs w:val="3"/>
                <w:color w:val="auto"/>
              </w:rPr>
            </w:pPr>
          </w:p>
        </w:tc>
        <w:tc>
          <w:tcPr>
            <w:tcW w:w="2060" w:type="dxa"/>
            <w:vAlign w:val="bottom"/>
            <w:tcBorders>
              <w:bottom w:val="single" w:sz="8" w:color="91BBD3"/>
            </w:tcBorders>
          </w:tcPr>
          <w:p>
            <w:pPr>
              <w:spacing w:after="0"/>
              <w:rPr>
                <w:sz w:val="3"/>
                <w:szCs w:val="3"/>
                <w:color w:val="auto"/>
              </w:rPr>
            </w:pPr>
          </w:p>
        </w:tc>
        <w:tc>
          <w:tcPr>
            <w:tcW w:w="780" w:type="dxa"/>
            <w:vAlign w:val="bottom"/>
            <w:tcBorders>
              <w:bottom w:val="single" w:sz="8" w:color="91BBD3"/>
            </w:tcBorders>
          </w:tcPr>
          <w:p>
            <w:pPr>
              <w:spacing w:after="0"/>
              <w:rPr>
                <w:sz w:val="3"/>
                <w:szCs w:val="3"/>
                <w:color w:val="auto"/>
              </w:rPr>
            </w:pPr>
          </w:p>
        </w:tc>
        <w:tc>
          <w:tcPr>
            <w:tcW w:w="1640" w:type="dxa"/>
            <w:vAlign w:val="bottom"/>
            <w:tcBorders>
              <w:bottom w:val="single" w:sz="8" w:color="91BBD3"/>
            </w:tcBorders>
          </w:tcPr>
          <w:p>
            <w:pPr>
              <w:spacing w:after="0"/>
              <w:rPr>
                <w:sz w:val="3"/>
                <w:szCs w:val="3"/>
                <w:color w:val="auto"/>
              </w:rPr>
            </w:pPr>
          </w:p>
        </w:tc>
        <w:tc>
          <w:tcPr>
            <w:tcW w:w="1640" w:type="dxa"/>
            <w:vAlign w:val="bottom"/>
            <w:tcBorders>
              <w:bottom w:val="single" w:sz="8" w:color="91BBD3"/>
            </w:tcBorders>
          </w:tcPr>
          <w:p>
            <w:pPr>
              <w:spacing w:after="0"/>
              <w:rPr>
                <w:sz w:val="3"/>
                <w:szCs w:val="3"/>
                <w:color w:val="auto"/>
              </w:rPr>
            </w:pPr>
          </w:p>
        </w:tc>
        <w:tc>
          <w:tcPr>
            <w:tcW w:w="120" w:type="dxa"/>
            <w:vAlign w:val="bottom"/>
            <w:tcBorders>
              <w:bottom w:val="single" w:sz="8" w:color="91BBD3"/>
              <w:right w:val="single" w:sz="8" w:color="91BBD3"/>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46"/>
        </w:trPr>
        <w:tc>
          <w:tcPr>
            <w:tcW w:w="1860" w:type="dxa"/>
            <w:vAlign w:val="bottom"/>
            <w:gridSpan w:val="2"/>
          </w:tcPr>
          <w:p>
            <w:pPr>
              <w:jc w:val="right"/>
              <w:ind w:right="471"/>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114</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2"/>
        </w:trPr>
        <w:tc>
          <w:tcPr>
            <w:tcW w:w="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-814070</wp:posOffset>
            </wp:positionV>
            <wp:extent cx="325755" cy="1968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6" w:name="page117"/>
    <w:bookmarkEnd w:id="116"/>
    <w:tbl>
      <w:tblPr>
        <w:tblLayout w:type="fixed"/>
        <w:tblInd w:w="170" w:type="dxa"/>
        <w:tblCellMar>
          <w:top w:w="0" w:type="dxa"/>
          <w:left w:w="0" w:type="dxa"/>
          <w:bottom w:w="0" w:type="dxa"/>
          <w:right w:w="0" w:type="dxa"/>
        </w:tblCellMar>
      </w:tblPr>
      <w:tr>
        <w:trPr>
          <w:trHeight w:val="308"/>
        </w:trPr>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6"/>
          </w:tcPr>
          <w:p>
            <w:pPr>
              <w:ind w:left="80"/>
              <w:spacing w:after="0"/>
              <w:rPr>
                <w:sz w:val="20"/>
                <w:szCs w:val="20"/>
                <w:color w:val="auto"/>
              </w:rPr>
            </w:pPr>
            <w:r>
              <w:rPr>
                <w:rFonts w:ascii="Calibri" w:cs="Calibri" w:eastAsia="Calibri" w:hAnsi="Calibri"/>
                <w:sz w:val="18"/>
                <w:szCs w:val="18"/>
                <w:color w:val="auto"/>
                <w:w w:val="98"/>
              </w:rPr>
              <w:t xml:space="preserve">Part IV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1"/>
        </w:trPr>
        <w:tc>
          <w:tcPr>
            <w:tcW w:w="440" w:type="dxa"/>
            <w:vAlign w:val="bottom"/>
            <w:tcBorders>
              <w:top w:val="single" w:sz="8" w:color="91BBD3"/>
              <w:left w:val="single" w:sz="8" w:color="91BBD3"/>
              <w:bottom w:val="single" w:sz="8" w:color="007DC6"/>
            </w:tcBorders>
            <w:shd w:val="clear" w:color="auto" w:fill="007DC6"/>
          </w:tcPr>
          <w:p>
            <w:pPr>
              <w:spacing w:after="0"/>
              <w:rPr>
                <w:sz w:val="24"/>
                <w:szCs w:val="24"/>
                <w:color w:val="auto"/>
              </w:rPr>
            </w:pPr>
          </w:p>
        </w:tc>
        <w:tc>
          <w:tcPr>
            <w:tcW w:w="1260" w:type="dxa"/>
            <w:vAlign w:val="bottom"/>
            <w:tcBorders>
              <w:top w:val="single" w:sz="8" w:color="91BBD3"/>
              <w:bottom w:val="single" w:sz="8" w:color="007DC6"/>
              <w:right w:val="single" w:sz="8" w:color="91BBD3"/>
            </w:tcBorders>
            <w:shd w:val="clear" w:color="auto" w:fill="007DC6"/>
          </w:tcPr>
          <w:p>
            <w:pPr>
              <w:spacing w:after="0"/>
              <w:rPr>
                <w:sz w:val="20"/>
                <w:szCs w:val="20"/>
                <w:color w:val="auto"/>
              </w:rPr>
            </w:pPr>
            <w:r>
              <w:rPr>
                <w:rFonts w:ascii="Calibri" w:cs="Calibri" w:eastAsia="Calibri" w:hAnsi="Calibri"/>
                <w:sz w:val="18"/>
                <w:szCs w:val="18"/>
                <w:b w:val="1"/>
                <w:bCs w:val="1"/>
                <w:color w:val="FFFFFF"/>
              </w:rPr>
              <w:t>Exhibit No.</w:t>
            </w:r>
          </w:p>
        </w:tc>
        <w:tc>
          <w:tcPr>
            <w:tcW w:w="80" w:type="dxa"/>
            <w:vAlign w:val="bottom"/>
            <w:tcBorders>
              <w:top w:val="single" w:sz="8" w:color="007DC6"/>
              <w:bottom w:val="single" w:sz="8" w:color="007DC6"/>
            </w:tcBorders>
            <w:shd w:val="clear" w:color="auto" w:fill="007DC6"/>
          </w:tcPr>
          <w:p>
            <w:pPr>
              <w:spacing w:after="0"/>
              <w:rPr>
                <w:sz w:val="24"/>
                <w:szCs w:val="24"/>
                <w:color w:val="auto"/>
              </w:rPr>
            </w:pPr>
          </w:p>
        </w:tc>
        <w:tc>
          <w:tcPr>
            <w:tcW w:w="540" w:type="dxa"/>
            <w:vAlign w:val="bottom"/>
            <w:tcBorders>
              <w:top w:val="single" w:sz="8" w:color="007DC6"/>
              <w:bottom w:val="single" w:sz="8" w:color="007DC6"/>
            </w:tcBorders>
            <w:shd w:val="clear" w:color="auto" w:fill="007DC6"/>
          </w:tcPr>
          <w:p>
            <w:pPr>
              <w:spacing w:after="0"/>
              <w:rPr>
                <w:sz w:val="24"/>
                <w:szCs w:val="24"/>
                <w:color w:val="auto"/>
              </w:rPr>
            </w:pPr>
          </w:p>
        </w:tc>
        <w:tc>
          <w:tcPr>
            <w:tcW w:w="440" w:type="dxa"/>
            <w:vAlign w:val="bottom"/>
            <w:tcBorders>
              <w:top w:val="single" w:sz="8" w:color="007DC6"/>
              <w:bottom w:val="single" w:sz="8" w:color="007DC6"/>
            </w:tcBorders>
            <w:shd w:val="clear" w:color="auto" w:fill="007DC6"/>
          </w:tcPr>
          <w:p>
            <w:pPr>
              <w:spacing w:after="0"/>
              <w:rPr>
                <w:sz w:val="24"/>
                <w:szCs w:val="24"/>
                <w:color w:val="auto"/>
              </w:rPr>
            </w:pPr>
          </w:p>
        </w:tc>
        <w:tc>
          <w:tcPr>
            <w:tcW w:w="1200" w:type="dxa"/>
            <w:vAlign w:val="bottom"/>
            <w:tcBorders>
              <w:top w:val="single" w:sz="8" w:color="007DC6"/>
              <w:bottom w:val="single" w:sz="8" w:color="007DC6"/>
            </w:tcBorders>
            <w:shd w:val="clear" w:color="auto" w:fill="007DC6"/>
          </w:tcPr>
          <w:p>
            <w:pPr>
              <w:spacing w:after="0"/>
              <w:rPr>
                <w:sz w:val="24"/>
                <w:szCs w:val="24"/>
                <w:color w:val="auto"/>
              </w:rPr>
            </w:pPr>
          </w:p>
        </w:tc>
        <w:tc>
          <w:tcPr>
            <w:tcW w:w="1060" w:type="dxa"/>
            <w:vAlign w:val="bottom"/>
            <w:tcBorders>
              <w:top w:val="single" w:sz="8" w:color="007DC6"/>
              <w:bottom w:val="single" w:sz="8" w:color="007DC6"/>
            </w:tcBorders>
            <w:shd w:val="clear" w:color="auto" w:fill="007DC6"/>
          </w:tcPr>
          <w:p>
            <w:pPr>
              <w:spacing w:after="0"/>
              <w:rPr>
                <w:sz w:val="24"/>
                <w:szCs w:val="24"/>
                <w:color w:val="auto"/>
              </w:rPr>
            </w:pPr>
          </w:p>
        </w:tc>
        <w:tc>
          <w:tcPr>
            <w:tcW w:w="1320" w:type="dxa"/>
            <w:vAlign w:val="bottom"/>
            <w:tcBorders>
              <w:top w:val="single" w:sz="8" w:color="007DC6"/>
              <w:bottom w:val="single" w:sz="8" w:color="007DC6"/>
            </w:tcBorders>
            <w:shd w:val="clear" w:color="auto" w:fill="007DC6"/>
          </w:tcPr>
          <w:p>
            <w:pPr>
              <w:spacing w:after="0"/>
              <w:rPr>
                <w:sz w:val="24"/>
                <w:szCs w:val="24"/>
                <w:color w:val="auto"/>
              </w:rPr>
            </w:pPr>
          </w:p>
        </w:tc>
        <w:tc>
          <w:tcPr>
            <w:tcW w:w="20" w:type="dxa"/>
            <w:vAlign w:val="bottom"/>
            <w:tcBorders>
              <w:top w:val="single" w:sz="8" w:color="007DC6"/>
              <w:bottom w:val="single" w:sz="8" w:color="007DC6"/>
            </w:tcBorders>
            <w:shd w:val="clear" w:color="auto" w:fill="007DC6"/>
          </w:tcPr>
          <w:p>
            <w:pPr>
              <w:spacing w:after="0"/>
              <w:rPr>
                <w:sz w:val="24"/>
                <w:szCs w:val="24"/>
                <w:color w:val="auto"/>
              </w:rPr>
            </w:pPr>
          </w:p>
        </w:tc>
        <w:tc>
          <w:tcPr>
            <w:tcW w:w="100" w:type="dxa"/>
            <w:vAlign w:val="bottom"/>
            <w:tcBorders>
              <w:top w:val="single" w:sz="8" w:color="007DC6"/>
              <w:bottom w:val="single" w:sz="8" w:color="007DC6"/>
            </w:tcBorders>
            <w:shd w:val="clear" w:color="auto" w:fill="007DC6"/>
          </w:tcPr>
          <w:p>
            <w:pPr>
              <w:spacing w:after="0"/>
              <w:rPr>
                <w:sz w:val="24"/>
                <w:szCs w:val="24"/>
                <w:color w:val="auto"/>
              </w:rPr>
            </w:pPr>
          </w:p>
        </w:tc>
        <w:tc>
          <w:tcPr>
            <w:tcW w:w="1340" w:type="dxa"/>
            <w:vAlign w:val="bottom"/>
            <w:tcBorders>
              <w:top w:val="single" w:sz="8" w:color="007DC6"/>
              <w:bottom w:val="single" w:sz="8" w:color="007DC6"/>
            </w:tcBorders>
            <w:shd w:val="clear" w:color="auto" w:fill="007DC6"/>
          </w:tcPr>
          <w:p>
            <w:pPr>
              <w:spacing w:after="0"/>
              <w:rPr>
                <w:sz w:val="24"/>
                <w:szCs w:val="24"/>
                <w:color w:val="auto"/>
              </w:rPr>
            </w:pPr>
          </w:p>
        </w:tc>
        <w:tc>
          <w:tcPr>
            <w:tcW w:w="2700" w:type="dxa"/>
            <w:vAlign w:val="bottom"/>
            <w:tcBorders>
              <w:top w:val="single" w:sz="8" w:color="007DC6"/>
              <w:bottom w:val="single" w:sz="8" w:color="007DC6"/>
            </w:tcBorders>
            <w:shd w:val="clear" w:color="auto" w:fill="007DC6"/>
          </w:tcPr>
          <w:p>
            <w:pPr>
              <w:spacing w:after="0"/>
              <w:rPr>
                <w:sz w:val="24"/>
                <w:szCs w:val="24"/>
                <w:color w:val="auto"/>
              </w:rPr>
            </w:pPr>
          </w:p>
        </w:tc>
        <w:tc>
          <w:tcPr>
            <w:tcW w:w="120" w:type="dxa"/>
            <w:vAlign w:val="bottom"/>
            <w:tcBorders>
              <w:top w:val="single" w:sz="8" w:color="007DC6"/>
              <w:bottom w:val="single" w:sz="8" w:color="007DC6"/>
            </w:tcBorders>
            <w:shd w:val="clear" w:color="auto" w:fill="007DC6"/>
          </w:tcPr>
          <w:p>
            <w:pPr>
              <w:spacing w:after="0"/>
              <w:rPr>
                <w:sz w:val="24"/>
                <w:szCs w:val="24"/>
                <w:color w:val="auto"/>
              </w:rPr>
            </w:pPr>
          </w:p>
        </w:tc>
        <w:tc>
          <w:tcPr>
            <w:tcW w:w="140" w:type="dxa"/>
            <w:vAlign w:val="bottom"/>
            <w:tcBorders>
              <w:top w:val="single" w:sz="8" w:color="007DC6"/>
              <w:bottom w:val="single" w:sz="8" w:color="007DC6"/>
              <w:right w:val="single" w:sz="8" w:color="007DC6"/>
            </w:tcBorders>
            <w:shd w:val="clear" w:color="auto" w:fill="007DC6"/>
          </w:tcPr>
          <w:p>
            <w:pPr>
              <w:spacing w:after="0"/>
              <w:rPr>
                <w:sz w:val="24"/>
                <w:szCs w:val="24"/>
                <w:color w:val="auto"/>
              </w:rPr>
            </w:pPr>
          </w:p>
        </w:tc>
        <w:tc>
          <w:tcPr>
            <w:tcW w:w="140" w:type="dxa"/>
            <w:vAlign w:val="bottom"/>
            <w:tcBorders>
              <w:top w:val="single" w:sz="8" w:color="007DC6"/>
              <w:left w:val="single" w:sz="8" w:color="007DC6"/>
              <w:bottom w:val="single" w:sz="8" w:color="007DC6"/>
              <w:right w:val="single" w:sz="8" w:color="007DC6"/>
            </w:tcBorders>
            <w:shd w:val="clear" w:color="auto" w:fill="007DC6"/>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40" w:type="dxa"/>
            <w:vAlign w:val="bottom"/>
            <w:tcBorders>
              <w:top w:val="single" w:sz="8" w:color="91BBD3"/>
              <w:left w:val="single" w:sz="8" w:color="91BBD3"/>
            </w:tcBorders>
            <w:shd w:val="clear" w:color="auto" w:fill="DAE8F0"/>
          </w:tcPr>
          <w:p>
            <w:pPr>
              <w:jc w:val="right"/>
              <w:spacing w:after="0" w:line="181" w:lineRule="exact"/>
              <w:rPr>
                <w:sz w:val="20"/>
                <w:szCs w:val="20"/>
                <w:color w:val="auto"/>
              </w:rPr>
            </w:pPr>
            <w:r>
              <w:rPr>
                <w:rFonts w:ascii="Calibri" w:cs="Calibri" w:eastAsia="Calibri" w:hAnsi="Calibri"/>
                <w:sz w:val="18"/>
                <w:szCs w:val="18"/>
                <w:b w:val="1"/>
                <w:bCs w:val="1"/>
                <w:color w:val="auto"/>
              </w:rPr>
              <w:t>4.05</w:t>
            </w:r>
          </w:p>
        </w:tc>
        <w:tc>
          <w:tcPr>
            <w:tcW w:w="1260" w:type="dxa"/>
            <w:vAlign w:val="bottom"/>
            <w:tcBorders>
              <w:top w:val="single" w:sz="8" w:color="91BBD3"/>
              <w:right w:val="single" w:sz="8" w:color="91BBD3"/>
            </w:tcBorders>
            <w:shd w:val="clear" w:color="auto" w:fill="DAE8F0"/>
          </w:tcPr>
          <w:p>
            <w:pPr>
              <w:spacing w:after="0"/>
              <w:rPr>
                <w:sz w:val="15"/>
                <w:szCs w:val="15"/>
                <w:color w:val="auto"/>
              </w:rPr>
            </w:pPr>
          </w:p>
        </w:tc>
        <w:tc>
          <w:tcPr>
            <w:tcW w:w="80" w:type="dxa"/>
            <w:vAlign w:val="bottom"/>
            <w:tcBorders>
              <w:top w:val="single" w:sz="8" w:color="91BBD3"/>
            </w:tcBorders>
            <w:shd w:val="clear" w:color="auto" w:fill="DAE8F0"/>
          </w:tcPr>
          <w:p>
            <w:pPr>
              <w:spacing w:after="0"/>
              <w:rPr>
                <w:sz w:val="15"/>
                <w:szCs w:val="15"/>
                <w:color w:val="auto"/>
              </w:rPr>
            </w:pPr>
          </w:p>
        </w:tc>
        <w:tc>
          <w:tcPr>
            <w:tcW w:w="9120" w:type="dxa"/>
            <w:vAlign w:val="bottom"/>
            <w:tcBorders>
              <w:top w:val="single" w:sz="8" w:color="91BBD3"/>
              <w:right w:val="single" w:sz="8" w:color="91BBD3"/>
            </w:tcBorders>
            <w:gridSpan w:val="12"/>
            <w:shd w:val="clear" w:color="auto" w:fill="DAE8F0"/>
          </w:tcPr>
          <w:p>
            <w:pPr>
              <w:spacing w:after="0" w:line="181" w:lineRule="exact"/>
              <w:rPr>
                <w:sz w:val="20"/>
                <w:szCs w:val="20"/>
                <w:color w:val="auto"/>
              </w:rPr>
            </w:pPr>
            <w:r>
              <w:rPr>
                <w:rFonts w:ascii="Calibri" w:cs="Calibri" w:eastAsia="Calibri" w:hAnsi="Calibri"/>
                <w:sz w:val="18"/>
                <w:szCs w:val="18"/>
                <w:color w:val="auto"/>
              </w:rPr>
              <w:t>Form of Martn Marieta Materials, Inc. 7% Debenture due 2025 (incorporated by reference to Exhibit 4(a)(i) to the Martn</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40" w:type="dxa"/>
            <w:vAlign w:val="bottom"/>
            <w:tcBorders>
              <w:left w:val="single" w:sz="8" w:color="91BBD3"/>
              <w:bottom w:val="single" w:sz="8" w:color="DAE8F0"/>
            </w:tcBorders>
            <w:shd w:val="clear" w:color="auto" w:fill="DAE8F0"/>
          </w:tcPr>
          <w:p>
            <w:pPr>
              <w:spacing w:after="0"/>
              <w:rPr>
                <w:sz w:val="21"/>
                <w:szCs w:val="21"/>
                <w:color w:val="auto"/>
              </w:rPr>
            </w:pPr>
          </w:p>
        </w:tc>
        <w:tc>
          <w:tcPr>
            <w:tcW w:w="1260" w:type="dxa"/>
            <w:vAlign w:val="bottom"/>
            <w:tcBorders>
              <w:bottom w:val="single" w:sz="8" w:color="DAE8F0"/>
              <w:right w:val="single" w:sz="8" w:color="91BBD3"/>
            </w:tcBorders>
            <w:shd w:val="clear" w:color="auto" w:fill="DAE8F0"/>
          </w:tcPr>
          <w:p>
            <w:pPr>
              <w:spacing w:after="0"/>
              <w:rPr>
                <w:sz w:val="21"/>
                <w:szCs w:val="21"/>
                <w:color w:val="auto"/>
              </w:rPr>
            </w:pPr>
          </w:p>
        </w:tc>
        <w:tc>
          <w:tcPr>
            <w:tcW w:w="80" w:type="dxa"/>
            <w:vAlign w:val="bottom"/>
            <w:tcBorders>
              <w:bottom w:val="single" w:sz="8" w:color="DAE8F0"/>
            </w:tcBorders>
            <w:shd w:val="clear" w:color="auto" w:fill="DAE8F0"/>
          </w:tcPr>
          <w:p>
            <w:pPr>
              <w:spacing w:after="0"/>
              <w:rPr>
                <w:sz w:val="21"/>
                <w:szCs w:val="21"/>
                <w:color w:val="auto"/>
              </w:rPr>
            </w:pPr>
          </w:p>
        </w:tc>
        <w:tc>
          <w:tcPr>
            <w:tcW w:w="9120" w:type="dxa"/>
            <w:vAlign w:val="bottom"/>
            <w:tcBorders>
              <w:bottom w:val="single" w:sz="8" w:color="DAE8F0"/>
              <w:right w:val="single" w:sz="8" w:color="91BBD3"/>
            </w:tcBorders>
            <w:gridSpan w:val="12"/>
            <w:shd w:val="clear" w:color="auto" w:fill="DAE8F0"/>
          </w:tcPr>
          <w:p>
            <w:pPr>
              <w:spacing w:after="0" w:line="215" w:lineRule="exact"/>
              <w:rPr>
                <w:sz w:val="20"/>
                <w:szCs w:val="20"/>
                <w:color w:val="auto"/>
              </w:rPr>
            </w:pPr>
            <w:r>
              <w:rPr>
                <w:rFonts w:ascii="Calibri" w:cs="Calibri" w:eastAsia="Calibri" w:hAnsi="Calibri"/>
                <w:sz w:val="18"/>
                <w:szCs w:val="18"/>
                <w:color w:val="auto"/>
              </w:rPr>
              <w:t>Marieta Materials, Inc. registraton statement on Form S-3 (SEC Registraton No. 33-99082)) (P)</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40" w:type="dxa"/>
            <w:vAlign w:val="bottom"/>
            <w:tcBorders>
              <w:top w:val="single" w:sz="8" w:color="91BBD3"/>
              <w:left w:val="single" w:sz="8" w:color="91BBD3"/>
            </w:tcBorders>
          </w:tcPr>
          <w:p>
            <w:pPr>
              <w:jc w:val="right"/>
              <w:spacing w:after="0" w:line="169" w:lineRule="exact"/>
              <w:rPr>
                <w:sz w:val="20"/>
                <w:szCs w:val="20"/>
                <w:color w:val="auto"/>
              </w:rPr>
            </w:pPr>
            <w:r>
              <w:rPr>
                <w:rFonts w:ascii="Calibri" w:cs="Calibri" w:eastAsia="Calibri" w:hAnsi="Calibri"/>
                <w:sz w:val="18"/>
                <w:szCs w:val="18"/>
                <w:b w:val="1"/>
                <w:bCs w:val="1"/>
                <w:color w:val="auto"/>
              </w:rPr>
              <w:t>4.06</w:t>
            </w:r>
          </w:p>
        </w:tc>
        <w:tc>
          <w:tcPr>
            <w:tcW w:w="1260" w:type="dxa"/>
            <w:vAlign w:val="bottom"/>
            <w:tcBorders>
              <w:top w:val="single" w:sz="8" w:color="91BBD3"/>
              <w:right w:val="single" w:sz="8" w:color="91BBD3"/>
            </w:tcBorders>
          </w:tcPr>
          <w:p>
            <w:pPr>
              <w:spacing w:after="0"/>
              <w:rPr>
                <w:sz w:val="14"/>
                <w:szCs w:val="14"/>
                <w:color w:val="auto"/>
              </w:rPr>
            </w:pPr>
          </w:p>
        </w:tc>
        <w:tc>
          <w:tcPr>
            <w:tcW w:w="80" w:type="dxa"/>
            <w:vAlign w:val="bottom"/>
            <w:tcBorders>
              <w:top w:val="single" w:sz="8" w:color="91BBD3"/>
            </w:tcBorders>
          </w:tcPr>
          <w:p>
            <w:pPr>
              <w:spacing w:after="0"/>
              <w:rPr>
                <w:sz w:val="14"/>
                <w:szCs w:val="14"/>
                <w:color w:val="auto"/>
              </w:rPr>
            </w:pPr>
          </w:p>
        </w:tc>
        <w:tc>
          <w:tcPr>
            <w:tcW w:w="8980" w:type="dxa"/>
            <w:vAlign w:val="bottom"/>
            <w:tcBorders>
              <w:top w:val="single" w:sz="8" w:color="91BBD3"/>
              <w:bottom w:val="single" w:sz="8" w:color="0563C1"/>
            </w:tcBorders>
            <w:gridSpan w:val="11"/>
          </w:tcPr>
          <w:p>
            <w:pPr>
              <w:spacing w:after="0" w:line="169" w:lineRule="exact"/>
              <w:rPr>
                <w:rFonts w:ascii="Calibri" w:cs="Calibri" w:eastAsia="Calibri" w:hAnsi="Calibri"/>
                <w:sz w:val="18"/>
                <w:szCs w:val="18"/>
                <w:color w:val="0563C1"/>
              </w:rPr>
            </w:pPr>
            <w:hyperlink r:id="rId721">
              <w:r>
                <w:rPr>
                  <w:rFonts w:ascii="Calibri" w:cs="Calibri" w:eastAsia="Calibri" w:hAnsi="Calibri"/>
                  <w:sz w:val="18"/>
                  <w:szCs w:val="18"/>
                  <w:color w:val="0563C1"/>
                </w:rPr>
                <w:t>Indenture dated as of April 30, 2007 between Martn Marieta Materials, Inc. and Truist Bank (as successor by merger to</w:t>
              </w:r>
            </w:hyperlink>
          </w:p>
        </w:tc>
        <w:tc>
          <w:tcPr>
            <w:tcW w:w="140" w:type="dxa"/>
            <w:vAlign w:val="bottom"/>
            <w:tcBorders>
              <w:top w:val="single" w:sz="8" w:color="91BBD3"/>
              <w:right w:val="single" w:sz="8" w:color="91BBD3"/>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8980" w:type="dxa"/>
            <w:vAlign w:val="bottom"/>
            <w:tcBorders>
              <w:bottom w:val="single" w:sz="8" w:color="0563C1"/>
            </w:tcBorders>
            <w:gridSpan w:val="11"/>
          </w:tcPr>
          <w:p>
            <w:pPr>
              <w:spacing w:after="0" w:line="196" w:lineRule="exact"/>
              <w:rPr>
                <w:rFonts w:ascii="Calibri" w:cs="Calibri" w:eastAsia="Calibri" w:hAnsi="Calibri"/>
                <w:sz w:val="18"/>
                <w:szCs w:val="18"/>
                <w:color w:val="0563C1"/>
              </w:rPr>
            </w:pPr>
            <w:hyperlink r:id="rId721">
              <w:r>
                <w:rPr>
                  <w:rFonts w:ascii="Calibri" w:cs="Calibri" w:eastAsia="Calibri" w:hAnsi="Calibri"/>
                  <w:sz w:val="18"/>
                  <w:szCs w:val="18"/>
                  <w:color w:val="0563C1"/>
                </w:rPr>
                <w:t>SunTrust Bank and formerly known as Branch Banking and Trust Company, Inc.), as trustee (incorporated by reference to</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bottom w:val="single" w:sz="8" w:color="0563C1"/>
              <w:right w:val="single" w:sz="8" w:color="91BBD3"/>
            </w:tcBorders>
            <w:gridSpan w:val="12"/>
          </w:tcPr>
          <w:p>
            <w:pPr>
              <w:spacing w:after="0" w:line="196" w:lineRule="exact"/>
              <w:rPr>
                <w:rFonts w:ascii="Calibri" w:cs="Calibri" w:eastAsia="Calibri" w:hAnsi="Calibri"/>
                <w:sz w:val="18"/>
                <w:szCs w:val="18"/>
                <w:color w:val="0563C1"/>
              </w:rPr>
            </w:pPr>
            <w:hyperlink r:id="rId721">
              <w:r>
                <w:rPr>
                  <w:rFonts w:ascii="Calibri" w:cs="Calibri" w:eastAsia="Calibri" w:hAnsi="Calibri"/>
                  <w:sz w:val="18"/>
                  <w:szCs w:val="18"/>
                  <w:color w:val="0563C1"/>
                </w:rPr>
                <w:t>Exhibit 4.1 to the Martn Marieta Materials, Inc. Current Report on Form 8-K, fled on April 30, 2007 (Commission File No. 1-</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1060" w:type="dxa"/>
            <w:vAlign w:val="bottom"/>
            <w:gridSpan w:val="3"/>
          </w:tcPr>
          <w:p>
            <w:pPr>
              <w:ind w:left="80"/>
              <w:spacing w:after="0" w:line="196" w:lineRule="exact"/>
              <w:rPr>
                <w:rFonts w:ascii="Calibri" w:cs="Calibri" w:eastAsia="Calibri" w:hAnsi="Calibri"/>
                <w:sz w:val="18"/>
                <w:szCs w:val="18"/>
                <w:color w:val="0563C1"/>
              </w:rPr>
            </w:pPr>
            <w:hyperlink r:id="rId721">
              <w:r>
                <w:rPr>
                  <w:rFonts w:ascii="Calibri" w:cs="Calibri" w:eastAsia="Calibri" w:hAnsi="Calibri"/>
                  <w:sz w:val="18"/>
                  <w:szCs w:val="18"/>
                  <w:color w:val="0563C1"/>
                </w:rPr>
                <w:t>12744))</w:t>
              </w:r>
            </w:hyperlink>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40" w:type="dxa"/>
            <w:vAlign w:val="bottom"/>
            <w:tcBorders>
              <w:left w:val="single" w:sz="8" w:color="91BBD3"/>
              <w:bottom w:val="single" w:sz="8" w:color="91BBD3"/>
            </w:tcBorders>
          </w:tcPr>
          <w:p>
            <w:pPr>
              <w:spacing w:after="0"/>
              <w:rPr>
                <w:sz w:val="4"/>
                <w:szCs w:val="4"/>
                <w:color w:val="auto"/>
              </w:rPr>
            </w:pPr>
          </w:p>
        </w:tc>
        <w:tc>
          <w:tcPr>
            <w:tcW w:w="1260" w:type="dxa"/>
            <w:vAlign w:val="bottom"/>
            <w:tcBorders>
              <w:bottom w:val="single" w:sz="8" w:color="91BBD3"/>
              <w:right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540" w:type="dxa"/>
            <w:vAlign w:val="bottom"/>
            <w:tcBorders>
              <w:top w:val="single" w:sz="8" w:color="0563C1"/>
              <w:bottom w:val="single" w:sz="8" w:color="91BBD3"/>
            </w:tcBorders>
          </w:tcPr>
          <w:p>
            <w:pPr>
              <w:spacing w:after="0"/>
              <w:rPr>
                <w:sz w:val="4"/>
                <w:szCs w:val="4"/>
                <w:color w:val="auto"/>
              </w:rPr>
            </w:pPr>
          </w:p>
        </w:tc>
        <w:tc>
          <w:tcPr>
            <w:tcW w:w="440" w:type="dxa"/>
            <w:vAlign w:val="bottom"/>
            <w:tcBorders>
              <w:bottom w:val="single" w:sz="8" w:color="91BBD3"/>
            </w:tcBorders>
          </w:tcPr>
          <w:p>
            <w:pPr>
              <w:spacing w:after="0"/>
              <w:rPr>
                <w:sz w:val="4"/>
                <w:szCs w:val="4"/>
                <w:color w:val="auto"/>
              </w:rPr>
            </w:pPr>
          </w:p>
        </w:tc>
        <w:tc>
          <w:tcPr>
            <w:tcW w:w="1200" w:type="dxa"/>
            <w:vAlign w:val="bottom"/>
            <w:tcBorders>
              <w:bottom w:val="single" w:sz="8" w:color="91BBD3"/>
            </w:tcBorders>
          </w:tcPr>
          <w:p>
            <w:pPr>
              <w:spacing w:after="0"/>
              <w:rPr>
                <w:sz w:val="4"/>
                <w:szCs w:val="4"/>
                <w:color w:val="auto"/>
              </w:rPr>
            </w:pPr>
          </w:p>
        </w:tc>
        <w:tc>
          <w:tcPr>
            <w:tcW w:w="1060" w:type="dxa"/>
            <w:vAlign w:val="bottom"/>
            <w:tcBorders>
              <w:bottom w:val="single" w:sz="8" w:color="91BBD3"/>
            </w:tcBorders>
          </w:tcPr>
          <w:p>
            <w:pPr>
              <w:spacing w:after="0"/>
              <w:rPr>
                <w:sz w:val="4"/>
                <w:szCs w:val="4"/>
                <w:color w:val="auto"/>
              </w:rPr>
            </w:pPr>
          </w:p>
        </w:tc>
        <w:tc>
          <w:tcPr>
            <w:tcW w:w="13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1340" w:type="dxa"/>
            <w:vAlign w:val="bottom"/>
            <w:tcBorders>
              <w:bottom w:val="single" w:sz="8" w:color="91BBD3"/>
            </w:tcBorders>
          </w:tcPr>
          <w:p>
            <w:pPr>
              <w:spacing w:after="0"/>
              <w:rPr>
                <w:sz w:val="4"/>
                <w:szCs w:val="4"/>
                <w:color w:val="auto"/>
              </w:rPr>
            </w:pPr>
          </w:p>
        </w:tc>
        <w:tc>
          <w:tcPr>
            <w:tcW w:w="2700" w:type="dxa"/>
            <w:vAlign w:val="bottom"/>
            <w:tcBorders>
              <w:bottom w:val="single" w:sz="8" w:color="91BBD3"/>
            </w:tcBorders>
          </w:tcPr>
          <w:p>
            <w:pPr>
              <w:spacing w:after="0"/>
              <w:rPr>
                <w:sz w:val="4"/>
                <w:szCs w:val="4"/>
                <w:color w:val="auto"/>
              </w:rPr>
            </w:pPr>
          </w:p>
        </w:tc>
        <w:tc>
          <w:tcPr>
            <w:tcW w:w="12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91BBD3"/>
              <w:bottom w:val="single" w:sz="8" w:color="DAE8F0"/>
            </w:tcBorders>
            <w:shd w:val="clear" w:color="auto" w:fill="DAE8F0"/>
          </w:tcPr>
          <w:p>
            <w:pPr>
              <w:jc w:val="right"/>
              <w:spacing w:after="0" w:line="169" w:lineRule="exact"/>
              <w:rPr>
                <w:sz w:val="20"/>
                <w:szCs w:val="20"/>
                <w:color w:val="auto"/>
              </w:rPr>
            </w:pPr>
            <w:r>
              <w:rPr>
                <w:rFonts w:ascii="Calibri" w:cs="Calibri" w:eastAsia="Calibri" w:hAnsi="Calibri"/>
                <w:sz w:val="18"/>
                <w:szCs w:val="18"/>
                <w:b w:val="1"/>
                <w:bCs w:val="1"/>
                <w:color w:val="auto"/>
              </w:rPr>
              <w:t>4.07</w:t>
            </w:r>
          </w:p>
        </w:tc>
        <w:tc>
          <w:tcPr>
            <w:tcW w:w="1260" w:type="dxa"/>
            <w:vAlign w:val="bottom"/>
            <w:tcBorders>
              <w:bottom w:val="single" w:sz="8" w:color="DAE8F0"/>
              <w:right w:val="single" w:sz="8" w:color="91BBD3"/>
            </w:tcBorders>
            <w:shd w:val="clear" w:color="auto" w:fill="DAE8F0"/>
          </w:tcPr>
          <w:p>
            <w:pPr>
              <w:spacing w:after="0"/>
              <w:rPr>
                <w:sz w:val="14"/>
                <w:szCs w:val="14"/>
                <w:color w:val="auto"/>
              </w:rPr>
            </w:pPr>
          </w:p>
        </w:tc>
        <w:tc>
          <w:tcPr>
            <w:tcW w:w="80" w:type="dxa"/>
            <w:vAlign w:val="bottom"/>
            <w:tcBorders>
              <w:bottom w:val="single" w:sz="8" w:color="DAE8F0"/>
            </w:tcBorders>
            <w:shd w:val="clear" w:color="auto" w:fill="DAE8F0"/>
          </w:tcPr>
          <w:p>
            <w:pPr>
              <w:spacing w:after="0"/>
              <w:rPr>
                <w:sz w:val="14"/>
                <w:szCs w:val="14"/>
                <w:color w:val="auto"/>
              </w:rPr>
            </w:pPr>
          </w:p>
        </w:tc>
        <w:tc>
          <w:tcPr>
            <w:tcW w:w="9120" w:type="dxa"/>
            <w:vAlign w:val="bottom"/>
            <w:tcBorders>
              <w:bottom w:val="single" w:sz="8" w:color="0563C1"/>
              <w:right w:val="single" w:sz="8" w:color="91BBD3"/>
            </w:tcBorders>
            <w:gridSpan w:val="12"/>
            <w:shd w:val="clear" w:color="auto" w:fill="DAE8F0"/>
          </w:tcPr>
          <w:p>
            <w:pPr>
              <w:spacing w:after="0" w:line="169" w:lineRule="exact"/>
              <w:rPr>
                <w:rFonts w:ascii="Calibri" w:cs="Calibri" w:eastAsia="Calibri" w:hAnsi="Calibri"/>
                <w:sz w:val="18"/>
                <w:szCs w:val="18"/>
                <w:color w:val="0563C1"/>
              </w:rPr>
            </w:pPr>
            <w:hyperlink r:id="rId722">
              <w:r>
                <w:rPr>
                  <w:rFonts w:ascii="Calibri" w:cs="Calibri" w:eastAsia="Calibri" w:hAnsi="Calibri"/>
                  <w:sz w:val="18"/>
                  <w:szCs w:val="18"/>
                  <w:color w:val="0563C1"/>
                </w:rPr>
                <w:t>Second Supplemental Indenture, dated as of April 30, 2007, between Martn Marieta Materials, Inc. and Truist Bank, as</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bottom w:val="single" w:sz="8" w:color="DAE8F0"/>
            </w:tcBorders>
            <w:shd w:val="clear" w:color="auto" w:fill="DAE8F0"/>
          </w:tcPr>
          <w:p>
            <w:pPr>
              <w:spacing w:after="0"/>
              <w:rPr>
                <w:sz w:val="17"/>
                <w:szCs w:val="17"/>
                <w:color w:val="auto"/>
              </w:rPr>
            </w:pPr>
          </w:p>
        </w:tc>
        <w:tc>
          <w:tcPr>
            <w:tcW w:w="1260" w:type="dxa"/>
            <w:vAlign w:val="bottom"/>
            <w:tcBorders>
              <w:bottom w:val="single" w:sz="8" w:color="DAE8F0"/>
              <w:right w:val="single" w:sz="8" w:color="91BBD3"/>
            </w:tcBorders>
            <w:shd w:val="clear" w:color="auto" w:fill="DAE8F0"/>
          </w:tcPr>
          <w:p>
            <w:pPr>
              <w:spacing w:after="0"/>
              <w:rPr>
                <w:sz w:val="17"/>
                <w:szCs w:val="17"/>
                <w:color w:val="auto"/>
              </w:rPr>
            </w:pPr>
          </w:p>
        </w:tc>
        <w:tc>
          <w:tcPr>
            <w:tcW w:w="8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right w:val="single" w:sz="8" w:color="DAE8F0"/>
            </w:tcBorders>
            <w:gridSpan w:val="11"/>
            <w:shd w:val="clear" w:color="auto" w:fill="DAE8F0"/>
          </w:tcPr>
          <w:p>
            <w:pPr>
              <w:spacing w:after="0" w:line="196" w:lineRule="exact"/>
              <w:rPr>
                <w:rFonts w:ascii="Calibri" w:cs="Calibri" w:eastAsia="Calibri" w:hAnsi="Calibri"/>
                <w:sz w:val="18"/>
                <w:szCs w:val="18"/>
                <w:color w:val="0563C1"/>
              </w:rPr>
            </w:pPr>
            <w:hyperlink r:id="rId722">
              <w:r>
                <w:rPr>
                  <w:rFonts w:ascii="Calibri" w:cs="Calibri" w:eastAsia="Calibri" w:hAnsi="Calibri"/>
                  <w:sz w:val="18"/>
                  <w:szCs w:val="18"/>
                  <w:color w:val="0563C1"/>
                </w:rPr>
                <w:t>trustee, to that certain Indenture dated as of April 30, 2007 between Martn Marieta Materials, Inc. and Truist Bank, as</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shd w:val="clear" w:color="auto" w:fill="DAE8F0"/>
          </w:tcPr>
          <w:p>
            <w:pPr>
              <w:spacing w:after="0"/>
              <w:rPr>
                <w:sz w:val="17"/>
                <w:szCs w:val="17"/>
                <w:color w:val="auto"/>
              </w:rPr>
            </w:pPr>
          </w:p>
        </w:tc>
        <w:tc>
          <w:tcPr>
            <w:tcW w:w="1260" w:type="dxa"/>
            <w:vAlign w:val="bottom"/>
            <w:tcBorders>
              <w:right w:val="single" w:sz="8" w:color="91BBD3"/>
            </w:tcBorders>
            <w:shd w:val="clear" w:color="auto" w:fill="DAE8F0"/>
          </w:tcPr>
          <w:p>
            <w:pPr>
              <w:spacing w:after="0"/>
              <w:rPr>
                <w:sz w:val="17"/>
                <w:szCs w:val="17"/>
                <w:color w:val="auto"/>
              </w:rPr>
            </w:pPr>
          </w:p>
        </w:tc>
        <w:tc>
          <w:tcPr>
            <w:tcW w:w="8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2"/>
            <w:shd w:val="clear" w:color="auto" w:fill="DAE8F0"/>
          </w:tcPr>
          <w:p>
            <w:pPr>
              <w:spacing w:after="0" w:line="196" w:lineRule="exact"/>
              <w:rPr>
                <w:rFonts w:ascii="Calibri" w:cs="Calibri" w:eastAsia="Calibri" w:hAnsi="Calibri"/>
                <w:sz w:val="18"/>
                <w:szCs w:val="18"/>
                <w:color w:val="0563C1"/>
              </w:rPr>
            </w:pPr>
            <w:hyperlink r:id="rId722">
              <w:r>
                <w:rPr>
                  <w:rFonts w:ascii="Calibri" w:cs="Calibri" w:eastAsia="Calibri" w:hAnsi="Calibri"/>
                  <w:sz w:val="18"/>
                  <w:szCs w:val="18"/>
                  <w:color w:val="0563C1"/>
                </w:rPr>
                <w:t xml:space="preserve">trustee, pursuant to which were issued </w:t>
              </w:r>
              <w:r>
                <w:rPr>
                  <w:rFonts w:ascii="Calibri" w:cs="Calibri" w:eastAsia="Calibri" w:hAnsi="Calibri"/>
                  <w:sz w:val="18"/>
                  <w:szCs w:val="18"/>
                  <w:u w:val="single" w:color="auto"/>
                  <w:color w:val="0563C1"/>
                </w:rPr>
                <w:t>$</w:t>
              </w:r>
              <w:r>
                <w:rPr>
                  <w:rFonts w:ascii="Calibri" w:cs="Calibri" w:eastAsia="Calibri" w:hAnsi="Calibri"/>
                  <w:sz w:val="18"/>
                  <w:szCs w:val="18"/>
                  <w:color w:val="0563C1"/>
                </w:rPr>
                <w:t>250,000,000 aggregate principal amount of 6</w:t>
              </w:r>
              <w:r>
                <w:rPr>
                  <w:rFonts w:ascii="Calibri" w:cs="Calibri" w:eastAsia="Calibri" w:hAnsi="Calibri"/>
                  <w:sz w:val="18"/>
                  <w:szCs w:val="18"/>
                  <w:i w:val="1"/>
                  <w:iCs w:val="1"/>
                  <w:color w:val="0563C1"/>
                </w:rPr>
                <w:t>¼%</w:t>
              </w:r>
              <w:r>
                <w:rPr>
                  <w:rFonts w:ascii="Calibri" w:cs="Calibri" w:eastAsia="Calibri" w:hAnsi="Calibri"/>
                  <w:sz w:val="18"/>
                  <w:szCs w:val="18"/>
                  <w:color w:val="0563C1"/>
                </w:rPr>
                <w:t xml:space="preserve"> Senior Notes due 2037 of Martn</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Borders>
              <w:left w:val="single" w:sz="8" w:color="91BBD3"/>
            </w:tcBorders>
            <w:shd w:val="clear" w:color="auto" w:fill="DAE8F0"/>
          </w:tcPr>
          <w:p>
            <w:pPr>
              <w:spacing w:after="0" w:line="20" w:lineRule="exact"/>
              <w:rPr>
                <w:sz w:val="1"/>
                <w:szCs w:val="1"/>
                <w:color w:val="auto"/>
              </w:rPr>
            </w:pPr>
          </w:p>
        </w:tc>
        <w:tc>
          <w:tcPr>
            <w:tcW w:w="1260" w:type="dxa"/>
            <w:vAlign w:val="bottom"/>
            <w:tcBorders>
              <w:right w:val="single" w:sz="8" w:color="91BBD3"/>
            </w:tcBorders>
            <w:shd w:val="clear" w:color="auto" w:fill="DAE8F0"/>
          </w:tcPr>
          <w:p>
            <w:pPr>
              <w:spacing w:after="0" w:line="20" w:lineRule="exact"/>
              <w:rPr>
                <w:sz w:val="1"/>
                <w:szCs w:val="1"/>
                <w:color w:val="auto"/>
              </w:rPr>
            </w:pPr>
          </w:p>
        </w:tc>
        <w:tc>
          <w:tcPr>
            <w:tcW w:w="80" w:type="dxa"/>
            <w:vAlign w:val="bottom"/>
            <w:shd w:val="clear" w:color="auto" w:fill="DAE8F0"/>
          </w:tcPr>
          <w:p>
            <w:pPr>
              <w:spacing w:after="0" w:line="20" w:lineRule="exact"/>
              <w:rPr>
                <w:sz w:val="1"/>
                <w:szCs w:val="1"/>
                <w:color w:val="auto"/>
              </w:rPr>
            </w:pPr>
          </w:p>
        </w:tc>
        <w:tc>
          <w:tcPr>
            <w:tcW w:w="980" w:type="dxa"/>
            <w:vAlign w:val="bottom"/>
            <w:gridSpan w:val="2"/>
            <w:shd w:val="clear" w:color="auto" w:fill="0563C1"/>
          </w:tcPr>
          <w:p>
            <w:pPr>
              <w:spacing w:after="0" w:line="20" w:lineRule="exact"/>
              <w:rPr>
                <w:sz w:val="1"/>
                <w:szCs w:val="1"/>
                <w:color w:val="auto"/>
              </w:rPr>
            </w:pPr>
          </w:p>
        </w:tc>
        <w:tc>
          <w:tcPr>
            <w:tcW w:w="1200" w:type="dxa"/>
            <w:vAlign w:val="bottom"/>
            <w:shd w:val="clear" w:color="auto" w:fill="0563C1"/>
          </w:tcPr>
          <w:p>
            <w:pPr>
              <w:spacing w:after="0" w:line="20" w:lineRule="exact"/>
              <w:rPr>
                <w:sz w:val="1"/>
                <w:szCs w:val="1"/>
                <w:color w:val="auto"/>
              </w:rPr>
            </w:pPr>
          </w:p>
        </w:tc>
        <w:tc>
          <w:tcPr>
            <w:tcW w:w="1060" w:type="dxa"/>
            <w:vAlign w:val="bottom"/>
            <w:shd w:val="clear" w:color="auto" w:fill="0563C1"/>
          </w:tcPr>
          <w:p>
            <w:pPr>
              <w:spacing w:after="0" w:line="20" w:lineRule="exact"/>
              <w:rPr>
                <w:sz w:val="1"/>
                <w:szCs w:val="1"/>
                <w:color w:val="auto"/>
              </w:rPr>
            </w:pPr>
          </w:p>
        </w:tc>
        <w:tc>
          <w:tcPr>
            <w:tcW w:w="13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340" w:type="dxa"/>
            <w:vAlign w:val="bottom"/>
            <w:shd w:val="clear" w:color="auto" w:fill="0563C1"/>
          </w:tcPr>
          <w:p>
            <w:pPr>
              <w:spacing w:after="0" w:line="20" w:lineRule="exact"/>
              <w:rPr>
                <w:sz w:val="1"/>
                <w:szCs w:val="1"/>
                <w:color w:val="auto"/>
              </w:rPr>
            </w:pPr>
          </w:p>
        </w:tc>
        <w:tc>
          <w:tcPr>
            <w:tcW w:w="27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left w:val="single" w:sz="8" w:color="91BBD3"/>
            </w:tcBorders>
            <w:shd w:val="clear" w:color="auto" w:fill="DAE8F0"/>
          </w:tcPr>
          <w:p>
            <w:pPr>
              <w:spacing w:after="0"/>
              <w:rPr>
                <w:sz w:val="17"/>
                <w:szCs w:val="17"/>
                <w:color w:val="auto"/>
              </w:rPr>
            </w:pPr>
          </w:p>
        </w:tc>
        <w:tc>
          <w:tcPr>
            <w:tcW w:w="1260" w:type="dxa"/>
            <w:vAlign w:val="bottom"/>
            <w:tcBorders>
              <w:right w:val="single" w:sz="8" w:color="91BBD3"/>
            </w:tcBorders>
            <w:shd w:val="clear" w:color="auto" w:fill="DAE8F0"/>
          </w:tcPr>
          <w:p>
            <w:pPr>
              <w:spacing w:after="0"/>
              <w:rPr>
                <w:sz w:val="17"/>
                <w:szCs w:val="17"/>
                <w:color w:val="auto"/>
              </w:rPr>
            </w:pPr>
          </w:p>
        </w:tc>
        <w:tc>
          <w:tcPr>
            <w:tcW w:w="8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2"/>
            <w:shd w:val="clear" w:color="auto" w:fill="DAE8F0"/>
          </w:tcPr>
          <w:p>
            <w:pPr>
              <w:spacing w:after="0" w:line="196" w:lineRule="exact"/>
              <w:rPr>
                <w:rFonts w:ascii="Calibri" w:cs="Calibri" w:eastAsia="Calibri" w:hAnsi="Calibri"/>
                <w:sz w:val="18"/>
                <w:szCs w:val="18"/>
                <w:color w:val="0563C1"/>
              </w:rPr>
            </w:pPr>
            <w:hyperlink r:id="rId722">
              <w:r>
                <w:rPr>
                  <w:rFonts w:ascii="Calibri" w:cs="Calibri" w:eastAsia="Calibri" w:hAnsi="Calibri"/>
                  <w:sz w:val="18"/>
                  <w:szCs w:val="18"/>
                  <w:color w:val="0563C1"/>
                </w:rPr>
                <w:t>Marieta Materials, Inc. (incorporated by reference to Exhibit 4.3 to the Martn Marieta Materials, Inc. Current Report on</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40" w:type="dxa"/>
            <w:vAlign w:val="bottom"/>
            <w:tcBorders>
              <w:top w:val="single" w:sz="8" w:color="DAE8F0"/>
              <w:left w:val="single" w:sz="8" w:color="91BBD3"/>
            </w:tcBorders>
            <w:shd w:val="clear" w:color="auto" w:fill="DAE8F0"/>
          </w:tcPr>
          <w:p>
            <w:pPr>
              <w:spacing w:after="0"/>
              <w:rPr>
                <w:sz w:val="21"/>
                <w:szCs w:val="21"/>
                <w:color w:val="auto"/>
              </w:rPr>
            </w:pPr>
          </w:p>
        </w:tc>
        <w:tc>
          <w:tcPr>
            <w:tcW w:w="1260" w:type="dxa"/>
            <w:vAlign w:val="bottom"/>
            <w:tcBorders>
              <w:top w:val="single" w:sz="8" w:color="DAE8F0"/>
              <w:right w:val="single" w:sz="8" w:color="91BBD3"/>
            </w:tcBorders>
            <w:shd w:val="clear" w:color="auto" w:fill="DAE8F0"/>
          </w:tcPr>
          <w:p>
            <w:pPr>
              <w:spacing w:after="0"/>
              <w:rPr>
                <w:sz w:val="21"/>
                <w:szCs w:val="21"/>
                <w:color w:val="auto"/>
              </w:rPr>
            </w:pPr>
          </w:p>
        </w:tc>
        <w:tc>
          <w:tcPr>
            <w:tcW w:w="80" w:type="dxa"/>
            <w:vAlign w:val="bottom"/>
            <w:tcBorders>
              <w:top w:val="single" w:sz="8" w:color="DAE8F0"/>
            </w:tcBorders>
            <w:shd w:val="clear" w:color="auto" w:fill="DAE8F0"/>
          </w:tcPr>
          <w:p>
            <w:pPr>
              <w:spacing w:after="0"/>
              <w:rPr>
                <w:sz w:val="21"/>
                <w:szCs w:val="21"/>
                <w:color w:val="auto"/>
              </w:rPr>
            </w:pPr>
          </w:p>
        </w:tc>
        <w:tc>
          <w:tcPr>
            <w:tcW w:w="8980" w:type="dxa"/>
            <w:vAlign w:val="bottom"/>
            <w:tcBorders>
              <w:top w:val="single" w:sz="8" w:color="0563C1"/>
              <w:right w:val="single" w:sz="8" w:color="DAE8F0"/>
            </w:tcBorders>
            <w:gridSpan w:val="11"/>
            <w:shd w:val="clear" w:color="auto" w:fill="DAE8F0"/>
          </w:tcPr>
          <w:p>
            <w:pPr>
              <w:spacing w:after="0" w:line="196" w:lineRule="exact"/>
              <w:rPr>
                <w:rFonts w:ascii="Calibri" w:cs="Calibri" w:eastAsia="Calibri" w:hAnsi="Calibri"/>
                <w:sz w:val="18"/>
                <w:szCs w:val="18"/>
                <w:color w:val="0563C1"/>
              </w:rPr>
            </w:pPr>
            <w:hyperlink r:id="rId722">
              <w:r>
                <w:rPr>
                  <w:rFonts w:ascii="Calibri" w:cs="Calibri" w:eastAsia="Calibri" w:hAnsi="Calibri"/>
                  <w:sz w:val="18"/>
                  <w:szCs w:val="18"/>
                  <w:color w:val="0563C1"/>
                </w:rPr>
                <w:t>Form 8-K, fled on April 30, 2007 (Commission File No. 1-12744))</w:t>
              </w:r>
            </w:hyperlink>
          </w:p>
        </w:tc>
        <w:tc>
          <w:tcPr>
            <w:tcW w:w="140" w:type="dxa"/>
            <w:vAlign w:val="bottom"/>
            <w:tcBorders>
              <w:top w:val="single" w:sz="8" w:color="DAE8F0"/>
              <w:left w:val="single" w:sz="8" w:color="DAE8F0"/>
              <w:right w:val="single" w:sz="8" w:color="91BBD3"/>
            </w:tcBorders>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12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80" w:type="dxa"/>
            <w:vAlign w:val="bottom"/>
            <w:tcBorders>
              <w:top w:val="single" w:sz="8" w:color="DAE8F0"/>
            </w:tcBorders>
            <w:shd w:val="clear" w:color="auto" w:fill="91BBD3"/>
          </w:tcPr>
          <w:p>
            <w:pPr>
              <w:spacing w:after="0" w:line="20" w:lineRule="exact"/>
              <w:rPr>
                <w:sz w:val="1"/>
                <w:szCs w:val="1"/>
                <w:color w:val="auto"/>
              </w:rPr>
            </w:pPr>
          </w:p>
        </w:tc>
        <w:tc>
          <w:tcPr>
            <w:tcW w:w="54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1200" w:type="dxa"/>
            <w:vAlign w:val="bottom"/>
            <w:tcBorders>
              <w:top w:val="single" w:sz="8" w:color="0563C1"/>
            </w:tcBorders>
            <w:shd w:val="clear" w:color="auto" w:fill="91BBD3"/>
          </w:tcPr>
          <w:p>
            <w:pPr>
              <w:spacing w:after="0" w:line="20" w:lineRule="exact"/>
              <w:rPr>
                <w:sz w:val="1"/>
                <w:szCs w:val="1"/>
                <w:color w:val="auto"/>
              </w:rPr>
            </w:pPr>
          </w:p>
        </w:tc>
        <w:tc>
          <w:tcPr>
            <w:tcW w:w="1060" w:type="dxa"/>
            <w:vAlign w:val="bottom"/>
            <w:tcBorders>
              <w:top w:val="single" w:sz="8" w:color="0563C1"/>
            </w:tcBorders>
            <w:shd w:val="clear" w:color="auto" w:fill="91BBD3"/>
          </w:tcPr>
          <w:p>
            <w:pPr>
              <w:spacing w:after="0" w:line="20" w:lineRule="exact"/>
              <w:rPr>
                <w:sz w:val="1"/>
                <w:szCs w:val="1"/>
                <w:color w:val="auto"/>
              </w:rPr>
            </w:pPr>
          </w:p>
        </w:tc>
        <w:tc>
          <w:tcPr>
            <w:tcW w:w="1320" w:type="dxa"/>
            <w:vAlign w:val="bottom"/>
            <w:tcBorders>
              <w:top w:val="single" w:sz="8" w:color="0563C1"/>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1340" w:type="dxa"/>
            <w:vAlign w:val="bottom"/>
            <w:tcBorders>
              <w:top w:val="single" w:sz="8" w:color="DAE8F0"/>
            </w:tcBorders>
            <w:shd w:val="clear" w:color="auto" w:fill="91BBD3"/>
          </w:tcPr>
          <w:p>
            <w:pPr>
              <w:spacing w:after="0" w:line="20" w:lineRule="exact"/>
              <w:rPr>
                <w:sz w:val="1"/>
                <w:szCs w:val="1"/>
                <w:color w:val="auto"/>
              </w:rPr>
            </w:pPr>
          </w:p>
        </w:tc>
        <w:tc>
          <w:tcPr>
            <w:tcW w:w="2700" w:type="dxa"/>
            <w:vAlign w:val="bottom"/>
            <w:tcBorders>
              <w:top w:val="single" w:sz="8" w:color="DAE8F0"/>
            </w:tcBorders>
            <w:shd w:val="clear" w:color="auto" w:fill="91BBD3"/>
          </w:tcPr>
          <w:p>
            <w:pPr>
              <w:spacing w:after="0" w:line="20" w:lineRule="exact"/>
              <w:rPr>
                <w:sz w:val="1"/>
                <w:szCs w:val="1"/>
                <w:color w:val="auto"/>
              </w:rPr>
            </w:pPr>
          </w:p>
        </w:tc>
        <w:tc>
          <w:tcPr>
            <w:tcW w:w="12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0" w:type="dxa"/>
            <w:vAlign w:val="bottom"/>
            <w:tcBorders>
              <w:left w:val="single" w:sz="8" w:color="91BBD3"/>
            </w:tcBorders>
          </w:tcPr>
          <w:p>
            <w:pPr>
              <w:jc w:val="right"/>
              <w:spacing w:after="0" w:line="169" w:lineRule="exact"/>
              <w:rPr>
                <w:sz w:val="20"/>
                <w:szCs w:val="20"/>
                <w:color w:val="auto"/>
              </w:rPr>
            </w:pPr>
            <w:r>
              <w:rPr>
                <w:rFonts w:ascii="Calibri" w:cs="Calibri" w:eastAsia="Calibri" w:hAnsi="Calibri"/>
                <w:sz w:val="18"/>
                <w:szCs w:val="18"/>
                <w:b w:val="1"/>
                <w:bCs w:val="1"/>
                <w:color w:val="auto"/>
              </w:rPr>
              <w:t>4.08</w:t>
            </w:r>
          </w:p>
        </w:tc>
        <w:tc>
          <w:tcPr>
            <w:tcW w:w="1260" w:type="dxa"/>
            <w:vAlign w:val="bottom"/>
            <w:tcBorders>
              <w:right w:val="single" w:sz="8" w:color="91BBD3"/>
            </w:tcBorders>
          </w:tcPr>
          <w:p>
            <w:pPr>
              <w:spacing w:after="0"/>
              <w:rPr>
                <w:sz w:val="14"/>
                <w:szCs w:val="14"/>
                <w:color w:val="auto"/>
              </w:rPr>
            </w:pPr>
          </w:p>
        </w:tc>
        <w:tc>
          <w:tcPr>
            <w:tcW w:w="80" w:type="dxa"/>
            <w:vAlign w:val="bottom"/>
          </w:tcPr>
          <w:p>
            <w:pPr>
              <w:spacing w:after="0"/>
              <w:rPr>
                <w:sz w:val="14"/>
                <w:szCs w:val="14"/>
                <w:color w:val="auto"/>
              </w:rPr>
            </w:pPr>
          </w:p>
        </w:tc>
        <w:tc>
          <w:tcPr>
            <w:tcW w:w="9120" w:type="dxa"/>
            <w:vAlign w:val="bottom"/>
            <w:tcBorders>
              <w:bottom w:val="single" w:sz="8" w:color="0563C1"/>
              <w:right w:val="single" w:sz="8" w:color="91BBD3"/>
            </w:tcBorders>
            <w:gridSpan w:val="12"/>
          </w:tcPr>
          <w:p>
            <w:pPr>
              <w:spacing w:after="0" w:line="169" w:lineRule="exact"/>
              <w:rPr>
                <w:rFonts w:ascii="Calibri" w:cs="Calibri" w:eastAsia="Calibri" w:hAnsi="Calibri"/>
                <w:sz w:val="18"/>
                <w:szCs w:val="18"/>
                <w:color w:val="0563C1"/>
              </w:rPr>
            </w:pPr>
            <w:hyperlink r:id="rId723">
              <w:r>
                <w:rPr>
                  <w:rFonts w:ascii="Calibri" w:cs="Calibri" w:eastAsia="Calibri" w:hAnsi="Calibri"/>
                  <w:sz w:val="18"/>
                  <w:szCs w:val="18"/>
                  <w:color w:val="0563C1"/>
                </w:rPr>
                <w:t>Purchase Agreement dated as of June 23, 2014 among Martn Marieta Materials, Inc. and Deutsche Bank Securites Inc. and</w:t>
              </w:r>
            </w:hyperlink>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8980" w:type="dxa"/>
            <w:vAlign w:val="bottom"/>
            <w:tcBorders>
              <w:bottom w:val="single" w:sz="8" w:color="0563C1"/>
            </w:tcBorders>
            <w:gridSpan w:val="11"/>
          </w:tcPr>
          <w:p>
            <w:pPr>
              <w:spacing w:after="0" w:line="196" w:lineRule="exact"/>
              <w:rPr>
                <w:rFonts w:ascii="Calibri" w:cs="Calibri" w:eastAsia="Calibri" w:hAnsi="Calibri"/>
                <w:sz w:val="18"/>
                <w:szCs w:val="18"/>
                <w:color w:val="0563C1"/>
                <w:w w:val="99"/>
              </w:rPr>
            </w:pPr>
            <w:hyperlink r:id="rId723">
              <w:r>
                <w:rPr>
                  <w:rFonts w:ascii="Calibri" w:cs="Calibri" w:eastAsia="Calibri" w:hAnsi="Calibri"/>
                  <w:sz w:val="18"/>
                  <w:szCs w:val="18"/>
                  <w:color w:val="0563C1"/>
                  <w:w w:val="99"/>
                </w:rPr>
                <w:t>J.P. Morgan Securites LLC, as representatves of the several inital purchasers named in Schedule 1 thereto (incorporated by</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right w:val="single" w:sz="8" w:color="91BBD3"/>
            </w:tcBorders>
            <w:gridSpan w:val="12"/>
          </w:tcPr>
          <w:p>
            <w:pPr>
              <w:spacing w:after="0" w:line="196" w:lineRule="exact"/>
              <w:rPr>
                <w:rFonts w:ascii="Calibri" w:cs="Calibri" w:eastAsia="Calibri" w:hAnsi="Calibri"/>
                <w:sz w:val="18"/>
                <w:szCs w:val="18"/>
                <w:color w:val="0563C1"/>
                <w:w w:val="98"/>
              </w:rPr>
            </w:pPr>
            <w:hyperlink r:id="rId723">
              <w:r>
                <w:rPr>
                  <w:rFonts w:ascii="Calibri" w:cs="Calibri" w:eastAsia="Calibri" w:hAnsi="Calibri"/>
                  <w:sz w:val="18"/>
                  <w:szCs w:val="18"/>
                  <w:color w:val="0563C1"/>
                  <w:w w:val="98"/>
                </w:rPr>
                <w:t>reference to Exhibit 10.1 of the Company’s Current Report on Form 8-K, fled on June 24, 2014)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40" w:type="dxa"/>
            <w:vAlign w:val="bottom"/>
            <w:tcBorders>
              <w:left w:val="single" w:sz="8" w:color="91BBD3"/>
              <w:bottom w:val="single" w:sz="8" w:color="91BBD3"/>
            </w:tcBorders>
          </w:tcPr>
          <w:p>
            <w:pPr>
              <w:spacing w:after="0"/>
              <w:rPr>
                <w:sz w:val="4"/>
                <w:szCs w:val="4"/>
                <w:color w:val="auto"/>
              </w:rPr>
            </w:pPr>
          </w:p>
        </w:tc>
        <w:tc>
          <w:tcPr>
            <w:tcW w:w="1260" w:type="dxa"/>
            <w:vAlign w:val="bottom"/>
            <w:tcBorders>
              <w:bottom w:val="single" w:sz="8" w:color="91BBD3"/>
              <w:right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54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1200" w:type="dxa"/>
            <w:vAlign w:val="bottom"/>
            <w:tcBorders>
              <w:top w:val="single" w:sz="8" w:color="0563C1"/>
              <w:bottom w:val="single" w:sz="8" w:color="91BBD3"/>
            </w:tcBorders>
          </w:tcPr>
          <w:p>
            <w:pPr>
              <w:spacing w:after="0"/>
              <w:rPr>
                <w:sz w:val="4"/>
                <w:szCs w:val="4"/>
                <w:color w:val="auto"/>
              </w:rPr>
            </w:pPr>
          </w:p>
        </w:tc>
        <w:tc>
          <w:tcPr>
            <w:tcW w:w="1060" w:type="dxa"/>
            <w:vAlign w:val="bottom"/>
            <w:tcBorders>
              <w:top w:val="single" w:sz="8" w:color="0563C1"/>
              <w:bottom w:val="single" w:sz="8" w:color="91BBD3"/>
            </w:tcBorders>
          </w:tcPr>
          <w:p>
            <w:pPr>
              <w:spacing w:after="0"/>
              <w:rPr>
                <w:sz w:val="4"/>
                <w:szCs w:val="4"/>
                <w:color w:val="auto"/>
              </w:rPr>
            </w:pPr>
          </w:p>
        </w:tc>
        <w:tc>
          <w:tcPr>
            <w:tcW w:w="1320" w:type="dxa"/>
            <w:vAlign w:val="bottom"/>
            <w:tcBorders>
              <w:top w:val="single" w:sz="8" w:color="0563C1"/>
              <w:bottom w:val="single" w:sz="8" w:color="91BBD3"/>
            </w:tcBorders>
          </w:tcPr>
          <w:p>
            <w:pPr>
              <w:spacing w:after="0"/>
              <w:rPr>
                <w:sz w:val="4"/>
                <w:szCs w:val="4"/>
                <w:color w:val="auto"/>
              </w:rPr>
            </w:pPr>
          </w:p>
        </w:tc>
        <w:tc>
          <w:tcPr>
            <w:tcW w:w="20" w:type="dxa"/>
            <w:vAlign w:val="bottom"/>
            <w:tcBorders>
              <w:top w:val="single" w:sz="8" w:color="0563C1"/>
              <w:bottom w:val="single" w:sz="8" w:color="91BBD3"/>
            </w:tcBorders>
          </w:tcPr>
          <w:p>
            <w:pPr>
              <w:spacing w:after="0"/>
              <w:rPr>
                <w:sz w:val="4"/>
                <w:szCs w:val="4"/>
                <w:color w:val="auto"/>
              </w:rPr>
            </w:pPr>
          </w:p>
        </w:tc>
        <w:tc>
          <w:tcPr>
            <w:tcW w:w="100" w:type="dxa"/>
            <w:vAlign w:val="bottom"/>
            <w:tcBorders>
              <w:top w:val="single" w:sz="8" w:color="0563C1"/>
              <w:bottom w:val="single" w:sz="8" w:color="91BBD3"/>
            </w:tcBorders>
          </w:tcPr>
          <w:p>
            <w:pPr>
              <w:spacing w:after="0"/>
              <w:rPr>
                <w:sz w:val="4"/>
                <w:szCs w:val="4"/>
                <w:color w:val="auto"/>
              </w:rPr>
            </w:pPr>
          </w:p>
        </w:tc>
        <w:tc>
          <w:tcPr>
            <w:tcW w:w="1340" w:type="dxa"/>
            <w:vAlign w:val="bottom"/>
            <w:tcBorders>
              <w:top w:val="single" w:sz="8" w:color="0563C1"/>
              <w:bottom w:val="single" w:sz="8" w:color="91BBD3"/>
            </w:tcBorders>
          </w:tcPr>
          <w:p>
            <w:pPr>
              <w:spacing w:after="0"/>
              <w:rPr>
                <w:sz w:val="4"/>
                <w:szCs w:val="4"/>
                <w:color w:val="auto"/>
              </w:rPr>
            </w:pPr>
          </w:p>
        </w:tc>
        <w:tc>
          <w:tcPr>
            <w:tcW w:w="2700" w:type="dxa"/>
            <w:vAlign w:val="bottom"/>
            <w:tcBorders>
              <w:top w:val="single" w:sz="8" w:color="0563C1"/>
              <w:bottom w:val="single" w:sz="8" w:color="91BBD3"/>
            </w:tcBorders>
          </w:tcPr>
          <w:p>
            <w:pPr>
              <w:spacing w:after="0"/>
              <w:rPr>
                <w:sz w:val="4"/>
                <w:szCs w:val="4"/>
                <w:color w:val="auto"/>
              </w:rPr>
            </w:pPr>
          </w:p>
        </w:tc>
        <w:tc>
          <w:tcPr>
            <w:tcW w:w="120" w:type="dxa"/>
            <w:vAlign w:val="bottom"/>
            <w:tcBorders>
              <w:top w:val="single" w:sz="8" w:color="0563C1"/>
              <w:bottom w:val="single" w:sz="8" w:color="91BBD3"/>
            </w:tcBorders>
          </w:tcPr>
          <w:p>
            <w:pPr>
              <w:spacing w:after="0"/>
              <w:rPr>
                <w:sz w:val="4"/>
                <w:szCs w:val="4"/>
                <w:color w:val="auto"/>
              </w:rPr>
            </w:pPr>
          </w:p>
        </w:tc>
        <w:tc>
          <w:tcPr>
            <w:tcW w:w="140" w:type="dxa"/>
            <w:vAlign w:val="bottom"/>
            <w:tcBorders>
              <w:top w:val="single" w:sz="8" w:color="0563C1"/>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91BBD3"/>
              <w:bottom w:val="single" w:sz="8" w:color="DAE8F0"/>
            </w:tcBorders>
            <w:shd w:val="clear" w:color="auto" w:fill="DAE8F0"/>
          </w:tcPr>
          <w:p>
            <w:pPr>
              <w:jc w:val="right"/>
              <w:spacing w:after="0" w:line="169" w:lineRule="exact"/>
              <w:rPr>
                <w:sz w:val="20"/>
                <w:szCs w:val="20"/>
                <w:color w:val="auto"/>
              </w:rPr>
            </w:pPr>
            <w:r>
              <w:rPr>
                <w:rFonts w:ascii="Calibri" w:cs="Calibri" w:eastAsia="Calibri" w:hAnsi="Calibri"/>
                <w:sz w:val="18"/>
                <w:szCs w:val="18"/>
                <w:b w:val="1"/>
                <w:bCs w:val="1"/>
                <w:color w:val="auto"/>
              </w:rPr>
              <w:t>4.09</w:t>
            </w:r>
          </w:p>
        </w:tc>
        <w:tc>
          <w:tcPr>
            <w:tcW w:w="1260" w:type="dxa"/>
            <w:vAlign w:val="bottom"/>
            <w:tcBorders>
              <w:bottom w:val="single" w:sz="8" w:color="DAE8F0"/>
              <w:right w:val="single" w:sz="8" w:color="91BBD3"/>
            </w:tcBorders>
            <w:shd w:val="clear" w:color="auto" w:fill="DAE8F0"/>
          </w:tcPr>
          <w:p>
            <w:pPr>
              <w:spacing w:after="0"/>
              <w:rPr>
                <w:sz w:val="14"/>
                <w:szCs w:val="14"/>
                <w:color w:val="auto"/>
              </w:rPr>
            </w:pPr>
          </w:p>
        </w:tc>
        <w:tc>
          <w:tcPr>
            <w:tcW w:w="80" w:type="dxa"/>
            <w:vAlign w:val="bottom"/>
            <w:tcBorders>
              <w:bottom w:val="single" w:sz="8" w:color="DAE8F0"/>
            </w:tcBorders>
            <w:shd w:val="clear" w:color="auto" w:fill="DAE8F0"/>
          </w:tcPr>
          <w:p>
            <w:pPr>
              <w:spacing w:after="0"/>
              <w:rPr>
                <w:sz w:val="14"/>
                <w:szCs w:val="14"/>
                <w:color w:val="auto"/>
              </w:rPr>
            </w:pPr>
          </w:p>
        </w:tc>
        <w:tc>
          <w:tcPr>
            <w:tcW w:w="8980" w:type="dxa"/>
            <w:vAlign w:val="bottom"/>
            <w:tcBorders>
              <w:bottom w:val="single" w:sz="8" w:color="0563C1"/>
              <w:right w:val="single" w:sz="8" w:color="DAE8F0"/>
            </w:tcBorders>
            <w:gridSpan w:val="11"/>
            <w:shd w:val="clear" w:color="auto" w:fill="DAE8F0"/>
          </w:tcPr>
          <w:p>
            <w:pPr>
              <w:spacing w:after="0" w:line="169" w:lineRule="exact"/>
              <w:rPr>
                <w:rFonts w:ascii="Calibri" w:cs="Calibri" w:eastAsia="Calibri" w:hAnsi="Calibri"/>
                <w:sz w:val="18"/>
                <w:szCs w:val="18"/>
                <w:color w:val="0563C1"/>
              </w:rPr>
            </w:pPr>
            <w:hyperlink r:id="rId724">
              <w:r>
                <w:rPr>
                  <w:rFonts w:ascii="Calibri" w:cs="Calibri" w:eastAsia="Calibri" w:hAnsi="Calibri"/>
                  <w:sz w:val="18"/>
                  <w:szCs w:val="18"/>
                  <w:color w:val="0563C1"/>
                </w:rPr>
                <w:t>Indenture, dated as of July 2, 2014, between Martn Marieta Materials, Inc. and Regions Bank, as trustee (incorporated by</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40" w:type="dxa"/>
            <w:vAlign w:val="bottom"/>
            <w:tcBorders>
              <w:left w:val="single" w:sz="8" w:color="91BBD3"/>
              <w:bottom w:val="single" w:sz="8" w:color="91BBD3"/>
            </w:tcBorders>
            <w:shd w:val="clear" w:color="auto" w:fill="DAE8F0"/>
          </w:tcPr>
          <w:p>
            <w:pPr>
              <w:spacing w:after="0"/>
              <w:rPr>
                <w:sz w:val="22"/>
                <w:szCs w:val="22"/>
                <w:color w:val="auto"/>
              </w:rPr>
            </w:pPr>
          </w:p>
        </w:tc>
        <w:tc>
          <w:tcPr>
            <w:tcW w:w="1260" w:type="dxa"/>
            <w:vAlign w:val="bottom"/>
            <w:tcBorders>
              <w:bottom w:val="single" w:sz="8" w:color="91BBD3"/>
              <w:right w:val="single" w:sz="8" w:color="91BBD3"/>
            </w:tcBorders>
            <w:shd w:val="clear" w:color="auto" w:fill="DAE8F0"/>
          </w:tcPr>
          <w:p>
            <w:pPr>
              <w:spacing w:after="0"/>
              <w:rPr>
                <w:sz w:val="22"/>
                <w:szCs w:val="22"/>
                <w:color w:val="auto"/>
              </w:rPr>
            </w:pPr>
          </w:p>
        </w:tc>
        <w:tc>
          <w:tcPr>
            <w:tcW w:w="80" w:type="dxa"/>
            <w:vAlign w:val="bottom"/>
            <w:tcBorders>
              <w:bottom w:val="single" w:sz="8" w:color="91BBD3"/>
            </w:tcBorders>
            <w:shd w:val="clear" w:color="auto" w:fill="DAE8F0"/>
          </w:tcPr>
          <w:p>
            <w:pPr>
              <w:spacing w:after="0"/>
              <w:rPr>
                <w:sz w:val="22"/>
                <w:szCs w:val="22"/>
                <w:color w:val="auto"/>
              </w:rPr>
            </w:pPr>
          </w:p>
        </w:tc>
        <w:tc>
          <w:tcPr>
            <w:tcW w:w="8720" w:type="dxa"/>
            <w:vAlign w:val="bottom"/>
            <w:tcBorders>
              <w:bottom w:val="single" w:sz="8" w:color="0563C1"/>
            </w:tcBorders>
            <w:gridSpan w:val="9"/>
            <w:shd w:val="clear" w:color="auto" w:fill="DAE8F0"/>
          </w:tcPr>
          <w:p>
            <w:pPr>
              <w:spacing w:after="0" w:line="196" w:lineRule="exact"/>
              <w:rPr>
                <w:rFonts w:ascii="Calibri" w:cs="Calibri" w:eastAsia="Calibri" w:hAnsi="Calibri"/>
                <w:sz w:val="18"/>
                <w:szCs w:val="18"/>
                <w:color w:val="0563C1"/>
                <w:w w:val="97"/>
              </w:rPr>
            </w:pPr>
            <w:hyperlink r:id="rId724">
              <w:r>
                <w:rPr>
                  <w:rFonts w:ascii="Calibri" w:cs="Calibri" w:eastAsia="Calibri" w:hAnsi="Calibri"/>
                  <w:sz w:val="18"/>
                  <w:szCs w:val="18"/>
                  <w:color w:val="0563C1"/>
                  <w:w w:val="97"/>
                </w:rPr>
                <w:t>reference to Exhibit 4.1 of the Company’s Current Report on Form 8-K, fled on July 2, 2014) (Commission File No. 1-12744)</w:t>
              </w:r>
            </w:hyperlink>
          </w:p>
        </w:tc>
        <w:tc>
          <w:tcPr>
            <w:tcW w:w="400" w:type="dxa"/>
            <w:vAlign w:val="bottom"/>
            <w:tcBorders>
              <w:bottom w:val="single" w:sz="8" w:color="91BBD3"/>
              <w:right w:val="single" w:sz="8" w:color="91BBD3"/>
            </w:tcBorders>
            <w:gridSpan w:val="3"/>
            <w:shd w:val="clear" w:color="auto" w:fill="DAE8F0"/>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91BBD3"/>
            </w:tcBorders>
          </w:tcPr>
          <w:p>
            <w:pPr>
              <w:jc w:val="right"/>
              <w:spacing w:after="0" w:line="169" w:lineRule="exact"/>
              <w:rPr>
                <w:sz w:val="20"/>
                <w:szCs w:val="20"/>
                <w:color w:val="auto"/>
              </w:rPr>
            </w:pPr>
            <w:r>
              <w:rPr>
                <w:rFonts w:ascii="Calibri" w:cs="Calibri" w:eastAsia="Calibri" w:hAnsi="Calibri"/>
                <w:sz w:val="18"/>
                <w:szCs w:val="18"/>
                <w:b w:val="1"/>
                <w:bCs w:val="1"/>
                <w:color w:val="auto"/>
              </w:rPr>
              <w:t>4.10</w:t>
            </w:r>
          </w:p>
        </w:tc>
        <w:tc>
          <w:tcPr>
            <w:tcW w:w="1260" w:type="dxa"/>
            <w:vAlign w:val="bottom"/>
            <w:tcBorders>
              <w:right w:val="single" w:sz="8" w:color="91BBD3"/>
            </w:tcBorders>
          </w:tcPr>
          <w:p>
            <w:pPr>
              <w:spacing w:after="0"/>
              <w:rPr>
                <w:sz w:val="14"/>
                <w:szCs w:val="14"/>
                <w:color w:val="auto"/>
              </w:rPr>
            </w:pPr>
          </w:p>
        </w:tc>
        <w:tc>
          <w:tcPr>
            <w:tcW w:w="80" w:type="dxa"/>
            <w:vAlign w:val="bottom"/>
          </w:tcPr>
          <w:p>
            <w:pPr>
              <w:spacing w:after="0"/>
              <w:rPr>
                <w:sz w:val="14"/>
                <w:szCs w:val="14"/>
                <w:color w:val="auto"/>
              </w:rPr>
            </w:pPr>
          </w:p>
        </w:tc>
        <w:tc>
          <w:tcPr>
            <w:tcW w:w="9120" w:type="dxa"/>
            <w:vAlign w:val="bottom"/>
            <w:tcBorders>
              <w:right w:val="single" w:sz="8" w:color="91BBD3"/>
            </w:tcBorders>
            <w:gridSpan w:val="12"/>
          </w:tcPr>
          <w:p>
            <w:pPr>
              <w:spacing w:after="0" w:line="169" w:lineRule="exact"/>
              <w:rPr>
                <w:rFonts w:ascii="Calibri" w:cs="Calibri" w:eastAsia="Calibri" w:hAnsi="Calibri"/>
                <w:sz w:val="18"/>
                <w:szCs w:val="18"/>
                <w:color w:val="0563C1"/>
              </w:rPr>
            </w:pPr>
            <w:hyperlink r:id="rId724">
              <w:r>
                <w:rPr>
                  <w:rFonts w:ascii="Calibri" w:cs="Calibri" w:eastAsia="Calibri" w:hAnsi="Calibri"/>
                  <w:sz w:val="18"/>
                  <w:szCs w:val="18"/>
                  <w:color w:val="0563C1"/>
                </w:rPr>
                <w:t>Form of 4.250% Senior Notes due 2024 (included in Exhibit 4.09)</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40" w:type="dxa"/>
            <w:vAlign w:val="bottom"/>
            <w:tcBorders>
              <w:left w:val="single" w:sz="8" w:color="91BBD3"/>
              <w:bottom w:val="single" w:sz="8" w:color="91BBD3"/>
            </w:tcBorders>
          </w:tcPr>
          <w:p>
            <w:pPr>
              <w:spacing w:after="0"/>
              <w:rPr>
                <w:sz w:val="5"/>
                <w:szCs w:val="5"/>
                <w:color w:val="auto"/>
              </w:rPr>
            </w:pPr>
          </w:p>
        </w:tc>
        <w:tc>
          <w:tcPr>
            <w:tcW w:w="1260" w:type="dxa"/>
            <w:vAlign w:val="bottom"/>
            <w:tcBorders>
              <w:bottom w:val="single" w:sz="8" w:color="91BBD3"/>
              <w:right w:val="single" w:sz="8" w:color="91BBD3"/>
            </w:tcBorders>
          </w:tcPr>
          <w:p>
            <w:pPr>
              <w:spacing w:after="0"/>
              <w:rPr>
                <w:sz w:val="5"/>
                <w:szCs w:val="5"/>
                <w:color w:val="auto"/>
              </w:rPr>
            </w:pPr>
          </w:p>
        </w:tc>
        <w:tc>
          <w:tcPr>
            <w:tcW w:w="80" w:type="dxa"/>
            <w:vAlign w:val="bottom"/>
            <w:tcBorders>
              <w:bottom w:val="single" w:sz="8" w:color="91BBD3"/>
            </w:tcBorders>
          </w:tcPr>
          <w:p>
            <w:pPr>
              <w:spacing w:after="0"/>
              <w:rPr>
                <w:sz w:val="5"/>
                <w:szCs w:val="5"/>
                <w:color w:val="auto"/>
              </w:rPr>
            </w:pPr>
          </w:p>
        </w:tc>
        <w:tc>
          <w:tcPr>
            <w:tcW w:w="540" w:type="dxa"/>
            <w:vAlign w:val="bottom"/>
            <w:tcBorders>
              <w:top w:val="single" w:sz="8" w:color="0563C1"/>
              <w:bottom w:val="single" w:sz="8" w:color="91BBD3"/>
            </w:tcBorders>
          </w:tcPr>
          <w:p>
            <w:pPr>
              <w:spacing w:after="0"/>
              <w:rPr>
                <w:sz w:val="5"/>
                <w:szCs w:val="5"/>
                <w:color w:val="auto"/>
              </w:rPr>
            </w:pPr>
          </w:p>
        </w:tc>
        <w:tc>
          <w:tcPr>
            <w:tcW w:w="440" w:type="dxa"/>
            <w:vAlign w:val="bottom"/>
            <w:tcBorders>
              <w:top w:val="single" w:sz="8" w:color="0563C1"/>
              <w:bottom w:val="single" w:sz="8" w:color="91BBD3"/>
            </w:tcBorders>
          </w:tcPr>
          <w:p>
            <w:pPr>
              <w:spacing w:after="0"/>
              <w:rPr>
                <w:sz w:val="5"/>
                <w:szCs w:val="5"/>
                <w:color w:val="auto"/>
              </w:rPr>
            </w:pPr>
          </w:p>
        </w:tc>
        <w:tc>
          <w:tcPr>
            <w:tcW w:w="1200" w:type="dxa"/>
            <w:vAlign w:val="bottom"/>
            <w:tcBorders>
              <w:top w:val="single" w:sz="8" w:color="0563C1"/>
              <w:bottom w:val="single" w:sz="8" w:color="91BBD3"/>
            </w:tcBorders>
          </w:tcPr>
          <w:p>
            <w:pPr>
              <w:spacing w:after="0"/>
              <w:rPr>
                <w:sz w:val="5"/>
                <w:szCs w:val="5"/>
                <w:color w:val="auto"/>
              </w:rPr>
            </w:pPr>
          </w:p>
        </w:tc>
        <w:tc>
          <w:tcPr>
            <w:tcW w:w="1060" w:type="dxa"/>
            <w:vAlign w:val="bottom"/>
            <w:tcBorders>
              <w:top w:val="single" w:sz="8" w:color="0563C1"/>
              <w:bottom w:val="single" w:sz="8" w:color="91BBD3"/>
            </w:tcBorders>
          </w:tcPr>
          <w:p>
            <w:pPr>
              <w:spacing w:after="0"/>
              <w:rPr>
                <w:sz w:val="5"/>
                <w:szCs w:val="5"/>
                <w:color w:val="auto"/>
              </w:rPr>
            </w:pPr>
          </w:p>
        </w:tc>
        <w:tc>
          <w:tcPr>
            <w:tcW w:w="1320" w:type="dxa"/>
            <w:vAlign w:val="bottom"/>
            <w:tcBorders>
              <w:top w:val="single" w:sz="8" w:color="0563C1"/>
              <w:bottom w:val="single" w:sz="8" w:color="91BBD3"/>
            </w:tcBorders>
          </w:tcPr>
          <w:p>
            <w:pPr>
              <w:spacing w:after="0"/>
              <w:rPr>
                <w:sz w:val="5"/>
                <w:szCs w:val="5"/>
                <w:color w:val="auto"/>
              </w:rPr>
            </w:pPr>
          </w:p>
        </w:tc>
        <w:tc>
          <w:tcPr>
            <w:tcW w:w="20" w:type="dxa"/>
            <w:vAlign w:val="bottom"/>
            <w:tcBorders>
              <w:top w:val="single" w:sz="8" w:color="0563C1"/>
              <w:bottom w:val="single" w:sz="8" w:color="91BBD3"/>
            </w:tcBorders>
          </w:tcPr>
          <w:p>
            <w:pPr>
              <w:spacing w:after="0"/>
              <w:rPr>
                <w:sz w:val="5"/>
                <w:szCs w:val="5"/>
                <w:color w:val="auto"/>
              </w:rPr>
            </w:pPr>
          </w:p>
        </w:tc>
        <w:tc>
          <w:tcPr>
            <w:tcW w:w="100" w:type="dxa"/>
            <w:vAlign w:val="bottom"/>
            <w:tcBorders>
              <w:bottom w:val="single" w:sz="8" w:color="91BBD3"/>
            </w:tcBorders>
          </w:tcPr>
          <w:p>
            <w:pPr>
              <w:spacing w:after="0"/>
              <w:rPr>
                <w:sz w:val="5"/>
                <w:szCs w:val="5"/>
                <w:color w:val="auto"/>
              </w:rPr>
            </w:pPr>
          </w:p>
        </w:tc>
        <w:tc>
          <w:tcPr>
            <w:tcW w:w="1340" w:type="dxa"/>
            <w:vAlign w:val="bottom"/>
            <w:tcBorders>
              <w:bottom w:val="single" w:sz="8" w:color="91BBD3"/>
            </w:tcBorders>
          </w:tcPr>
          <w:p>
            <w:pPr>
              <w:spacing w:after="0"/>
              <w:rPr>
                <w:sz w:val="5"/>
                <w:szCs w:val="5"/>
                <w:color w:val="auto"/>
              </w:rPr>
            </w:pPr>
          </w:p>
        </w:tc>
        <w:tc>
          <w:tcPr>
            <w:tcW w:w="2700" w:type="dxa"/>
            <w:vAlign w:val="bottom"/>
            <w:tcBorders>
              <w:bottom w:val="single" w:sz="8" w:color="91BBD3"/>
            </w:tcBorders>
          </w:tcPr>
          <w:p>
            <w:pPr>
              <w:spacing w:after="0"/>
              <w:rPr>
                <w:sz w:val="5"/>
                <w:szCs w:val="5"/>
                <w:color w:val="auto"/>
              </w:rPr>
            </w:pPr>
          </w:p>
        </w:tc>
        <w:tc>
          <w:tcPr>
            <w:tcW w:w="120" w:type="dxa"/>
            <w:vAlign w:val="bottom"/>
            <w:tcBorders>
              <w:bottom w:val="single" w:sz="8" w:color="91BBD3"/>
            </w:tcBorders>
          </w:tcPr>
          <w:p>
            <w:pPr>
              <w:spacing w:after="0"/>
              <w:rPr>
                <w:sz w:val="5"/>
                <w:szCs w:val="5"/>
                <w:color w:val="auto"/>
              </w:rPr>
            </w:pPr>
          </w:p>
        </w:tc>
        <w:tc>
          <w:tcPr>
            <w:tcW w:w="140" w:type="dxa"/>
            <w:vAlign w:val="bottom"/>
            <w:tcBorders>
              <w:bottom w:val="single" w:sz="8" w:color="91BBD3"/>
            </w:tcBorders>
          </w:tcPr>
          <w:p>
            <w:pPr>
              <w:spacing w:after="0"/>
              <w:rPr>
                <w:sz w:val="5"/>
                <w:szCs w:val="5"/>
                <w:color w:val="auto"/>
              </w:rPr>
            </w:pPr>
          </w:p>
        </w:tc>
        <w:tc>
          <w:tcPr>
            <w:tcW w:w="140" w:type="dxa"/>
            <w:vAlign w:val="bottom"/>
            <w:tcBorders>
              <w:bottom w:val="single" w:sz="8" w:color="91BBD3"/>
              <w:right w:val="single" w:sz="8" w:color="91BBD3"/>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91BBD3"/>
            </w:tcBorders>
            <w:shd w:val="clear" w:color="auto" w:fill="DAE8F0"/>
          </w:tcPr>
          <w:p>
            <w:pPr>
              <w:jc w:val="right"/>
              <w:spacing w:after="0" w:line="169" w:lineRule="exact"/>
              <w:rPr>
                <w:sz w:val="20"/>
                <w:szCs w:val="20"/>
                <w:color w:val="auto"/>
              </w:rPr>
            </w:pPr>
            <w:r>
              <w:rPr>
                <w:rFonts w:ascii="Calibri" w:cs="Calibri" w:eastAsia="Calibri" w:hAnsi="Calibri"/>
                <w:sz w:val="18"/>
                <w:szCs w:val="18"/>
                <w:b w:val="1"/>
                <w:bCs w:val="1"/>
                <w:color w:val="auto"/>
              </w:rPr>
              <w:t>4.11</w:t>
            </w:r>
          </w:p>
        </w:tc>
        <w:tc>
          <w:tcPr>
            <w:tcW w:w="1260" w:type="dxa"/>
            <w:vAlign w:val="bottom"/>
            <w:tcBorders>
              <w:right w:val="single" w:sz="8" w:color="91BBD3"/>
            </w:tcBorders>
            <w:shd w:val="clear" w:color="auto" w:fill="DAE8F0"/>
          </w:tcPr>
          <w:p>
            <w:pPr>
              <w:spacing w:after="0"/>
              <w:rPr>
                <w:sz w:val="14"/>
                <w:szCs w:val="14"/>
                <w:color w:val="auto"/>
              </w:rPr>
            </w:pPr>
          </w:p>
        </w:tc>
        <w:tc>
          <w:tcPr>
            <w:tcW w:w="8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2"/>
            <w:shd w:val="clear" w:color="auto" w:fill="DAE8F0"/>
          </w:tcPr>
          <w:p>
            <w:pPr>
              <w:spacing w:after="0" w:line="169" w:lineRule="exact"/>
              <w:rPr>
                <w:rFonts w:ascii="Calibri" w:cs="Calibri" w:eastAsia="Calibri" w:hAnsi="Calibri"/>
                <w:sz w:val="18"/>
                <w:szCs w:val="18"/>
                <w:color w:val="0563C1"/>
              </w:rPr>
            </w:pPr>
            <w:hyperlink r:id="rId725">
              <w:r>
                <w:rPr>
                  <w:rFonts w:ascii="Calibri" w:cs="Calibri" w:eastAsia="Calibri" w:hAnsi="Calibri"/>
                  <w:sz w:val="18"/>
                  <w:szCs w:val="18"/>
                  <w:color w:val="0563C1"/>
                </w:rPr>
                <w:t>Indenture, dated as of May 22, 2017, between Martn Marieta Materials, Inc. and Regions Bank, as trustee (incorporated by</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0" w:type="dxa"/>
            <w:vAlign w:val="bottom"/>
            <w:tcBorders>
              <w:top w:val="single" w:sz="8" w:color="DAE8F0"/>
              <w:left w:val="single" w:sz="8" w:color="91BBD3"/>
            </w:tcBorders>
            <w:shd w:val="clear" w:color="auto" w:fill="DAE8F0"/>
          </w:tcPr>
          <w:p>
            <w:pPr>
              <w:spacing w:after="0"/>
              <w:rPr>
                <w:sz w:val="21"/>
                <w:szCs w:val="21"/>
                <w:color w:val="auto"/>
              </w:rPr>
            </w:pPr>
          </w:p>
        </w:tc>
        <w:tc>
          <w:tcPr>
            <w:tcW w:w="1260" w:type="dxa"/>
            <w:vAlign w:val="bottom"/>
            <w:tcBorders>
              <w:top w:val="single" w:sz="8" w:color="DAE8F0"/>
              <w:right w:val="single" w:sz="8" w:color="91BBD3"/>
            </w:tcBorders>
            <w:shd w:val="clear" w:color="auto" w:fill="DAE8F0"/>
          </w:tcPr>
          <w:p>
            <w:pPr>
              <w:spacing w:after="0"/>
              <w:rPr>
                <w:sz w:val="21"/>
                <w:szCs w:val="21"/>
                <w:color w:val="auto"/>
              </w:rPr>
            </w:pPr>
          </w:p>
        </w:tc>
        <w:tc>
          <w:tcPr>
            <w:tcW w:w="80" w:type="dxa"/>
            <w:vAlign w:val="bottom"/>
            <w:tcBorders>
              <w:top w:val="single" w:sz="8" w:color="DAE8F0"/>
            </w:tcBorders>
            <w:shd w:val="clear" w:color="auto" w:fill="DAE8F0"/>
          </w:tcPr>
          <w:p>
            <w:pPr>
              <w:spacing w:after="0"/>
              <w:rPr>
                <w:sz w:val="21"/>
                <w:szCs w:val="21"/>
                <w:color w:val="auto"/>
              </w:rPr>
            </w:pPr>
          </w:p>
        </w:tc>
        <w:tc>
          <w:tcPr>
            <w:tcW w:w="8980" w:type="dxa"/>
            <w:vAlign w:val="bottom"/>
            <w:tcBorders>
              <w:top w:val="single" w:sz="8" w:color="0563C1"/>
              <w:right w:val="single" w:sz="8" w:color="DAE8F0"/>
            </w:tcBorders>
            <w:gridSpan w:val="11"/>
            <w:shd w:val="clear" w:color="auto" w:fill="DAE8F0"/>
          </w:tcPr>
          <w:p>
            <w:pPr>
              <w:spacing w:after="0" w:line="196" w:lineRule="exact"/>
              <w:rPr>
                <w:rFonts w:ascii="Calibri" w:cs="Calibri" w:eastAsia="Calibri" w:hAnsi="Calibri"/>
                <w:sz w:val="18"/>
                <w:szCs w:val="18"/>
                <w:color w:val="0563C1"/>
                <w:w w:val="98"/>
              </w:rPr>
            </w:pPr>
            <w:hyperlink r:id="rId725">
              <w:r>
                <w:rPr>
                  <w:rFonts w:ascii="Calibri" w:cs="Calibri" w:eastAsia="Calibri" w:hAnsi="Calibri"/>
                  <w:sz w:val="18"/>
                  <w:szCs w:val="18"/>
                  <w:color w:val="0563C1"/>
                  <w:w w:val="98"/>
                </w:rPr>
                <w:t>reference to Exhibit 4.1 of the Company’s Current Report on Form 8-K, fled on May 22, 2017) (Commission File No. 1-12744)</w:t>
              </w:r>
            </w:hyperlink>
          </w:p>
        </w:tc>
        <w:tc>
          <w:tcPr>
            <w:tcW w:w="140" w:type="dxa"/>
            <w:vAlign w:val="bottom"/>
            <w:tcBorders>
              <w:top w:val="single" w:sz="8" w:color="DAE8F0"/>
              <w:left w:val="single" w:sz="8" w:color="DAE8F0"/>
              <w:right w:val="single" w:sz="8" w:color="91BBD3"/>
            </w:tcBorders>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12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80" w:type="dxa"/>
            <w:vAlign w:val="bottom"/>
            <w:tcBorders>
              <w:top w:val="single" w:sz="8" w:color="DAE8F0"/>
            </w:tcBorders>
            <w:shd w:val="clear" w:color="auto" w:fill="91BBD3"/>
          </w:tcPr>
          <w:p>
            <w:pPr>
              <w:spacing w:after="0" w:line="20" w:lineRule="exact"/>
              <w:rPr>
                <w:sz w:val="1"/>
                <w:szCs w:val="1"/>
                <w:color w:val="auto"/>
              </w:rPr>
            </w:pPr>
          </w:p>
        </w:tc>
        <w:tc>
          <w:tcPr>
            <w:tcW w:w="54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1200" w:type="dxa"/>
            <w:vAlign w:val="bottom"/>
            <w:tcBorders>
              <w:top w:val="single" w:sz="8" w:color="0563C1"/>
            </w:tcBorders>
            <w:shd w:val="clear" w:color="auto" w:fill="91BBD3"/>
          </w:tcPr>
          <w:p>
            <w:pPr>
              <w:spacing w:after="0" w:line="20" w:lineRule="exact"/>
              <w:rPr>
                <w:sz w:val="1"/>
                <w:szCs w:val="1"/>
                <w:color w:val="auto"/>
              </w:rPr>
            </w:pPr>
          </w:p>
        </w:tc>
        <w:tc>
          <w:tcPr>
            <w:tcW w:w="1060" w:type="dxa"/>
            <w:vAlign w:val="bottom"/>
            <w:tcBorders>
              <w:top w:val="single" w:sz="8" w:color="0563C1"/>
            </w:tcBorders>
            <w:shd w:val="clear" w:color="auto" w:fill="91BBD3"/>
          </w:tcPr>
          <w:p>
            <w:pPr>
              <w:spacing w:after="0" w:line="20" w:lineRule="exact"/>
              <w:rPr>
                <w:sz w:val="1"/>
                <w:szCs w:val="1"/>
                <w:color w:val="auto"/>
              </w:rPr>
            </w:pPr>
          </w:p>
        </w:tc>
        <w:tc>
          <w:tcPr>
            <w:tcW w:w="1320" w:type="dxa"/>
            <w:vAlign w:val="bottom"/>
            <w:tcBorders>
              <w:top w:val="single" w:sz="8" w:color="0563C1"/>
            </w:tcBorders>
            <w:shd w:val="clear" w:color="auto" w:fill="91BBD3"/>
          </w:tcPr>
          <w:p>
            <w:pPr>
              <w:spacing w:after="0" w:line="20" w:lineRule="exact"/>
              <w:rPr>
                <w:sz w:val="1"/>
                <w:szCs w:val="1"/>
                <w:color w:val="auto"/>
              </w:rPr>
            </w:pPr>
          </w:p>
        </w:tc>
        <w:tc>
          <w:tcPr>
            <w:tcW w:w="20" w:type="dxa"/>
            <w:vAlign w:val="bottom"/>
            <w:tcBorders>
              <w:top w:val="single" w:sz="8" w:color="0563C1"/>
            </w:tcBorders>
            <w:shd w:val="clear" w:color="auto" w:fill="91BBD3"/>
          </w:tcPr>
          <w:p>
            <w:pPr>
              <w:spacing w:after="0" w:line="20" w:lineRule="exact"/>
              <w:rPr>
                <w:sz w:val="1"/>
                <w:szCs w:val="1"/>
                <w:color w:val="auto"/>
              </w:rPr>
            </w:pPr>
          </w:p>
        </w:tc>
        <w:tc>
          <w:tcPr>
            <w:tcW w:w="100" w:type="dxa"/>
            <w:vAlign w:val="bottom"/>
            <w:tcBorders>
              <w:top w:val="single" w:sz="8" w:color="0563C1"/>
            </w:tcBorders>
            <w:shd w:val="clear" w:color="auto" w:fill="91BBD3"/>
          </w:tcPr>
          <w:p>
            <w:pPr>
              <w:spacing w:after="0" w:line="20" w:lineRule="exact"/>
              <w:rPr>
                <w:sz w:val="1"/>
                <w:szCs w:val="1"/>
                <w:color w:val="auto"/>
              </w:rPr>
            </w:pPr>
          </w:p>
        </w:tc>
        <w:tc>
          <w:tcPr>
            <w:tcW w:w="1340" w:type="dxa"/>
            <w:vAlign w:val="bottom"/>
            <w:tcBorders>
              <w:top w:val="single" w:sz="8" w:color="0563C1"/>
            </w:tcBorders>
            <w:shd w:val="clear" w:color="auto" w:fill="91BBD3"/>
          </w:tcPr>
          <w:p>
            <w:pPr>
              <w:spacing w:after="0" w:line="20" w:lineRule="exact"/>
              <w:rPr>
                <w:sz w:val="1"/>
                <w:szCs w:val="1"/>
                <w:color w:val="auto"/>
              </w:rPr>
            </w:pPr>
          </w:p>
        </w:tc>
        <w:tc>
          <w:tcPr>
            <w:tcW w:w="2700" w:type="dxa"/>
            <w:vAlign w:val="bottom"/>
            <w:tcBorders>
              <w:top w:val="single" w:sz="8" w:color="0563C1"/>
            </w:tcBorders>
            <w:shd w:val="clear" w:color="auto" w:fill="91BBD3"/>
          </w:tcPr>
          <w:p>
            <w:pPr>
              <w:spacing w:after="0" w:line="20" w:lineRule="exact"/>
              <w:rPr>
                <w:sz w:val="1"/>
                <w:szCs w:val="1"/>
                <w:color w:val="auto"/>
              </w:rPr>
            </w:pPr>
          </w:p>
        </w:tc>
        <w:tc>
          <w:tcPr>
            <w:tcW w:w="120" w:type="dxa"/>
            <w:vAlign w:val="bottom"/>
            <w:tcBorders>
              <w:top w:val="single" w:sz="8" w:color="0563C1"/>
            </w:tcBorders>
            <w:shd w:val="clear" w:color="auto" w:fill="91BBD3"/>
          </w:tcPr>
          <w:p>
            <w:pPr>
              <w:spacing w:after="0" w:line="20" w:lineRule="exact"/>
              <w:rPr>
                <w:sz w:val="1"/>
                <w:szCs w:val="1"/>
                <w:color w:val="auto"/>
              </w:rPr>
            </w:pPr>
          </w:p>
        </w:tc>
        <w:tc>
          <w:tcPr>
            <w:tcW w:w="14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0" w:type="dxa"/>
            <w:vAlign w:val="bottom"/>
            <w:tcBorders>
              <w:left w:val="single" w:sz="8" w:color="91BBD3"/>
            </w:tcBorders>
          </w:tcPr>
          <w:p>
            <w:pPr>
              <w:jc w:val="right"/>
              <w:spacing w:after="0" w:line="169" w:lineRule="exact"/>
              <w:rPr>
                <w:sz w:val="20"/>
                <w:szCs w:val="20"/>
                <w:color w:val="auto"/>
              </w:rPr>
            </w:pPr>
            <w:r>
              <w:rPr>
                <w:rFonts w:ascii="Calibri" w:cs="Calibri" w:eastAsia="Calibri" w:hAnsi="Calibri"/>
                <w:sz w:val="18"/>
                <w:szCs w:val="18"/>
                <w:b w:val="1"/>
                <w:bCs w:val="1"/>
                <w:color w:val="auto"/>
              </w:rPr>
              <w:t>4.12</w:t>
            </w:r>
          </w:p>
        </w:tc>
        <w:tc>
          <w:tcPr>
            <w:tcW w:w="1260" w:type="dxa"/>
            <w:vAlign w:val="bottom"/>
            <w:tcBorders>
              <w:right w:val="single" w:sz="8" w:color="91BBD3"/>
            </w:tcBorders>
          </w:tcPr>
          <w:p>
            <w:pPr>
              <w:spacing w:after="0"/>
              <w:rPr>
                <w:sz w:val="14"/>
                <w:szCs w:val="14"/>
                <w:color w:val="auto"/>
              </w:rPr>
            </w:pPr>
          </w:p>
        </w:tc>
        <w:tc>
          <w:tcPr>
            <w:tcW w:w="80" w:type="dxa"/>
            <w:vAlign w:val="bottom"/>
          </w:tcPr>
          <w:p>
            <w:pPr>
              <w:spacing w:after="0"/>
              <w:rPr>
                <w:sz w:val="14"/>
                <w:szCs w:val="14"/>
                <w:color w:val="auto"/>
              </w:rPr>
            </w:pPr>
          </w:p>
        </w:tc>
        <w:tc>
          <w:tcPr>
            <w:tcW w:w="9120" w:type="dxa"/>
            <w:vAlign w:val="bottom"/>
            <w:tcBorders>
              <w:right w:val="single" w:sz="8" w:color="91BBD3"/>
            </w:tcBorders>
            <w:gridSpan w:val="12"/>
          </w:tcPr>
          <w:p>
            <w:pPr>
              <w:spacing w:after="0" w:line="169" w:lineRule="exact"/>
              <w:rPr>
                <w:rFonts w:ascii="Calibri" w:cs="Calibri" w:eastAsia="Calibri" w:hAnsi="Calibri"/>
                <w:sz w:val="18"/>
                <w:szCs w:val="18"/>
                <w:color w:val="0563C1"/>
              </w:rPr>
            </w:pPr>
            <w:hyperlink r:id="rId726">
              <w:r>
                <w:rPr>
                  <w:rFonts w:ascii="Calibri" w:cs="Calibri" w:eastAsia="Calibri" w:hAnsi="Calibri"/>
                  <w:sz w:val="18"/>
                  <w:szCs w:val="18"/>
                  <w:color w:val="0563C1"/>
                </w:rPr>
                <w:t>First Supplemental Indenture, dated as of May 22, 2017, between Martn Marieta Materials, Inc. and Regions Bank, as</w:t>
              </w:r>
            </w:hyperlink>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Borders>
              <w:left w:val="single" w:sz="8" w:color="91BBD3"/>
            </w:tcBorders>
          </w:tcPr>
          <w:p>
            <w:pPr>
              <w:spacing w:after="0" w:line="20" w:lineRule="exact"/>
              <w:rPr>
                <w:sz w:val="1"/>
                <w:szCs w:val="1"/>
                <w:color w:val="auto"/>
              </w:rPr>
            </w:pPr>
          </w:p>
        </w:tc>
        <w:tc>
          <w:tcPr>
            <w:tcW w:w="1260" w:type="dxa"/>
            <w:vAlign w:val="bottom"/>
            <w:tcBorders>
              <w:right w:val="single" w:sz="8" w:color="91BBD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shd w:val="clear" w:color="auto" w:fill="0563C1"/>
          </w:tcPr>
          <w:p>
            <w:pPr>
              <w:spacing w:after="0" w:line="20" w:lineRule="exact"/>
              <w:rPr>
                <w:sz w:val="1"/>
                <w:szCs w:val="1"/>
                <w:color w:val="auto"/>
              </w:rPr>
            </w:pPr>
          </w:p>
        </w:tc>
        <w:tc>
          <w:tcPr>
            <w:tcW w:w="1200" w:type="dxa"/>
            <w:vAlign w:val="bottom"/>
            <w:shd w:val="clear" w:color="auto" w:fill="0563C1"/>
          </w:tcPr>
          <w:p>
            <w:pPr>
              <w:spacing w:after="0" w:line="20" w:lineRule="exact"/>
              <w:rPr>
                <w:sz w:val="1"/>
                <w:szCs w:val="1"/>
                <w:color w:val="auto"/>
              </w:rPr>
            </w:pPr>
          </w:p>
        </w:tc>
        <w:tc>
          <w:tcPr>
            <w:tcW w:w="1060" w:type="dxa"/>
            <w:vAlign w:val="bottom"/>
            <w:shd w:val="clear" w:color="auto" w:fill="0563C1"/>
          </w:tcPr>
          <w:p>
            <w:pPr>
              <w:spacing w:after="0" w:line="20" w:lineRule="exact"/>
              <w:rPr>
                <w:sz w:val="1"/>
                <w:szCs w:val="1"/>
                <w:color w:val="auto"/>
              </w:rPr>
            </w:pPr>
          </w:p>
        </w:tc>
        <w:tc>
          <w:tcPr>
            <w:tcW w:w="1440" w:type="dxa"/>
            <w:vAlign w:val="bottom"/>
            <w:gridSpan w:val="3"/>
            <w:shd w:val="clear" w:color="auto" w:fill="0563C1"/>
          </w:tcPr>
          <w:p>
            <w:pPr>
              <w:spacing w:after="0" w:line="20" w:lineRule="exact"/>
              <w:rPr>
                <w:sz w:val="1"/>
                <w:szCs w:val="1"/>
                <w:color w:val="auto"/>
              </w:rPr>
            </w:pPr>
          </w:p>
        </w:tc>
        <w:tc>
          <w:tcPr>
            <w:tcW w:w="1340" w:type="dxa"/>
            <w:vAlign w:val="bottom"/>
            <w:shd w:val="clear" w:color="auto" w:fill="0563C1"/>
          </w:tcPr>
          <w:p>
            <w:pPr>
              <w:spacing w:after="0" w:line="20" w:lineRule="exact"/>
              <w:rPr>
                <w:sz w:val="1"/>
                <w:szCs w:val="1"/>
                <w:color w:val="auto"/>
              </w:rPr>
            </w:pPr>
          </w:p>
        </w:tc>
        <w:tc>
          <w:tcPr>
            <w:tcW w:w="2960" w:type="dxa"/>
            <w:vAlign w:val="bottom"/>
            <w:tcBorders>
              <w:right w:val="single" w:sz="8" w:color="0563C1"/>
            </w:tcBorders>
            <w:gridSpan w:val="3"/>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8980" w:type="dxa"/>
            <w:vAlign w:val="bottom"/>
            <w:tcBorders>
              <w:bottom w:val="single" w:sz="8" w:color="0563C1"/>
            </w:tcBorders>
            <w:gridSpan w:val="11"/>
          </w:tcPr>
          <w:p>
            <w:pPr>
              <w:spacing w:after="0" w:line="196" w:lineRule="exact"/>
              <w:rPr>
                <w:rFonts w:ascii="Calibri" w:cs="Calibri" w:eastAsia="Calibri" w:hAnsi="Calibri"/>
                <w:sz w:val="18"/>
                <w:szCs w:val="18"/>
                <w:color w:val="0563C1"/>
              </w:rPr>
            </w:pPr>
            <w:hyperlink r:id="rId726">
              <w:r>
                <w:rPr>
                  <w:rFonts w:ascii="Calibri" w:cs="Calibri" w:eastAsia="Calibri" w:hAnsi="Calibri"/>
                  <w:sz w:val="18"/>
                  <w:szCs w:val="18"/>
                  <w:color w:val="0563C1"/>
                </w:rPr>
                <w:t xml:space="preserve">trustee, governing the Senior Notes issued by the Company on May 22, 2017, in the form of the </w:t>
              </w:r>
              <w:r>
                <w:rPr>
                  <w:rFonts w:ascii="Calibri" w:cs="Calibri" w:eastAsia="Calibri" w:hAnsi="Calibri"/>
                  <w:sz w:val="18"/>
                  <w:szCs w:val="18"/>
                  <w:u w:val="single" w:color="auto"/>
                  <w:color w:val="0563C1"/>
                </w:rPr>
                <w:t>$</w:t>
              </w:r>
              <w:r>
                <w:rPr>
                  <w:rFonts w:ascii="Calibri" w:cs="Calibri" w:eastAsia="Calibri" w:hAnsi="Calibri"/>
                  <w:sz w:val="18"/>
                  <w:szCs w:val="18"/>
                  <w:color w:val="0563C1"/>
                </w:rPr>
                <w:t>300 million aggregate</w:t>
              </w:r>
            </w:hyperlink>
          </w:p>
        </w:tc>
        <w:tc>
          <w:tcPr>
            <w:tcW w:w="140" w:type="dxa"/>
            <w:vAlign w:val="bottom"/>
            <w:tcBorders>
              <w:bottom w:val="single" w:sz="8" w:color="0000EE"/>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bottom w:val="single" w:sz="8" w:color="0563C1"/>
              <w:right w:val="single" w:sz="8" w:color="91BBD3"/>
            </w:tcBorders>
            <w:gridSpan w:val="12"/>
          </w:tcPr>
          <w:p>
            <w:pPr>
              <w:spacing w:after="0" w:line="196" w:lineRule="exact"/>
              <w:rPr>
                <w:rFonts w:ascii="Calibri" w:cs="Calibri" w:eastAsia="Calibri" w:hAnsi="Calibri"/>
                <w:sz w:val="18"/>
                <w:szCs w:val="18"/>
                <w:color w:val="0563C1"/>
                <w:w w:val="99"/>
              </w:rPr>
            </w:pPr>
            <w:hyperlink r:id="rId726">
              <w:r>
                <w:rPr>
                  <w:rFonts w:ascii="Calibri" w:cs="Calibri" w:eastAsia="Calibri" w:hAnsi="Calibri"/>
                  <w:sz w:val="18"/>
                  <w:szCs w:val="18"/>
                  <w:color w:val="0563C1"/>
                  <w:w w:val="99"/>
                </w:rPr>
                <w:t xml:space="preserve">principal amount of Floatng Rate Senior Notes due 2020 and </w:t>
              </w:r>
              <w:r>
                <w:rPr>
                  <w:rFonts w:ascii="Calibri" w:cs="Calibri" w:eastAsia="Calibri" w:hAnsi="Calibri"/>
                  <w:sz w:val="18"/>
                  <w:szCs w:val="18"/>
                  <w:u w:val="single" w:color="auto"/>
                  <w:color w:val="0563C1"/>
                  <w:w w:val="99"/>
                </w:rPr>
                <w:t>$</w:t>
              </w:r>
              <w:r>
                <w:rPr>
                  <w:rFonts w:ascii="Calibri" w:cs="Calibri" w:eastAsia="Calibri" w:hAnsi="Calibri"/>
                  <w:sz w:val="18"/>
                  <w:szCs w:val="18"/>
                  <w:color w:val="0563C1"/>
                  <w:w w:val="99"/>
                </w:rPr>
                <w:t>300 million aggregate principal amount of 3.450% Senior Notes</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right w:val="single" w:sz="8" w:color="91BBD3"/>
            </w:tcBorders>
            <w:gridSpan w:val="12"/>
          </w:tcPr>
          <w:p>
            <w:pPr>
              <w:spacing w:after="0" w:line="196" w:lineRule="exact"/>
              <w:rPr>
                <w:rFonts w:ascii="Calibri" w:cs="Calibri" w:eastAsia="Calibri" w:hAnsi="Calibri"/>
                <w:sz w:val="18"/>
                <w:szCs w:val="18"/>
                <w:color w:val="0563C1"/>
              </w:rPr>
            </w:pPr>
            <w:hyperlink r:id="rId726">
              <w:r>
                <w:rPr>
                  <w:rFonts w:ascii="Calibri" w:cs="Calibri" w:eastAsia="Calibri" w:hAnsi="Calibri"/>
                  <w:sz w:val="18"/>
                  <w:szCs w:val="18"/>
                  <w:color w:val="0563C1"/>
                </w:rPr>
                <w:t>due 2027 (incorporated by reference to Exhibit 4.2 to the Martn Marieta Materials, Inc. Current Report on Form 8-K, fled on</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8980" w:type="dxa"/>
            <w:vAlign w:val="bottom"/>
            <w:tcBorders>
              <w:top w:val="single" w:sz="8" w:color="0563C1"/>
            </w:tcBorders>
            <w:gridSpan w:val="11"/>
          </w:tcPr>
          <w:p>
            <w:pPr>
              <w:spacing w:after="0" w:line="196" w:lineRule="exact"/>
              <w:rPr>
                <w:rFonts w:ascii="Calibri" w:cs="Calibri" w:eastAsia="Calibri" w:hAnsi="Calibri"/>
                <w:sz w:val="18"/>
                <w:szCs w:val="18"/>
                <w:color w:val="0563C1"/>
              </w:rPr>
            </w:pPr>
            <w:hyperlink r:id="rId726">
              <w:r>
                <w:rPr>
                  <w:rFonts w:ascii="Calibri" w:cs="Calibri" w:eastAsia="Calibri" w:hAnsi="Calibri"/>
                  <w:sz w:val="18"/>
                  <w:szCs w:val="18"/>
                  <w:color w:val="0563C1"/>
                </w:rPr>
                <w:t>May 22, 2017 (Commission File No. 1-12744))</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40" w:type="dxa"/>
            <w:vAlign w:val="bottom"/>
            <w:tcBorders>
              <w:left w:val="single" w:sz="8" w:color="91BBD3"/>
              <w:bottom w:val="single" w:sz="8" w:color="91BBD3"/>
            </w:tcBorders>
          </w:tcPr>
          <w:p>
            <w:pPr>
              <w:spacing w:after="0"/>
              <w:rPr>
                <w:sz w:val="4"/>
                <w:szCs w:val="4"/>
                <w:color w:val="auto"/>
              </w:rPr>
            </w:pPr>
          </w:p>
        </w:tc>
        <w:tc>
          <w:tcPr>
            <w:tcW w:w="1260" w:type="dxa"/>
            <w:vAlign w:val="bottom"/>
            <w:tcBorders>
              <w:bottom w:val="single" w:sz="8" w:color="91BBD3"/>
              <w:right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54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1200" w:type="dxa"/>
            <w:vAlign w:val="bottom"/>
            <w:tcBorders>
              <w:top w:val="single" w:sz="8" w:color="0563C1"/>
              <w:bottom w:val="single" w:sz="8" w:color="91BBD3"/>
            </w:tcBorders>
          </w:tcPr>
          <w:p>
            <w:pPr>
              <w:spacing w:after="0"/>
              <w:rPr>
                <w:sz w:val="4"/>
                <w:szCs w:val="4"/>
                <w:color w:val="auto"/>
              </w:rPr>
            </w:pPr>
          </w:p>
        </w:tc>
        <w:tc>
          <w:tcPr>
            <w:tcW w:w="1060" w:type="dxa"/>
            <w:vAlign w:val="bottom"/>
            <w:tcBorders>
              <w:top w:val="single" w:sz="8" w:color="0563C1"/>
              <w:bottom w:val="single" w:sz="8" w:color="91BBD3"/>
            </w:tcBorders>
          </w:tcPr>
          <w:p>
            <w:pPr>
              <w:spacing w:after="0"/>
              <w:rPr>
                <w:sz w:val="4"/>
                <w:szCs w:val="4"/>
                <w:color w:val="auto"/>
              </w:rPr>
            </w:pPr>
          </w:p>
        </w:tc>
        <w:tc>
          <w:tcPr>
            <w:tcW w:w="13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1340" w:type="dxa"/>
            <w:vAlign w:val="bottom"/>
            <w:tcBorders>
              <w:bottom w:val="single" w:sz="8" w:color="91BBD3"/>
            </w:tcBorders>
          </w:tcPr>
          <w:p>
            <w:pPr>
              <w:spacing w:after="0"/>
              <w:rPr>
                <w:sz w:val="4"/>
                <w:szCs w:val="4"/>
                <w:color w:val="auto"/>
              </w:rPr>
            </w:pPr>
          </w:p>
        </w:tc>
        <w:tc>
          <w:tcPr>
            <w:tcW w:w="2700" w:type="dxa"/>
            <w:vAlign w:val="bottom"/>
            <w:tcBorders>
              <w:bottom w:val="single" w:sz="8" w:color="91BBD3"/>
            </w:tcBorders>
          </w:tcPr>
          <w:p>
            <w:pPr>
              <w:spacing w:after="0"/>
              <w:rPr>
                <w:sz w:val="4"/>
                <w:szCs w:val="4"/>
                <w:color w:val="auto"/>
              </w:rPr>
            </w:pPr>
          </w:p>
        </w:tc>
        <w:tc>
          <w:tcPr>
            <w:tcW w:w="12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91BBD3"/>
            </w:tcBorders>
            <w:shd w:val="clear" w:color="auto" w:fill="DAE8F0"/>
          </w:tcPr>
          <w:p>
            <w:pPr>
              <w:jc w:val="right"/>
              <w:spacing w:after="0" w:line="169" w:lineRule="exact"/>
              <w:rPr>
                <w:sz w:val="20"/>
                <w:szCs w:val="20"/>
                <w:color w:val="auto"/>
              </w:rPr>
            </w:pPr>
            <w:r>
              <w:rPr>
                <w:rFonts w:ascii="Calibri" w:cs="Calibri" w:eastAsia="Calibri" w:hAnsi="Calibri"/>
                <w:sz w:val="18"/>
                <w:szCs w:val="18"/>
                <w:b w:val="1"/>
                <w:bCs w:val="1"/>
                <w:color w:val="auto"/>
              </w:rPr>
              <w:t>4.13</w:t>
            </w:r>
          </w:p>
        </w:tc>
        <w:tc>
          <w:tcPr>
            <w:tcW w:w="1260" w:type="dxa"/>
            <w:vAlign w:val="bottom"/>
            <w:tcBorders>
              <w:right w:val="single" w:sz="8" w:color="91BBD3"/>
            </w:tcBorders>
            <w:shd w:val="clear" w:color="auto" w:fill="DAE8F0"/>
          </w:tcPr>
          <w:p>
            <w:pPr>
              <w:spacing w:after="0"/>
              <w:rPr>
                <w:sz w:val="14"/>
                <w:szCs w:val="14"/>
                <w:color w:val="auto"/>
              </w:rPr>
            </w:pPr>
          </w:p>
        </w:tc>
        <w:tc>
          <w:tcPr>
            <w:tcW w:w="8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2"/>
            <w:shd w:val="clear" w:color="auto" w:fill="DAE8F0"/>
          </w:tcPr>
          <w:p>
            <w:pPr>
              <w:spacing w:after="0" w:line="169" w:lineRule="exact"/>
              <w:rPr>
                <w:rFonts w:ascii="Calibri" w:cs="Calibri" w:eastAsia="Calibri" w:hAnsi="Calibri"/>
                <w:sz w:val="18"/>
                <w:szCs w:val="18"/>
                <w:color w:val="0563C1"/>
              </w:rPr>
            </w:pPr>
            <w:hyperlink r:id="rId726">
              <w:r>
                <w:rPr>
                  <w:rFonts w:ascii="Calibri" w:cs="Calibri" w:eastAsia="Calibri" w:hAnsi="Calibri"/>
                  <w:sz w:val="18"/>
                  <w:szCs w:val="18"/>
                  <w:color w:val="0563C1"/>
                </w:rPr>
                <w:t>Form of 3.450% Senior Notes due 2027 (included in Exhibit 4.12)</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40" w:type="dxa"/>
            <w:vAlign w:val="bottom"/>
            <w:tcBorders>
              <w:top w:val="single" w:sz="8" w:color="DAE8F0"/>
              <w:left w:val="single" w:sz="8" w:color="91BBD3"/>
              <w:bottom w:val="single" w:sz="8" w:color="91BBD3"/>
            </w:tcBorders>
            <w:shd w:val="clear" w:color="auto" w:fill="DAE8F0"/>
          </w:tcPr>
          <w:p>
            <w:pPr>
              <w:spacing w:after="0"/>
              <w:rPr>
                <w:sz w:val="5"/>
                <w:szCs w:val="5"/>
                <w:color w:val="auto"/>
              </w:rPr>
            </w:pPr>
          </w:p>
        </w:tc>
        <w:tc>
          <w:tcPr>
            <w:tcW w:w="1260" w:type="dxa"/>
            <w:vAlign w:val="bottom"/>
            <w:tcBorders>
              <w:top w:val="single" w:sz="8" w:color="DAE8F0"/>
              <w:bottom w:val="single" w:sz="8" w:color="91BBD3"/>
              <w:right w:val="single" w:sz="8" w:color="91BBD3"/>
            </w:tcBorders>
            <w:shd w:val="clear" w:color="auto" w:fill="DAE8F0"/>
          </w:tcPr>
          <w:p>
            <w:pPr>
              <w:spacing w:after="0"/>
              <w:rPr>
                <w:sz w:val="5"/>
                <w:szCs w:val="5"/>
                <w:color w:val="auto"/>
              </w:rPr>
            </w:pPr>
          </w:p>
        </w:tc>
        <w:tc>
          <w:tcPr>
            <w:tcW w:w="80" w:type="dxa"/>
            <w:vAlign w:val="bottom"/>
            <w:tcBorders>
              <w:top w:val="single" w:sz="8" w:color="DAE8F0"/>
              <w:bottom w:val="single" w:sz="8" w:color="91BBD3"/>
            </w:tcBorders>
            <w:shd w:val="clear" w:color="auto" w:fill="DAE8F0"/>
          </w:tcPr>
          <w:p>
            <w:pPr>
              <w:spacing w:after="0"/>
              <w:rPr>
                <w:sz w:val="5"/>
                <w:szCs w:val="5"/>
                <w:color w:val="auto"/>
              </w:rPr>
            </w:pPr>
          </w:p>
        </w:tc>
        <w:tc>
          <w:tcPr>
            <w:tcW w:w="540" w:type="dxa"/>
            <w:vAlign w:val="bottom"/>
            <w:tcBorders>
              <w:top w:val="single" w:sz="8" w:color="0563C1"/>
              <w:bottom w:val="single" w:sz="8" w:color="91BBD3"/>
            </w:tcBorders>
            <w:shd w:val="clear" w:color="auto" w:fill="DAE8F0"/>
          </w:tcPr>
          <w:p>
            <w:pPr>
              <w:spacing w:after="0"/>
              <w:rPr>
                <w:sz w:val="5"/>
                <w:szCs w:val="5"/>
                <w:color w:val="auto"/>
              </w:rPr>
            </w:pPr>
          </w:p>
        </w:tc>
        <w:tc>
          <w:tcPr>
            <w:tcW w:w="440" w:type="dxa"/>
            <w:vAlign w:val="bottom"/>
            <w:tcBorders>
              <w:top w:val="single" w:sz="8" w:color="0563C1"/>
              <w:bottom w:val="single" w:sz="8" w:color="91BBD3"/>
            </w:tcBorders>
            <w:shd w:val="clear" w:color="auto" w:fill="DAE8F0"/>
          </w:tcPr>
          <w:p>
            <w:pPr>
              <w:spacing w:after="0"/>
              <w:rPr>
                <w:sz w:val="5"/>
                <w:szCs w:val="5"/>
                <w:color w:val="auto"/>
              </w:rPr>
            </w:pPr>
          </w:p>
        </w:tc>
        <w:tc>
          <w:tcPr>
            <w:tcW w:w="1200" w:type="dxa"/>
            <w:vAlign w:val="bottom"/>
            <w:tcBorders>
              <w:top w:val="single" w:sz="8" w:color="0563C1"/>
              <w:bottom w:val="single" w:sz="8" w:color="91BBD3"/>
            </w:tcBorders>
            <w:shd w:val="clear" w:color="auto" w:fill="DAE8F0"/>
          </w:tcPr>
          <w:p>
            <w:pPr>
              <w:spacing w:after="0"/>
              <w:rPr>
                <w:sz w:val="5"/>
                <w:szCs w:val="5"/>
                <w:color w:val="auto"/>
              </w:rPr>
            </w:pPr>
          </w:p>
        </w:tc>
        <w:tc>
          <w:tcPr>
            <w:tcW w:w="1060" w:type="dxa"/>
            <w:vAlign w:val="bottom"/>
            <w:tcBorders>
              <w:top w:val="single" w:sz="8" w:color="0563C1"/>
              <w:bottom w:val="single" w:sz="8" w:color="91BBD3"/>
            </w:tcBorders>
            <w:shd w:val="clear" w:color="auto" w:fill="DAE8F0"/>
          </w:tcPr>
          <w:p>
            <w:pPr>
              <w:spacing w:after="0"/>
              <w:rPr>
                <w:sz w:val="5"/>
                <w:szCs w:val="5"/>
                <w:color w:val="auto"/>
              </w:rPr>
            </w:pPr>
          </w:p>
        </w:tc>
        <w:tc>
          <w:tcPr>
            <w:tcW w:w="1320" w:type="dxa"/>
            <w:vAlign w:val="bottom"/>
            <w:tcBorders>
              <w:top w:val="single" w:sz="8" w:color="0563C1"/>
              <w:bottom w:val="single" w:sz="8" w:color="91BBD3"/>
            </w:tcBorders>
            <w:shd w:val="clear" w:color="auto" w:fill="DAE8F0"/>
          </w:tcPr>
          <w:p>
            <w:pPr>
              <w:spacing w:after="0"/>
              <w:rPr>
                <w:sz w:val="5"/>
                <w:szCs w:val="5"/>
                <w:color w:val="auto"/>
              </w:rPr>
            </w:pPr>
          </w:p>
        </w:tc>
        <w:tc>
          <w:tcPr>
            <w:tcW w:w="20" w:type="dxa"/>
            <w:vAlign w:val="bottom"/>
            <w:tcBorders>
              <w:top w:val="single" w:sz="8" w:color="0563C1"/>
              <w:bottom w:val="single" w:sz="8" w:color="91BBD3"/>
            </w:tcBorders>
            <w:shd w:val="clear" w:color="auto" w:fill="DAE8F0"/>
          </w:tcPr>
          <w:p>
            <w:pPr>
              <w:spacing w:after="0"/>
              <w:rPr>
                <w:sz w:val="5"/>
                <w:szCs w:val="5"/>
                <w:color w:val="auto"/>
              </w:rPr>
            </w:pPr>
          </w:p>
        </w:tc>
        <w:tc>
          <w:tcPr>
            <w:tcW w:w="100" w:type="dxa"/>
            <w:vAlign w:val="bottom"/>
            <w:tcBorders>
              <w:top w:val="single" w:sz="8" w:color="DAE8F0"/>
              <w:bottom w:val="single" w:sz="8" w:color="91BBD3"/>
            </w:tcBorders>
            <w:shd w:val="clear" w:color="auto" w:fill="DAE8F0"/>
          </w:tcPr>
          <w:p>
            <w:pPr>
              <w:spacing w:after="0"/>
              <w:rPr>
                <w:sz w:val="5"/>
                <w:szCs w:val="5"/>
                <w:color w:val="auto"/>
              </w:rPr>
            </w:pPr>
          </w:p>
        </w:tc>
        <w:tc>
          <w:tcPr>
            <w:tcW w:w="1340" w:type="dxa"/>
            <w:vAlign w:val="bottom"/>
            <w:tcBorders>
              <w:top w:val="single" w:sz="8" w:color="DAE8F0"/>
              <w:bottom w:val="single" w:sz="8" w:color="91BBD3"/>
            </w:tcBorders>
            <w:shd w:val="clear" w:color="auto" w:fill="DAE8F0"/>
          </w:tcPr>
          <w:p>
            <w:pPr>
              <w:spacing w:after="0"/>
              <w:rPr>
                <w:sz w:val="5"/>
                <w:szCs w:val="5"/>
                <w:color w:val="auto"/>
              </w:rPr>
            </w:pPr>
          </w:p>
        </w:tc>
        <w:tc>
          <w:tcPr>
            <w:tcW w:w="2700" w:type="dxa"/>
            <w:vAlign w:val="bottom"/>
            <w:tcBorders>
              <w:top w:val="single" w:sz="8" w:color="DAE8F0"/>
              <w:bottom w:val="single" w:sz="8" w:color="91BBD3"/>
            </w:tcBorders>
            <w:shd w:val="clear" w:color="auto" w:fill="DAE8F0"/>
          </w:tcPr>
          <w:p>
            <w:pPr>
              <w:spacing w:after="0"/>
              <w:rPr>
                <w:sz w:val="5"/>
                <w:szCs w:val="5"/>
                <w:color w:val="auto"/>
              </w:rPr>
            </w:pPr>
          </w:p>
        </w:tc>
        <w:tc>
          <w:tcPr>
            <w:tcW w:w="120" w:type="dxa"/>
            <w:vAlign w:val="bottom"/>
            <w:tcBorders>
              <w:top w:val="single" w:sz="8" w:color="DAE8F0"/>
              <w:bottom w:val="single" w:sz="8" w:color="91BBD3"/>
            </w:tcBorders>
            <w:shd w:val="clear" w:color="auto" w:fill="DAE8F0"/>
          </w:tcPr>
          <w:p>
            <w:pPr>
              <w:spacing w:after="0"/>
              <w:rPr>
                <w:sz w:val="5"/>
                <w:szCs w:val="5"/>
                <w:color w:val="auto"/>
              </w:rPr>
            </w:pPr>
          </w:p>
        </w:tc>
        <w:tc>
          <w:tcPr>
            <w:tcW w:w="140" w:type="dxa"/>
            <w:vAlign w:val="bottom"/>
            <w:tcBorders>
              <w:top w:val="single" w:sz="8" w:color="DAE8F0"/>
              <w:bottom w:val="single" w:sz="8" w:color="91BBD3"/>
              <w:right w:val="single" w:sz="8" w:color="DAE8F0"/>
            </w:tcBorders>
            <w:shd w:val="clear" w:color="auto" w:fill="DAE8F0"/>
          </w:tcPr>
          <w:p>
            <w:pPr>
              <w:spacing w:after="0"/>
              <w:rPr>
                <w:sz w:val="5"/>
                <w:szCs w:val="5"/>
                <w:color w:val="auto"/>
              </w:rPr>
            </w:pPr>
          </w:p>
        </w:tc>
        <w:tc>
          <w:tcPr>
            <w:tcW w:w="140" w:type="dxa"/>
            <w:vAlign w:val="bottom"/>
            <w:tcBorders>
              <w:top w:val="single" w:sz="8" w:color="DAE8F0"/>
              <w:left w:val="single" w:sz="8" w:color="DAE8F0"/>
              <w:bottom w:val="single" w:sz="8" w:color="91BBD3"/>
              <w:right w:val="single" w:sz="8" w:color="91BBD3"/>
            </w:tcBorders>
            <w:shd w:val="clear" w:color="auto" w:fill="DAE8F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91BBD3"/>
            </w:tcBorders>
          </w:tcPr>
          <w:p>
            <w:pPr>
              <w:jc w:val="right"/>
              <w:spacing w:after="0" w:line="169" w:lineRule="exact"/>
              <w:rPr>
                <w:sz w:val="20"/>
                <w:szCs w:val="20"/>
                <w:color w:val="auto"/>
              </w:rPr>
            </w:pPr>
            <w:r>
              <w:rPr>
                <w:rFonts w:ascii="Calibri" w:cs="Calibri" w:eastAsia="Calibri" w:hAnsi="Calibri"/>
                <w:sz w:val="18"/>
                <w:szCs w:val="18"/>
                <w:b w:val="1"/>
                <w:bCs w:val="1"/>
                <w:color w:val="auto"/>
              </w:rPr>
              <w:t>4.14</w:t>
            </w:r>
          </w:p>
        </w:tc>
        <w:tc>
          <w:tcPr>
            <w:tcW w:w="1260" w:type="dxa"/>
            <w:vAlign w:val="bottom"/>
            <w:tcBorders>
              <w:right w:val="single" w:sz="8" w:color="91BBD3"/>
            </w:tcBorders>
          </w:tcPr>
          <w:p>
            <w:pPr>
              <w:spacing w:after="0"/>
              <w:rPr>
                <w:sz w:val="14"/>
                <w:szCs w:val="14"/>
                <w:color w:val="auto"/>
              </w:rPr>
            </w:pPr>
          </w:p>
        </w:tc>
        <w:tc>
          <w:tcPr>
            <w:tcW w:w="80" w:type="dxa"/>
            <w:vAlign w:val="bottom"/>
          </w:tcPr>
          <w:p>
            <w:pPr>
              <w:spacing w:after="0"/>
              <w:rPr>
                <w:sz w:val="14"/>
                <w:szCs w:val="14"/>
                <w:color w:val="auto"/>
              </w:rPr>
            </w:pPr>
          </w:p>
        </w:tc>
        <w:tc>
          <w:tcPr>
            <w:tcW w:w="9120" w:type="dxa"/>
            <w:vAlign w:val="bottom"/>
            <w:tcBorders>
              <w:right w:val="single" w:sz="8" w:color="91BBD3"/>
            </w:tcBorders>
            <w:gridSpan w:val="12"/>
          </w:tcPr>
          <w:p>
            <w:pPr>
              <w:spacing w:after="0" w:line="169" w:lineRule="exact"/>
              <w:rPr>
                <w:rFonts w:ascii="Calibri" w:cs="Calibri" w:eastAsia="Calibri" w:hAnsi="Calibri"/>
                <w:sz w:val="18"/>
                <w:szCs w:val="18"/>
                <w:color w:val="0563C1"/>
              </w:rPr>
            </w:pPr>
            <w:hyperlink r:id="rId727">
              <w:r>
                <w:rPr>
                  <w:rFonts w:ascii="Calibri" w:cs="Calibri" w:eastAsia="Calibri" w:hAnsi="Calibri"/>
                  <w:sz w:val="18"/>
                  <w:szCs w:val="18"/>
                  <w:color w:val="0563C1"/>
                </w:rPr>
                <w:t>Second Supplemental Indenture, dated as of December 20, 2017, between Martn Marieta Materials, Inc. and Regions Bank,</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Borders>
              <w:left w:val="single" w:sz="8" w:color="91BBD3"/>
            </w:tcBorders>
          </w:tcPr>
          <w:p>
            <w:pPr>
              <w:spacing w:after="0" w:line="20" w:lineRule="exact"/>
              <w:rPr>
                <w:sz w:val="1"/>
                <w:szCs w:val="1"/>
                <w:color w:val="auto"/>
              </w:rPr>
            </w:pPr>
          </w:p>
        </w:tc>
        <w:tc>
          <w:tcPr>
            <w:tcW w:w="1260" w:type="dxa"/>
            <w:vAlign w:val="bottom"/>
            <w:tcBorders>
              <w:right w:val="single" w:sz="8" w:color="91BBD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shd w:val="clear" w:color="auto" w:fill="0563C1"/>
          </w:tcPr>
          <w:p>
            <w:pPr>
              <w:spacing w:after="0" w:line="20" w:lineRule="exact"/>
              <w:rPr>
                <w:sz w:val="1"/>
                <w:szCs w:val="1"/>
                <w:color w:val="auto"/>
              </w:rPr>
            </w:pPr>
          </w:p>
        </w:tc>
        <w:tc>
          <w:tcPr>
            <w:tcW w:w="1200" w:type="dxa"/>
            <w:vAlign w:val="bottom"/>
            <w:shd w:val="clear" w:color="auto" w:fill="0563C1"/>
          </w:tcPr>
          <w:p>
            <w:pPr>
              <w:spacing w:after="0" w:line="20" w:lineRule="exact"/>
              <w:rPr>
                <w:sz w:val="1"/>
                <w:szCs w:val="1"/>
                <w:color w:val="auto"/>
              </w:rPr>
            </w:pPr>
          </w:p>
        </w:tc>
        <w:tc>
          <w:tcPr>
            <w:tcW w:w="2500" w:type="dxa"/>
            <w:vAlign w:val="bottom"/>
            <w:gridSpan w:val="4"/>
            <w:shd w:val="clear" w:color="auto" w:fill="0563C1"/>
          </w:tcPr>
          <w:p>
            <w:pPr>
              <w:spacing w:after="0" w:line="20" w:lineRule="exact"/>
              <w:rPr>
                <w:sz w:val="1"/>
                <w:szCs w:val="1"/>
                <w:color w:val="auto"/>
              </w:rPr>
            </w:pPr>
          </w:p>
        </w:tc>
        <w:tc>
          <w:tcPr>
            <w:tcW w:w="1340" w:type="dxa"/>
            <w:vAlign w:val="bottom"/>
            <w:shd w:val="clear" w:color="auto" w:fill="0563C1"/>
          </w:tcPr>
          <w:p>
            <w:pPr>
              <w:spacing w:after="0" w:line="20" w:lineRule="exact"/>
              <w:rPr>
                <w:sz w:val="1"/>
                <w:szCs w:val="1"/>
                <w:color w:val="auto"/>
              </w:rPr>
            </w:pPr>
          </w:p>
        </w:tc>
        <w:tc>
          <w:tcPr>
            <w:tcW w:w="2960" w:type="dxa"/>
            <w:vAlign w:val="bottom"/>
            <w:tcBorders>
              <w:right w:val="single" w:sz="8" w:color="0563C1"/>
            </w:tcBorders>
            <w:gridSpan w:val="3"/>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8980" w:type="dxa"/>
            <w:vAlign w:val="bottom"/>
            <w:tcBorders>
              <w:bottom w:val="single" w:sz="8" w:color="0563C1"/>
            </w:tcBorders>
            <w:gridSpan w:val="11"/>
          </w:tcPr>
          <w:p>
            <w:pPr>
              <w:spacing w:after="0" w:line="196" w:lineRule="exact"/>
              <w:rPr>
                <w:rFonts w:ascii="Calibri" w:cs="Calibri" w:eastAsia="Calibri" w:hAnsi="Calibri"/>
                <w:sz w:val="18"/>
                <w:szCs w:val="18"/>
                <w:color w:val="0563C1"/>
              </w:rPr>
            </w:pPr>
            <w:hyperlink r:id="rId727">
              <w:r>
                <w:rPr>
                  <w:rFonts w:ascii="Calibri" w:cs="Calibri" w:eastAsia="Calibri" w:hAnsi="Calibri"/>
                  <w:sz w:val="18"/>
                  <w:szCs w:val="18"/>
                  <w:color w:val="0563C1"/>
                </w:rPr>
                <w:t xml:space="preserve">as trustee, governing the Senior Notes issued by the Company on December 20, 2017, in the form of the </w:t>
              </w:r>
              <w:r>
                <w:rPr>
                  <w:rFonts w:ascii="Calibri" w:cs="Calibri" w:eastAsia="Calibri" w:hAnsi="Calibri"/>
                  <w:sz w:val="18"/>
                  <w:szCs w:val="18"/>
                  <w:u w:val="single" w:color="auto"/>
                  <w:color w:val="0563C1"/>
                </w:rPr>
                <w:t>$</w:t>
              </w:r>
              <w:r>
                <w:rPr>
                  <w:rFonts w:ascii="Calibri" w:cs="Calibri" w:eastAsia="Calibri" w:hAnsi="Calibri"/>
                  <w:sz w:val="18"/>
                  <w:szCs w:val="18"/>
                  <w:color w:val="0563C1"/>
                </w:rPr>
                <w:t>300 million</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8980" w:type="dxa"/>
            <w:vAlign w:val="bottom"/>
            <w:tcBorders>
              <w:bottom w:val="single" w:sz="8" w:color="0563C1"/>
            </w:tcBorders>
            <w:gridSpan w:val="11"/>
          </w:tcPr>
          <w:p>
            <w:pPr>
              <w:spacing w:after="0" w:line="196" w:lineRule="exact"/>
              <w:rPr>
                <w:rFonts w:ascii="Calibri" w:cs="Calibri" w:eastAsia="Calibri" w:hAnsi="Calibri"/>
                <w:sz w:val="18"/>
                <w:szCs w:val="18"/>
                <w:color w:val="0563C1"/>
                <w:w w:val="97"/>
              </w:rPr>
            </w:pPr>
            <w:hyperlink r:id="rId727">
              <w:r>
                <w:rPr>
                  <w:rFonts w:ascii="Calibri" w:cs="Calibri" w:eastAsia="Calibri" w:hAnsi="Calibri"/>
                  <w:sz w:val="18"/>
                  <w:szCs w:val="18"/>
                  <w:color w:val="0563C1"/>
                  <w:w w:val="97"/>
                </w:rPr>
                <w:t xml:space="preserve">aggregate principal amount of Floatng Rate Senior Notes due 2019, </w:t>
              </w:r>
              <w:r>
                <w:rPr>
                  <w:rFonts w:ascii="Calibri" w:cs="Calibri" w:eastAsia="Calibri" w:hAnsi="Calibri"/>
                  <w:sz w:val="18"/>
                  <w:szCs w:val="18"/>
                  <w:u w:val="single" w:color="auto"/>
                  <w:color w:val="0563C1"/>
                  <w:w w:val="97"/>
                </w:rPr>
                <w:t>$</w:t>
              </w:r>
              <w:r>
                <w:rPr>
                  <w:rFonts w:ascii="Calibri" w:cs="Calibri" w:eastAsia="Calibri" w:hAnsi="Calibri"/>
                  <w:sz w:val="18"/>
                  <w:szCs w:val="18"/>
                  <w:color w:val="0563C1"/>
                  <w:w w:val="97"/>
                </w:rPr>
                <w:t>500 million aggregate principal amount of 3.500% Senior</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8980" w:type="dxa"/>
            <w:vAlign w:val="bottom"/>
            <w:tcBorders>
              <w:bottom w:val="single" w:sz="8" w:color="0563C1"/>
            </w:tcBorders>
            <w:gridSpan w:val="11"/>
          </w:tcPr>
          <w:p>
            <w:pPr>
              <w:spacing w:after="0" w:line="196" w:lineRule="exact"/>
              <w:rPr>
                <w:rFonts w:ascii="Calibri" w:cs="Calibri" w:eastAsia="Calibri" w:hAnsi="Calibri"/>
                <w:sz w:val="18"/>
                <w:szCs w:val="18"/>
                <w:color w:val="0563C1"/>
                <w:w w:val="97"/>
              </w:rPr>
            </w:pPr>
            <w:hyperlink r:id="rId727">
              <w:r>
                <w:rPr>
                  <w:rFonts w:ascii="Calibri" w:cs="Calibri" w:eastAsia="Calibri" w:hAnsi="Calibri"/>
                  <w:sz w:val="18"/>
                  <w:szCs w:val="18"/>
                  <w:color w:val="0563C1"/>
                  <w:w w:val="97"/>
                </w:rPr>
                <w:t xml:space="preserve">Notes due 2027, and </w:t>
              </w:r>
              <w:r>
                <w:rPr>
                  <w:rFonts w:ascii="Calibri" w:cs="Calibri" w:eastAsia="Calibri" w:hAnsi="Calibri"/>
                  <w:sz w:val="18"/>
                  <w:szCs w:val="18"/>
                  <w:u w:val="single" w:color="auto"/>
                  <w:color w:val="0563C1"/>
                  <w:w w:val="97"/>
                </w:rPr>
                <w:t>$</w:t>
              </w:r>
              <w:r>
                <w:rPr>
                  <w:rFonts w:ascii="Calibri" w:cs="Calibri" w:eastAsia="Calibri" w:hAnsi="Calibri"/>
                  <w:sz w:val="18"/>
                  <w:szCs w:val="18"/>
                  <w:color w:val="0563C1"/>
                  <w:w w:val="97"/>
                </w:rPr>
                <w:t>600 million aggregate principal amount of 4.250% Senior Notes due 2047 (incorporated by reference to</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8980" w:type="dxa"/>
            <w:vAlign w:val="bottom"/>
            <w:tcBorders>
              <w:bottom w:val="single" w:sz="8" w:color="0563C1"/>
            </w:tcBorders>
            <w:gridSpan w:val="11"/>
          </w:tcPr>
          <w:p>
            <w:pPr>
              <w:spacing w:after="0" w:line="196" w:lineRule="exact"/>
              <w:rPr>
                <w:rFonts w:ascii="Calibri" w:cs="Calibri" w:eastAsia="Calibri" w:hAnsi="Calibri"/>
                <w:sz w:val="18"/>
                <w:szCs w:val="18"/>
                <w:color w:val="0563C1"/>
              </w:rPr>
            </w:pPr>
            <w:hyperlink r:id="rId727">
              <w:r>
                <w:rPr>
                  <w:rFonts w:ascii="Calibri" w:cs="Calibri" w:eastAsia="Calibri" w:hAnsi="Calibri"/>
                  <w:sz w:val="18"/>
                  <w:szCs w:val="18"/>
                  <w:color w:val="0563C1"/>
                </w:rPr>
                <w:t>Exhibit 4.2 to the Martn Marieta Materials, Inc. Current Report on Form 8-K, fled on December 20, 2017 (Commission File</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tcPr>
          <w:p>
            <w:pPr>
              <w:spacing w:after="0"/>
              <w:rPr>
                <w:sz w:val="17"/>
                <w:szCs w:val="17"/>
                <w:color w:val="auto"/>
              </w:rPr>
            </w:pPr>
          </w:p>
        </w:tc>
        <w:tc>
          <w:tcPr>
            <w:tcW w:w="1260" w:type="dxa"/>
            <w:vAlign w:val="bottom"/>
            <w:tcBorders>
              <w:right w:val="single" w:sz="8" w:color="91BBD3"/>
            </w:tcBorders>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right w:val="single" w:sz="8" w:color="91BBD3"/>
            </w:tcBorders>
            <w:gridSpan w:val="12"/>
          </w:tcPr>
          <w:p>
            <w:pPr>
              <w:spacing w:after="0" w:line="196" w:lineRule="exact"/>
              <w:rPr>
                <w:rFonts w:ascii="Calibri" w:cs="Calibri" w:eastAsia="Calibri" w:hAnsi="Calibri"/>
                <w:sz w:val="18"/>
                <w:szCs w:val="18"/>
                <w:color w:val="0563C1"/>
              </w:rPr>
            </w:pPr>
            <w:hyperlink r:id="rId727">
              <w:r>
                <w:rPr>
                  <w:rFonts w:ascii="Calibri" w:cs="Calibri" w:eastAsia="Calibri" w:hAnsi="Calibri"/>
                  <w:sz w:val="18"/>
                  <w:szCs w:val="18"/>
                  <w:color w:val="0563C1"/>
                </w:rPr>
                <w:t>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40" w:type="dxa"/>
            <w:vAlign w:val="bottom"/>
            <w:tcBorders>
              <w:left w:val="single" w:sz="8" w:color="91BBD3"/>
              <w:bottom w:val="single" w:sz="8" w:color="91BBD3"/>
            </w:tcBorders>
          </w:tcPr>
          <w:p>
            <w:pPr>
              <w:spacing w:after="0"/>
              <w:rPr>
                <w:sz w:val="4"/>
                <w:szCs w:val="4"/>
                <w:color w:val="auto"/>
              </w:rPr>
            </w:pPr>
          </w:p>
        </w:tc>
        <w:tc>
          <w:tcPr>
            <w:tcW w:w="1260" w:type="dxa"/>
            <w:vAlign w:val="bottom"/>
            <w:tcBorders>
              <w:bottom w:val="single" w:sz="8" w:color="91BBD3"/>
              <w:right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54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1200" w:type="dxa"/>
            <w:vAlign w:val="bottom"/>
            <w:tcBorders>
              <w:bottom w:val="single" w:sz="8" w:color="91BBD3"/>
            </w:tcBorders>
          </w:tcPr>
          <w:p>
            <w:pPr>
              <w:spacing w:after="0"/>
              <w:rPr>
                <w:sz w:val="4"/>
                <w:szCs w:val="4"/>
                <w:color w:val="auto"/>
              </w:rPr>
            </w:pPr>
          </w:p>
        </w:tc>
        <w:tc>
          <w:tcPr>
            <w:tcW w:w="1060" w:type="dxa"/>
            <w:vAlign w:val="bottom"/>
            <w:tcBorders>
              <w:bottom w:val="single" w:sz="8" w:color="91BBD3"/>
            </w:tcBorders>
          </w:tcPr>
          <w:p>
            <w:pPr>
              <w:spacing w:after="0"/>
              <w:rPr>
                <w:sz w:val="4"/>
                <w:szCs w:val="4"/>
                <w:color w:val="auto"/>
              </w:rPr>
            </w:pPr>
          </w:p>
        </w:tc>
        <w:tc>
          <w:tcPr>
            <w:tcW w:w="13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1340" w:type="dxa"/>
            <w:vAlign w:val="bottom"/>
            <w:tcBorders>
              <w:bottom w:val="single" w:sz="8" w:color="91BBD3"/>
            </w:tcBorders>
          </w:tcPr>
          <w:p>
            <w:pPr>
              <w:spacing w:after="0"/>
              <w:rPr>
                <w:sz w:val="4"/>
                <w:szCs w:val="4"/>
                <w:color w:val="auto"/>
              </w:rPr>
            </w:pPr>
          </w:p>
        </w:tc>
        <w:tc>
          <w:tcPr>
            <w:tcW w:w="2700" w:type="dxa"/>
            <w:vAlign w:val="bottom"/>
            <w:tcBorders>
              <w:bottom w:val="single" w:sz="8" w:color="91BBD3"/>
            </w:tcBorders>
          </w:tcPr>
          <w:p>
            <w:pPr>
              <w:spacing w:after="0"/>
              <w:rPr>
                <w:sz w:val="4"/>
                <w:szCs w:val="4"/>
                <w:color w:val="auto"/>
              </w:rPr>
            </w:pPr>
          </w:p>
        </w:tc>
        <w:tc>
          <w:tcPr>
            <w:tcW w:w="12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91BBD3"/>
            </w:tcBorders>
            <w:shd w:val="clear" w:color="auto" w:fill="DAE8F0"/>
          </w:tcPr>
          <w:p>
            <w:pPr>
              <w:jc w:val="right"/>
              <w:spacing w:after="0" w:line="169" w:lineRule="exact"/>
              <w:rPr>
                <w:sz w:val="20"/>
                <w:szCs w:val="20"/>
                <w:color w:val="auto"/>
              </w:rPr>
            </w:pPr>
            <w:r>
              <w:rPr>
                <w:rFonts w:ascii="Calibri" w:cs="Calibri" w:eastAsia="Calibri" w:hAnsi="Calibri"/>
                <w:sz w:val="18"/>
                <w:szCs w:val="18"/>
                <w:b w:val="1"/>
                <w:bCs w:val="1"/>
                <w:color w:val="auto"/>
              </w:rPr>
              <w:t>4.15</w:t>
            </w:r>
          </w:p>
        </w:tc>
        <w:tc>
          <w:tcPr>
            <w:tcW w:w="1260" w:type="dxa"/>
            <w:vAlign w:val="bottom"/>
            <w:tcBorders>
              <w:right w:val="single" w:sz="8" w:color="91BBD3"/>
            </w:tcBorders>
            <w:shd w:val="clear" w:color="auto" w:fill="DAE8F0"/>
          </w:tcPr>
          <w:p>
            <w:pPr>
              <w:spacing w:after="0"/>
              <w:rPr>
                <w:sz w:val="14"/>
                <w:szCs w:val="14"/>
                <w:color w:val="auto"/>
              </w:rPr>
            </w:pPr>
          </w:p>
        </w:tc>
        <w:tc>
          <w:tcPr>
            <w:tcW w:w="8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2"/>
            <w:shd w:val="clear" w:color="auto" w:fill="DAE8F0"/>
          </w:tcPr>
          <w:p>
            <w:pPr>
              <w:spacing w:after="0" w:line="169" w:lineRule="exact"/>
              <w:rPr>
                <w:rFonts w:ascii="Calibri" w:cs="Calibri" w:eastAsia="Calibri" w:hAnsi="Calibri"/>
                <w:sz w:val="18"/>
                <w:szCs w:val="18"/>
                <w:color w:val="0563C1"/>
              </w:rPr>
            </w:pPr>
            <w:hyperlink r:id="rId727">
              <w:r>
                <w:rPr>
                  <w:rFonts w:ascii="Calibri" w:cs="Calibri" w:eastAsia="Calibri" w:hAnsi="Calibri"/>
                  <w:sz w:val="18"/>
                  <w:szCs w:val="18"/>
                  <w:color w:val="0563C1"/>
                </w:rPr>
                <w:t>Form of 3.500% Senior Notes due 2027 (included in Exhibit 4.14)</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40" w:type="dxa"/>
            <w:vAlign w:val="bottom"/>
            <w:tcBorders>
              <w:top w:val="single" w:sz="8" w:color="DAE8F0"/>
              <w:left w:val="single" w:sz="8" w:color="91BBD3"/>
              <w:bottom w:val="single" w:sz="8" w:color="91BBD3"/>
            </w:tcBorders>
            <w:shd w:val="clear" w:color="auto" w:fill="DAE8F0"/>
          </w:tcPr>
          <w:p>
            <w:pPr>
              <w:spacing w:after="0"/>
              <w:rPr>
                <w:sz w:val="5"/>
                <w:szCs w:val="5"/>
                <w:color w:val="auto"/>
              </w:rPr>
            </w:pPr>
          </w:p>
        </w:tc>
        <w:tc>
          <w:tcPr>
            <w:tcW w:w="1260" w:type="dxa"/>
            <w:vAlign w:val="bottom"/>
            <w:tcBorders>
              <w:top w:val="single" w:sz="8" w:color="DAE8F0"/>
              <w:bottom w:val="single" w:sz="8" w:color="91BBD3"/>
              <w:right w:val="single" w:sz="8" w:color="91BBD3"/>
            </w:tcBorders>
            <w:shd w:val="clear" w:color="auto" w:fill="DAE8F0"/>
          </w:tcPr>
          <w:p>
            <w:pPr>
              <w:spacing w:after="0"/>
              <w:rPr>
                <w:sz w:val="5"/>
                <w:szCs w:val="5"/>
                <w:color w:val="auto"/>
              </w:rPr>
            </w:pPr>
          </w:p>
        </w:tc>
        <w:tc>
          <w:tcPr>
            <w:tcW w:w="80" w:type="dxa"/>
            <w:vAlign w:val="bottom"/>
            <w:tcBorders>
              <w:top w:val="single" w:sz="8" w:color="DAE8F0"/>
              <w:bottom w:val="single" w:sz="8" w:color="91BBD3"/>
            </w:tcBorders>
            <w:shd w:val="clear" w:color="auto" w:fill="DAE8F0"/>
          </w:tcPr>
          <w:p>
            <w:pPr>
              <w:spacing w:after="0"/>
              <w:rPr>
                <w:sz w:val="5"/>
                <w:szCs w:val="5"/>
                <w:color w:val="auto"/>
              </w:rPr>
            </w:pPr>
          </w:p>
        </w:tc>
        <w:tc>
          <w:tcPr>
            <w:tcW w:w="540" w:type="dxa"/>
            <w:vAlign w:val="bottom"/>
            <w:tcBorders>
              <w:top w:val="single" w:sz="8" w:color="0563C1"/>
              <w:bottom w:val="single" w:sz="8" w:color="91BBD3"/>
            </w:tcBorders>
            <w:shd w:val="clear" w:color="auto" w:fill="DAE8F0"/>
          </w:tcPr>
          <w:p>
            <w:pPr>
              <w:spacing w:after="0"/>
              <w:rPr>
                <w:sz w:val="5"/>
                <w:szCs w:val="5"/>
                <w:color w:val="auto"/>
              </w:rPr>
            </w:pPr>
          </w:p>
        </w:tc>
        <w:tc>
          <w:tcPr>
            <w:tcW w:w="440" w:type="dxa"/>
            <w:vAlign w:val="bottom"/>
            <w:tcBorders>
              <w:top w:val="single" w:sz="8" w:color="0563C1"/>
              <w:bottom w:val="single" w:sz="8" w:color="91BBD3"/>
            </w:tcBorders>
            <w:shd w:val="clear" w:color="auto" w:fill="DAE8F0"/>
          </w:tcPr>
          <w:p>
            <w:pPr>
              <w:spacing w:after="0"/>
              <w:rPr>
                <w:sz w:val="5"/>
                <w:szCs w:val="5"/>
                <w:color w:val="auto"/>
              </w:rPr>
            </w:pPr>
          </w:p>
        </w:tc>
        <w:tc>
          <w:tcPr>
            <w:tcW w:w="1200" w:type="dxa"/>
            <w:vAlign w:val="bottom"/>
            <w:tcBorders>
              <w:top w:val="single" w:sz="8" w:color="0563C1"/>
              <w:bottom w:val="single" w:sz="8" w:color="91BBD3"/>
            </w:tcBorders>
            <w:shd w:val="clear" w:color="auto" w:fill="DAE8F0"/>
          </w:tcPr>
          <w:p>
            <w:pPr>
              <w:spacing w:after="0"/>
              <w:rPr>
                <w:sz w:val="5"/>
                <w:szCs w:val="5"/>
                <w:color w:val="auto"/>
              </w:rPr>
            </w:pPr>
          </w:p>
        </w:tc>
        <w:tc>
          <w:tcPr>
            <w:tcW w:w="1060" w:type="dxa"/>
            <w:vAlign w:val="bottom"/>
            <w:tcBorders>
              <w:top w:val="single" w:sz="8" w:color="0563C1"/>
              <w:bottom w:val="single" w:sz="8" w:color="91BBD3"/>
            </w:tcBorders>
            <w:shd w:val="clear" w:color="auto" w:fill="DAE8F0"/>
          </w:tcPr>
          <w:p>
            <w:pPr>
              <w:spacing w:after="0"/>
              <w:rPr>
                <w:sz w:val="5"/>
                <w:szCs w:val="5"/>
                <w:color w:val="auto"/>
              </w:rPr>
            </w:pPr>
          </w:p>
        </w:tc>
        <w:tc>
          <w:tcPr>
            <w:tcW w:w="1320" w:type="dxa"/>
            <w:vAlign w:val="bottom"/>
            <w:tcBorders>
              <w:top w:val="single" w:sz="8" w:color="0563C1"/>
              <w:bottom w:val="single" w:sz="8" w:color="91BBD3"/>
            </w:tcBorders>
            <w:shd w:val="clear" w:color="auto" w:fill="DAE8F0"/>
          </w:tcPr>
          <w:p>
            <w:pPr>
              <w:spacing w:after="0"/>
              <w:rPr>
                <w:sz w:val="5"/>
                <w:szCs w:val="5"/>
                <w:color w:val="auto"/>
              </w:rPr>
            </w:pPr>
          </w:p>
        </w:tc>
        <w:tc>
          <w:tcPr>
            <w:tcW w:w="20" w:type="dxa"/>
            <w:vAlign w:val="bottom"/>
            <w:tcBorders>
              <w:top w:val="single" w:sz="8" w:color="0563C1"/>
              <w:bottom w:val="single" w:sz="8" w:color="91BBD3"/>
            </w:tcBorders>
            <w:shd w:val="clear" w:color="auto" w:fill="DAE8F0"/>
          </w:tcPr>
          <w:p>
            <w:pPr>
              <w:spacing w:after="0"/>
              <w:rPr>
                <w:sz w:val="5"/>
                <w:szCs w:val="5"/>
                <w:color w:val="auto"/>
              </w:rPr>
            </w:pPr>
          </w:p>
        </w:tc>
        <w:tc>
          <w:tcPr>
            <w:tcW w:w="100" w:type="dxa"/>
            <w:vAlign w:val="bottom"/>
            <w:tcBorders>
              <w:top w:val="single" w:sz="8" w:color="DAE8F0"/>
              <w:bottom w:val="single" w:sz="8" w:color="91BBD3"/>
            </w:tcBorders>
            <w:shd w:val="clear" w:color="auto" w:fill="DAE8F0"/>
          </w:tcPr>
          <w:p>
            <w:pPr>
              <w:spacing w:after="0"/>
              <w:rPr>
                <w:sz w:val="5"/>
                <w:szCs w:val="5"/>
                <w:color w:val="auto"/>
              </w:rPr>
            </w:pPr>
          </w:p>
        </w:tc>
        <w:tc>
          <w:tcPr>
            <w:tcW w:w="1340" w:type="dxa"/>
            <w:vAlign w:val="bottom"/>
            <w:tcBorders>
              <w:top w:val="single" w:sz="8" w:color="DAE8F0"/>
              <w:bottom w:val="single" w:sz="8" w:color="91BBD3"/>
            </w:tcBorders>
            <w:shd w:val="clear" w:color="auto" w:fill="DAE8F0"/>
          </w:tcPr>
          <w:p>
            <w:pPr>
              <w:spacing w:after="0"/>
              <w:rPr>
                <w:sz w:val="5"/>
                <w:szCs w:val="5"/>
                <w:color w:val="auto"/>
              </w:rPr>
            </w:pPr>
          </w:p>
        </w:tc>
        <w:tc>
          <w:tcPr>
            <w:tcW w:w="2700" w:type="dxa"/>
            <w:vAlign w:val="bottom"/>
            <w:tcBorders>
              <w:top w:val="single" w:sz="8" w:color="DAE8F0"/>
              <w:bottom w:val="single" w:sz="8" w:color="91BBD3"/>
            </w:tcBorders>
            <w:shd w:val="clear" w:color="auto" w:fill="DAE8F0"/>
          </w:tcPr>
          <w:p>
            <w:pPr>
              <w:spacing w:after="0"/>
              <w:rPr>
                <w:sz w:val="5"/>
                <w:szCs w:val="5"/>
                <w:color w:val="auto"/>
              </w:rPr>
            </w:pPr>
          </w:p>
        </w:tc>
        <w:tc>
          <w:tcPr>
            <w:tcW w:w="120" w:type="dxa"/>
            <w:vAlign w:val="bottom"/>
            <w:tcBorders>
              <w:top w:val="single" w:sz="8" w:color="DAE8F0"/>
              <w:bottom w:val="single" w:sz="8" w:color="91BBD3"/>
            </w:tcBorders>
            <w:shd w:val="clear" w:color="auto" w:fill="DAE8F0"/>
          </w:tcPr>
          <w:p>
            <w:pPr>
              <w:spacing w:after="0"/>
              <w:rPr>
                <w:sz w:val="5"/>
                <w:szCs w:val="5"/>
                <w:color w:val="auto"/>
              </w:rPr>
            </w:pPr>
          </w:p>
        </w:tc>
        <w:tc>
          <w:tcPr>
            <w:tcW w:w="140" w:type="dxa"/>
            <w:vAlign w:val="bottom"/>
            <w:tcBorders>
              <w:top w:val="single" w:sz="8" w:color="DAE8F0"/>
              <w:bottom w:val="single" w:sz="8" w:color="91BBD3"/>
              <w:right w:val="single" w:sz="8" w:color="DAE8F0"/>
            </w:tcBorders>
            <w:shd w:val="clear" w:color="auto" w:fill="DAE8F0"/>
          </w:tcPr>
          <w:p>
            <w:pPr>
              <w:spacing w:after="0"/>
              <w:rPr>
                <w:sz w:val="5"/>
                <w:szCs w:val="5"/>
                <w:color w:val="auto"/>
              </w:rPr>
            </w:pPr>
          </w:p>
        </w:tc>
        <w:tc>
          <w:tcPr>
            <w:tcW w:w="140" w:type="dxa"/>
            <w:vAlign w:val="bottom"/>
            <w:tcBorders>
              <w:top w:val="single" w:sz="8" w:color="DAE8F0"/>
              <w:left w:val="single" w:sz="8" w:color="DAE8F0"/>
              <w:bottom w:val="single" w:sz="8" w:color="91BBD3"/>
              <w:right w:val="single" w:sz="8" w:color="91BBD3"/>
            </w:tcBorders>
            <w:shd w:val="clear" w:color="auto" w:fill="DAE8F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91BBD3"/>
            </w:tcBorders>
          </w:tcPr>
          <w:p>
            <w:pPr>
              <w:jc w:val="right"/>
              <w:spacing w:after="0" w:line="169" w:lineRule="exact"/>
              <w:rPr>
                <w:sz w:val="20"/>
                <w:szCs w:val="20"/>
                <w:color w:val="auto"/>
              </w:rPr>
            </w:pPr>
            <w:r>
              <w:rPr>
                <w:rFonts w:ascii="Calibri" w:cs="Calibri" w:eastAsia="Calibri" w:hAnsi="Calibri"/>
                <w:sz w:val="18"/>
                <w:szCs w:val="18"/>
                <w:b w:val="1"/>
                <w:bCs w:val="1"/>
                <w:color w:val="auto"/>
              </w:rPr>
              <w:t>4.16</w:t>
            </w:r>
          </w:p>
        </w:tc>
        <w:tc>
          <w:tcPr>
            <w:tcW w:w="1260" w:type="dxa"/>
            <w:vAlign w:val="bottom"/>
            <w:tcBorders>
              <w:right w:val="single" w:sz="8" w:color="91BBD3"/>
            </w:tcBorders>
          </w:tcPr>
          <w:p>
            <w:pPr>
              <w:spacing w:after="0"/>
              <w:rPr>
                <w:sz w:val="14"/>
                <w:szCs w:val="14"/>
                <w:color w:val="auto"/>
              </w:rPr>
            </w:pPr>
          </w:p>
        </w:tc>
        <w:tc>
          <w:tcPr>
            <w:tcW w:w="80" w:type="dxa"/>
            <w:vAlign w:val="bottom"/>
          </w:tcPr>
          <w:p>
            <w:pPr>
              <w:spacing w:after="0"/>
              <w:rPr>
                <w:sz w:val="14"/>
                <w:szCs w:val="14"/>
                <w:color w:val="auto"/>
              </w:rPr>
            </w:pPr>
          </w:p>
        </w:tc>
        <w:tc>
          <w:tcPr>
            <w:tcW w:w="9120" w:type="dxa"/>
            <w:vAlign w:val="bottom"/>
            <w:tcBorders>
              <w:right w:val="single" w:sz="8" w:color="91BBD3"/>
            </w:tcBorders>
            <w:gridSpan w:val="12"/>
          </w:tcPr>
          <w:p>
            <w:pPr>
              <w:spacing w:after="0" w:line="169" w:lineRule="exact"/>
              <w:rPr>
                <w:rFonts w:ascii="Calibri" w:cs="Calibri" w:eastAsia="Calibri" w:hAnsi="Calibri"/>
                <w:sz w:val="18"/>
                <w:szCs w:val="18"/>
                <w:color w:val="0563C1"/>
              </w:rPr>
            </w:pPr>
            <w:hyperlink r:id="rId727">
              <w:r>
                <w:rPr>
                  <w:rFonts w:ascii="Calibri" w:cs="Calibri" w:eastAsia="Calibri" w:hAnsi="Calibri"/>
                  <w:sz w:val="18"/>
                  <w:szCs w:val="18"/>
                  <w:color w:val="0563C1"/>
                </w:rPr>
                <w:t>Form of 4.250% Senior Notes due 2047 (included in Exhibit 4.14)</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40" w:type="dxa"/>
            <w:vAlign w:val="bottom"/>
            <w:tcBorders>
              <w:left w:val="single" w:sz="8" w:color="91BBD3"/>
              <w:bottom w:val="single" w:sz="8" w:color="91BBD3"/>
            </w:tcBorders>
          </w:tcPr>
          <w:p>
            <w:pPr>
              <w:spacing w:after="0"/>
              <w:rPr>
                <w:sz w:val="5"/>
                <w:szCs w:val="5"/>
                <w:color w:val="auto"/>
              </w:rPr>
            </w:pPr>
          </w:p>
        </w:tc>
        <w:tc>
          <w:tcPr>
            <w:tcW w:w="1260" w:type="dxa"/>
            <w:vAlign w:val="bottom"/>
            <w:tcBorders>
              <w:bottom w:val="single" w:sz="8" w:color="91BBD3"/>
              <w:right w:val="single" w:sz="8" w:color="91BBD3"/>
            </w:tcBorders>
          </w:tcPr>
          <w:p>
            <w:pPr>
              <w:spacing w:after="0"/>
              <w:rPr>
                <w:sz w:val="5"/>
                <w:szCs w:val="5"/>
                <w:color w:val="auto"/>
              </w:rPr>
            </w:pPr>
          </w:p>
        </w:tc>
        <w:tc>
          <w:tcPr>
            <w:tcW w:w="80" w:type="dxa"/>
            <w:vAlign w:val="bottom"/>
            <w:tcBorders>
              <w:bottom w:val="single" w:sz="8" w:color="91BBD3"/>
            </w:tcBorders>
          </w:tcPr>
          <w:p>
            <w:pPr>
              <w:spacing w:after="0"/>
              <w:rPr>
                <w:sz w:val="5"/>
                <w:szCs w:val="5"/>
                <w:color w:val="auto"/>
              </w:rPr>
            </w:pPr>
          </w:p>
        </w:tc>
        <w:tc>
          <w:tcPr>
            <w:tcW w:w="540" w:type="dxa"/>
            <w:vAlign w:val="bottom"/>
            <w:tcBorders>
              <w:top w:val="single" w:sz="8" w:color="0563C1"/>
              <w:bottom w:val="single" w:sz="8" w:color="91BBD3"/>
            </w:tcBorders>
          </w:tcPr>
          <w:p>
            <w:pPr>
              <w:spacing w:after="0"/>
              <w:rPr>
                <w:sz w:val="5"/>
                <w:szCs w:val="5"/>
                <w:color w:val="auto"/>
              </w:rPr>
            </w:pPr>
          </w:p>
        </w:tc>
        <w:tc>
          <w:tcPr>
            <w:tcW w:w="440" w:type="dxa"/>
            <w:vAlign w:val="bottom"/>
            <w:tcBorders>
              <w:top w:val="single" w:sz="8" w:color="0563C1"/>
              <w:bottom w:val="single" w:sz="8" w:color="91BBD3"/>
            </w:tcBorders>
          </w:tcPr>
          <w:p>
            <w:pPr>
              <w:spacing w:after="0"/>
              <w:rPr>
                <w:sz w:val="5"/>
                <w:szCs w:val="5"/>
                <w:color w:val="auto"/>
              </w:rPr>
            </w:pPr>
          </w:p>
        </w:tc>
        <w:tc>
          <w:tcPr>
            <w:tcW w:w="1200" w:type="dxa"/>
            <w:vAlign w:val="bottom"/>
            <w:tcBorders>
              <w:top w:val="single" w:sz="8" w:color="0563C1"/>
              <w:bottom w:val="single" w:sz="8" w:color="91BBD3"/>
            </w:tcBorders>
          </w:tcPr>
          <w:p>
            <w:pPr>
              <w:spacing w:after="0"/>
              <w:rPr>
                <w:sz w:val="5"/>
                <w:szCs w:val="5"/>
                <w:color w:val="auto"/>
              </w:rPr>
            </w:pPr>
          </w:p>
        </w:tc>
        <w:tc>
          <w:tcPr>
            <w:tcW w:w="1060" w:type="dxa"/>
            <w:vAlign w:val="bottom"/>
            <w:tcBorders>
              <w:top w:val="single" w:sz="8" w:color="0563C1"/>
              <w:bottom w:val="single" w:sz="8" w:color="91BBD3"/>
            </w:tcBorders>
          </w:tcPr>
          <w:p>
            <w:pPr>
              <w:spacing w:after="0"/>
              <w:rPr>
                <w:sz w:val="5"/>
                <w:szCs w:val="5"/>
                <w:color w:val="auto"/>
              </w:rPr>
            </w:pPr>
          </w:p>
        </w:tc>
        <w:tc>
          <w:tcPr>
            <w:tcW w:w="1320" w:type="dxa"/>
            <w:vAlign w:val="bottom"/>
            <w:tcBorders>
              <w:top w:val="single" w:sz="8" w:color="0563C1"/>
              <w:bottom w:val="single" w:sz="8" w:color="91BBD3"/>
            </w:tcBorders>
          </w:tcPr>
          <w:p>
            <w:pPr>
              <w:spacing w:after="0"/>
              <w:rPr>
                <w:sz w:val="5"/>
                <w:szCs w:val="5"/>
                <w:color w:val="auto"/>
              </w:rPr>
            </w:pPr>
          </w:p>
        </w:tc>
        <w:tc>
          <w:tcPr>
            <w:tcW w:w="20" w:type="dxa"/>
            <w:vAlign w:val="bottom"/>
            <w:tcBorders>
              <w:top w:val="single" w:sz="8" w:color="0563C1"/>
              <w:bottom w:val="single" w:sz="8" w:color="91BBD3"/>
            </w:tcBorders>
          </w:tcPr>
          <w:p>
            <w:pPr>
              <w:spacing w:after="0"/>
              <w:rPr>
                <w:sz w:val="5"/>
                <w:szCs w:val="5"/>
                <w:color w:val="auto"/>
              </w:rPr>
            </w:pPr>
          </w:p>
        </w:tc>
        <w:tc>
          <w:tcPr>
            <w:tcW w:w="100" w:type="dxa"/>
            <w:vAlign w:val="bottom"/>
            <w:tcBorders>
              <w:bottom w:val="single" w:sz="8" w:color="91BBD3"/>
            </w:tcBorders>
          </w:tcPr>
          <w:p>
            <w:pPr>
              <w:spacing w:after="0"/>
              <w:rPr>
                <w:sz w:val="5"/>
                <w:szCs w:val="5"/>
                <w:color w:val="auto"/>
              </w:rPr>
            </w:pPr>
          </w:p>
        </w:tc>
        <w:tc>
          <w:tcPr>
            <w:tcW w:w="1340" w:type="dxa"/>
            <w:vAlign w:val="bottom"/>
            <w:tcBorders>
              <w:bottom w:val="single" w:sz="8" w:color="91BBD3"/>
            </w:tcBorders>
          </w:tcPr>
          <w:p>
            <w:pPr>
              <w:spacing w:after="0"/>
              <w:rPr>
                <w:sz w:val="5"/>
                <w:szCs w:val="5"/>
                <w:color w:val="auto"/>
              </w:rPr>
            </w:pPr>
          </w:p>
        </w:tc>
        <w:tc>
          <w:tcPr>
            <w:tcW w:w="2700" w:type="dxa"/>
            <w:vAlign w:val="bottom"/>
            <w:tcBorders>
              <w:bottom w:val="single" w:sz="8" w:color="91BBD3"/>
            </w:tcBorders>
          </w:tcPr>
          <w:p>
            <w:pPr>
              <w:spacing w:after="0"/>
              <w:rPr>
                <w:sz w:val="5"/>
                <w:szCs w:val="5"/>
                <w:color w:val="auto"/>
              </w:rPr>
            </w:pPr>
          </w:p>
        </w:tc>
        <w:tc>
          <w:tcPr>
            <w:tcW w:w="120" w:type="dxa"/>
            <w:vAlign w:val="bottom"/>
            <w:tcBorders>
              <w:bottom w:val="single" w:sz="8" w:color="91BBD3"/>
            </w:tcBorders>
          </w:tcPr>
          <w:p>
            <w:pPr>
              <w:spacing w:after="0"/>
              <w:rPr>
                <w:sz w:val="5"/>
                <w:szCs w:val="5"/>
                <w:color w:val="auto"/>
              </w:rPr>
            </w:pPr>
          </w:p>
        </w:tc>
        <w:tc>
          <w:tcPr>
            <w:tcW w:w="140" w:type="dxa"/>
            <w:vAlign w:val="bottom"/>
            <w:tcBorders>
              <w:bottom w:val="single" w:sz="8" w:color="91BBD3"/>
            </w:tcBorders>
          </w:tcPr>
          <w:p>
            <w:pPr>
              <w:spacing w:after="0"/>
              <w:rPr>
                <w:sz w:val="5"/>
                <w:szCs w:val="5"/>
                <w:color w:val="auto"/>
              </w:rPr>
            </w:pPr>
          </w:p>
        </w:tc>
        <w:tc>
          <w:tcPr>
            <w:tcW w:w="140" w:type="dxa"/>
            <w:vAlign w:val="bottom"/>
            <w:tcBorders>
              <w:bottom w:val="single" w:sz="8" w:color="91BBD3"/>
              <w:right w:val="single" w:sz="8" w:color="91BBD3"/>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91BBD3"/>
              <w:bottom w:val="single" w:sz="8" w:color="DAE8F0"/>
            </w:tcBorders>
            <w:shd w:val="clear" w:color="auto" w:fill="DAE8F0"/>
          </w:tcPr>
          <w:p>
            <w:pPr>
              <w:jc w:val="right"/>
              <w:spacing w:after="0" w:line="169" w:lineRule="exact"/>
              <w:rPr>
                <w:sz w:val="20"/>
                <w:szCs w:val="20"/>
                <w:color w:val="auto"/>
              </w:rPr>
            </w:pPr>
            <w:r>
              <w:rPr>
                <w:rFonts w:ascii="Calibri" w:cs="Calibri" w:eastAsia="Calibri" w:hAnsi="Calibri"/>
                <w:sz w:val="18"/>
                <w:szCs w:val="18"/>
                <w:b w:val="1"/>
                <w:bCs w:val="1"/>
                <w:color w:val="auto"/>
              </w:rPr>
              <w:t>4.17</w:t>
            </w:r>
          </w:p>
        </w:tc>
        <w:tc>
          <w:tcPr>
            <w:tcW w:w="1260" w:type="dxa"/>
            <w:vAlign w:val="bottom"/>
            <w:tcBorders>
              <w:bottom w:val="single" w:sz="8" w:color="DAE8F0"/>
              <w:right w:val="single" w:sz="8" w:color="91BBD3"/>
            </w:tcBorders>
            <w:shd w:val="clear" w:color="auto" w:fill="DAE8F0"/>
          </w:tcPr>
          <w:p>
            <w:pPr>
              <w:spacing w:after="0"/>
              <w:rPr>
                <w:sz w:val="14"/>
                <w:szCs w:val="14"/>
                <w:color w:val="auto"/>
              </w:rPr>
            </w:pPr>
          </w:p>
        </w:tc>
        <w:tc>
          <w:tcPr>
            <w:tcW w:w="80" w:type="dxa"/>
            <w:vAlign w:val="bottom"/>
            <w:tcBorders>
              <w:bottom w:val="single" w:sz="8" w:color="DAE8F0"/>
            </w:tcBorders>
            <w:shd w:val="clear" w:color="auto" w:fill="DAE8F0"/>
          </w:tcPr>
          <w:p>
            <w:pPr>
              <w:spacing w:after="0"/>
              <w:rPr>
                <w:sz w:val="14"/>
                <w:szCs w:val="14"/>
                <w:color w:val="auto"/>
              </w:rPr>
            </w:pPr>
          </w:p>
        </w:tc>
        <w:tc>
          <w:tcPr>
            <w:tcW w:w="9120" w:type="dxa"/>
            <w:vAlign w:val="bottom"/>
            <w:tcBorders>
              <w:bottom w:val="single" w:sz="8" w:color="0563C1"/>
              <w:right w:val="single" w:sz="8" w:color="91BBD3"/>
            </w:tcBorders>
            <w:gridSpan w:val="12"/>
            <w:shd w:val="clear" w:color="auto" w:fill="DAE8F0"/>
          </w:tcPr>
          <w:p>
            <w:pPr>
              <w:spacing w:after="0" w:line="169" w:lineRule="exact"/>
              <w:rPr>
                <w:rFonts w:ascii="Calibri" w:cs="Calibri" w:eastAsia="Calibri" w:hAnsi="Calibri"/>
                <w:sz w:val="18"/>
                <w:szCs w:val="18"/>
                <w:color w:val="0563C1"/>
              </w:rPr>
            </w:pPr>
            <w:hyperlink r:id="rId728">
              <w:r>
                <w:rPr>
                  <w:rFonts w:ascii="Calibri" w:cs="Calibri" w:eastAsia="Calibri" w:hAnsi="Calibri"/>
                  <w:sz w:val="18"/>
                  <w:szCs w:val="18"/>
                  <w:color w:val="0563C1"/>
                </w:rPr>
                <w:t>Third Supplemental Indenture, dated as of March 16, 2020, between Martn Marieta Materials, Inc. and Regions Bank, as</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bottom w:val="single" w:sz="8" w:color="DAE8F0"/>
            </w:tcBorders>
            <w:shd w:val="clear" w:color="auto" w:fill="DAE8F0"/>
          </w:tcPr>
          <w:p>
            <w:pPr>
              <w:spacing w:after="0"/>
              <w:rPr>
                <w:sz w:val="17"/>
                <w:szCs w:val="17"/>
                <w:color w:val="auto"/>
              </w:rPr>
            </w:pPr>
          </w:p>
        </w:tc>
        <w:tc>
          <w:tcPr>
            <w:tcW w:w="1260" w:type="dxa"/>
            <w:vAlign w:val="bottom"/>
            <w:tcBorders>
              <w:bottom w:val="single" w:sz="8" w:color="DAE8F0"/>
              <w:right w:val="single" w:sz="8" w:color="91BBD3"/>
            </w:tcBorders>
            <w:shd w:val="clear" w:color="auto" w:fill="DAE8F0"/>
          </w:tcPr>
          <w:p>
            <w:pPr>
              <w:spacing w:after="0"/>
              <w:rPr>
                <w:sz w:val="17"/>
                <w:szCs w:val="17"/>
                <w:color w:val="auto"/>
              </w:rPr>
            </w:pPr>
          </w:p>
        </w:tc>
        <w:tc>
          <w:tcPr>
            <w:tcW w:w="8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right w:val="single" w:sz="8" w:color="DAE8F0"/>
            </w:tcBorders>
            <w:gridSpan w:val="11"/>
            <w:shd w:val="clear" w:color="auto" w:fill="DAE8F0"/>
          </w:tcPr>
          <w:p>
            <w:pPr>
              <w:spacing w:after="0" w:line="196" w:lineRule="exact"/>
              <w:rPr>
                <w:rFonts w:ascii="Calibri" w:cs="Calibri" w:eastAsia="Calibri" w:hAnsi="Calibri"/>
                <w:sz w:val="18"/>
                <w:szCs w:val="18"/>
                <w:color w:val="0563C1"/>
                <w:w w:val="96"/>
              </w:rPr>
            </w:pPr>
            <w:hyperlink r:id="rId728">
              <w:r>
                <w:rPr>
                  <w:rFonts w:ascii="Calibri" w:cs="Calibri" w:eastAsia="Calibri" w:hAnsi="Calibri"/>
                  <w:sz w:val="18"/>
                  <w:szCs w:val="18"/>
                  <w:color w:val="0563C1"/>
                  <w:w w:val="96"/>
                </w:rPr>
                <w:t xml:space="preserve">trustee, governing the Senior Notes issued by the Company on March 16, 2020, in the form of </w:t>
              </w:r>
              <w:r>
                <w:rPr>
                  <w:rFonts w:ascii="Calibri" w:cs="Calibri" w:eastAsia="Calibri" w:hAnsi="Calibri"/>
                  <w:sz w:val="18"/>
                  <w:szCs w:val="18"/>
                  <w:u w:val="single" w:color="auto"/>
                  <w:color w:val="0563C1"/>
                  <w:w w:val="96"/>
                </w:rPr>
                <w:t>$</w:t>
              </w:r>
              <w:r>
                <w:rPr>
                  <w:rFonts w:ascii="Calibri" w:cs="Calibri" w:eastAsia="Calibri" w:hAnsi="Calibri"/>
                  <w:sz w:val="18"/>
                  <w:szCs w:val="18"/>
                  <w:color w:val="0563C1"/>
                  <w:w w:val="96"/>
                </w:rPr>
                <w:t>500 million aggregate principal</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left w:val="single" w:sz="8" w:color="91BBD3"/>
            </w:tcBorders>
            <w:shd w:val="clear" w:color="auto" w:fill="DAE8F0"/>
          </w:tcPr>
          <w:p>
            <w:pPr>
              <w:spacing w:after="0"/>
              <w:rPr>
                <w:sz w:val="17"/>
                <w:szCs w:val="17"/>
                <w:color w:val="auto"/>
              </w:rPr>
            </w:pPr>
          </w:p>
        </w:tc>
        <w:tc>
          <w:tcPr>
            <w:tcW w:w="1260" w:type="dxa"/>
            <w:vAlign w:val="bottom"/>
            <w:tcBorders>
              <w:right w:val="single" w:sz="8" w:color="91BBD3"/>
            </w:tcBorders>
            <w:shd w:val="clear" w:color="auto" w:fill="DAE8F0"/>
          </w:tcPr>
          <w:p>
            <w:pPr>
              <w:spacing w:after="0"/>
              <w:rPr>
                <w:sz w:val="17"/>
                <w:szCs w:val="17"/>
                <w:color w:val="auto"/>
              </w:rPr>
            </w:pPr>
          </w:p>
        </w:tc>
        <w:tc>
          <w:tcPr>
            <w:tcW w:w="8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2"/>
            <w:shd w:val="clear" w:color="auto" w:fill="DAE8F0"/>
          </w:tcPr>
          <w:p>
            <w:pPr>
              <w:spacing w:after="0" w:line="196" w:lineRule="exact"/>
              <w:rPr>
                <w:rFonts w:ascii="Calibri" w:cs="Calibri" w:eastAsia="Calibri" w:hAnsi="Calibri"/>
                <w:sz w:val="18"/>
                <w:szCs w:val="18"/>
                <w:color w:val="0563C1"/>
              </w:rPr>
            </w:pPr>
            <w:hyperlink r:id="rId728">
              <w:r>
                <w:rPr>
                  <w:rFonts w:ascii="Calibri" w:cs="Calibri" w:eastAsia="Calibri" w:hAnsi="Calibri"/>
                  <w:sz w:val="18"/>
                  <w:szCs w:val="18"/>
                  <w:color w:val="0563C1"/>
                </w:rPr>
                <w:t>amount of 2.500% Senior Notes due 2030 (incorporated by reference to Exhibit 4.2 to the Martn Marieta Materials, Inc.</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40" w:type="dxa"/>
            <w:vAlign w:val="bottom"/>
            <w:tcBorders>
              <w:top w:val="single" w:sz="8" w:color="DAE8F0"/>
              <w:left w:val="single" w:sz="8" w:color="91BBD3"/>
            </w:tcBorders>
            <w:shd w:val="clear" w:color="auto" w:fill="DAE8F0"/>
          </w:tcPr>
          <w:p>
            <w:pPr>
              <w:spacing w:after="0"/>
              <w:rPr>
                <w:sz w:val="22"/>
                <w:szCs w:val="22"/>
                <w:color w:val="auto"/>
              </w:rPr>
            </w:pPr>
          </w:p>
        </w:tc>
        <w:tc>
          <w:tcPr>
            <w:tcW w:w="1260" w:type="dxa"/>
            <w:vAlign w:val="bottom"/>
            <w:tcBorders>
              <w:top w:val="single" w:sz="8" w:color="DAE8F0"/>
              <w:right w:val="single" w:sz="8" w:color="91BBD3"/>
            </w:tcBorders>
            <w:shd w:val="clear" w:color="auto" w:fill="DAE8F0"/>
          </w:tcPr>
          <w:p>
            <w:pPr>
              <w:spacing w:after="0"/>
              <w:rPr>
                <w:sz w:val="22"/>
                <w:szCs w:val="22"/>
                <w:color w:val="auto"/>
              </w:rPr>
            </w:pPr>
          </w:p>
        </w:tc>
        <w:tc>
          <w:tcPr>
            <w:tcW w:w="80" w:type="dxa"/>
            <w:vAlign w:val="bottom"/>
            <w:tcBorders>
              <w:top w:val="single" w:sz="8" w:color="DAE8F0"/>
            </w:tcBorders>
            <w:shd w:val="clear" w:color="auto" w:fill="DAE8F0"/>
          </w:tcPr>
          <w:p>
            <w:pPr>
              <w:spacing w:after="0"/>
              <w:rPr>
                <w:sz w:val="22"/>
                <w:szCs w:val="22"/>
                <w:color w:val="auto"/>
              </w:rPr>
            </w:pPr>
          </w:p>
        </w:tc>
        <w:tc>
          <w:tcPr>
            <w:tcW w:w="8980" w:type="dxa"/>
            <w:vAlign w:val="bottom"/>
            <w:tcBorders>
              <w:top w:val="single" w:sz="8" w:color="0563C1"/>
              <w:right w:val="single" w:sz="8" w:color="DAE8F0"/>
            </w:tcBorders>
            <w:gridSpan w:val="11"/>
            <w:shd w:val="clear" w:color="auto" w:fill="DAE8F0"/>
          </w:tcPr>
          <w:p>
            <w:pPr>
              <w:spacing w:after="0" w:line="196" w:lineRule="exact"/>
              <w:rPr>
                <w:rFonts w:ascii="Calibri" w:cs="Calibri" w:eastAsia="Calibri" w:hAnsi="Calibri"/>
                <w:sz w:val="18"/>
                <w:szCs w:val="18"/>
                <w:color w:val="0563C1"/>
              </w:rPr>
            </w:pPr>
            <w:hyperlink r:id="rId728">
              <w:r>
                <w:rPr>
                  <w:rFonts w:ascii="Calibri" w:cs="Calibri" w:eastAsia="Calibri" w:hAnsi="Calibri"/>
                  <w:sz w:val="18"/>
                  <w:szCs w:val="18"/>
                  <w:color w:val="0563C1"/>
                </w:rPr>
                <w:t>Current Report on Form 8-K, fled on March 16, 2020 (Commission File No. 1-12744))</w:t>
              </w:r>
            </w:hyperlink>
          </w:p>
        </w:tc>
        <w:tc>
          <w:tcPr>
            <w:tcW w:w="140" w:type="dxa"/>
            <w:vAlign w:val="bottom"/>
            <w:tcBorders>
              <w:top w:val="single" w:sz="8" w:color="DAE8F0"/>
              <w:left w:val="single" w:sz="8" w:color="DAE8F0"/>
              <w:right w:val="single" w:sz="8" w:color="91BBD3"/>
            </w:tcBorders>
            <w:shd w:val="clear" w:color="auto" w:fill="DAE8F0"/>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40" w:type="dxa"/>
            <w:vAlign w:val="bottom"/>
            <w:tcBorders>
              <w:top w:val="single" w:sz="8" w:color="91BBD3"/>
              <w:left w:val="single" w:sz="8" w:color="91BBD3"/>
            </w:tcBorders>
          </w:tcPr>
          <w:p>
            <w:pPr>
              <w:jc w:val="right"/>
              <w:spacing w:after="0" w:line="169" w:lineRule="exact"/>
              <w:rPr>
                <w:sz w:val="20"/>
                <w:szCs w:val="20"/>
                <w:color w:val="auto"/>
              </w:rPr>
            </w:pPr>
            <w:r>
              <w:rPr>
                <w:rFonts w:ascii="Calibri" w:cs="Calibri" w:eastAsia="Calibri" w:hAnsi="Calibri"/>
                <w:sz w:val="18"/>
                <w:szCs w:val="18"/>
                <w:b w:val="1"/>
                <w:bCs w:val="1"/>
                <w:color w:val="auto"/>
              </w:rPr>
              <w:t>4.18</w:t>
            </w:r>
          </w:p>
        </w:tc>
        <w:tc>
          <w:tcPr>
            <w:tcW w:w="1260" w:type="dxa"/>
            <w:vAlign w:val="bottom"/>
            <w:tcBorders>
              <w:top w:val="single" w:sz="8" w:color="91BBD3"/>
              <w:right w:val="single" w:sz="8" w:color="91BBD3"/>
            </w:tcBorders>
          </w:tcPr>
          <w:p>
            <w:pPr>
              <w:spacing w:after="0"/>
              <w:rPr>
                <w:sz w:val="14"/>
                <w:szCs w:val="14"/>
                <w:color w:val="auto"/>
              </w:rPr>
            </w:pPr>
          </w:p>
        </w:tc>
        <w:tc>
          <w:tcPr>
            <w:tcW w:w="80" w:type="dxa"/>
            <w:vAlign w:val="bottom"/>
            <w:tcBorders>
              <w:top w:val="single" w:sz="8" w:color="91BBD3"/>
            </w:tcBorders>
          </w:tcPr>
          <w:p>
            <w:pPr>
              <w:spacing w:after="0"/>
              <w:rPr>
                <w:sz w:val="14"/>
                <w:szCs w:val="14"/>
                <w:color w:val="auto"/>
              </w:rPr>
            </w:pPr>
          </w:p>
        </w:tc>
        <w:tc>
          <w:tcPr>
            <w:tcW w:w="6020" w:type="dxa"/>
            <w:vAlign w:val="bottom"/>
            <w:tcBorders>
              <w:top w:val="single" w:sz="8" w:color="0563C1"/>
            </w:tcBorders>
            <w:gridSpan w:val="8"/>
          </w:tcPr>
          <w:p>
            <w:pPr>
              <w:spacing w:after="0" w:line="169" w:lineRule="exact"/>
              <w:rPr>
                <w:rFonts w:ascii="Calibri" w:cs="Calibri" w:eastAsia="Calibri" w:hAnsi="Calibri"/>
                <w:sz w:val="18"/>
                <w:szCs w:val="18"/>
                <w:color w:val="0563C1"/>
              </w:rPr>
            </w:pPr>
            <w:hyperlink r:id="rId728">
              <w:r>
                <w:rPr>
                  <w:rFonts w:ascii="Calibri" w:cs="Calibri" w:eastAsia="Calibri" w:hAnsi="Calibri"/>
                  <w:sz w:val="18"/>
                  <w:szCs w:val="18"/>
                  <w:color w:val="0563C1"/>
                </w:rPr>
                <w:t>Form of 2.500% Senior Notes due 2030 (contained in Exhibit 4.17)</w:t>
              </w:r>
            </w:hyperlink>
          </w:p>
        </w:tc>
        <w:tc>
          <w:tcPr>
            <w:tcW w:w="3100" w:type="dxa"/>
            <w:vAlign w:val="bottom"/>
            <w:tcBorders>
              <w:top w:val="single" w:sz="8" w:color="91BBD3"/>
              <w:right w:val="single" w:sz="8" w:color="91BBD3"/>
            </w:tcBorders>
            <w:gridSpan w:val="4"/>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40" w:type="dxa"/>
            <w:vAlign w:val="bottom"/>
            <w:tcBorders>
              <w:left w:val="single" w:sz="8" w:color="91BBD3"/>
              <w:bottom w:val="single" w:sz="8" w:color="91BBD3"/>
            </w:tcBorders>
          </w:tcPr>
          <w:p>
            <w:pPr>
              <w:spacing w:after="0"/>
              <w:rPr>
                <w:sz w:val="5"/>
                <w:szCs w:val="5"/>
                <w:color w:val="auto"/>
              </w:rPr>
            </w:pPr>
          </w:p>
        </w:tc>
        <w:tc>
          <w:tcPr>
            <w:tcW w:w="1260" w:type="dxa"/>
            <w:vAlign w:val="bottom"/>
            <w:tcBorders>
              <w:bottom w:val="single" w:sz="8" w:color="91BBD3"/>
              <w:right w:val="single" w:sz="8" w:color="91BBD3"/>
            </w:tcBorders>
          </w:tcPr>
          <w:p>
            <w:pPr>
              <w:spacing w:after="0"/>
              <w:rPr>
                <w:sz w:val="5"/>
                <w:szCs w:val="5"/>
                <w:color w:val="auto"/>
              </w:rPr>
            </w:pPr>
          </w:p>
        </w:tc>
        <w:tc>
          <w:tcPr>
            <w:tcW w:w="80" w:type="dxa"/>
            <w:vAlign w:val="bottom"/>
            <w:tcBorders>
              <w:bottom w:val="single" w:sz="8" w:color="91BBD3"/>
            </w:tcBorders>
          </w:tcPr>
          <w:p>
            <w:pPr>
              <w:spacing w:after="0"/>
              <w:rPr>
                <w:sz w:val="5"/>
                <w:szCs w:val="5"/>
                <w:color w:val="auto"/>
              </w:rPr>
            </w:pPr>
          </w:p>
        </w:tc>
        <w:tc>
          <w:tcPr>
            <w:tcW w:w="540" w:type="dxa"/>
            <w:vAlign w:val="bottom"/>
            <w:tcBorders>
              <w:top w:val="single" w:sz="8" w:color="0563C1"/>
              <w:bottom w:val="single" w:sz="8" w:color="91BBD3"/>
            </w:tcBorders>
          </w:tcPr>
          <w:p>
            <w:pPr>
              <w:spacing w:after="0"/>
              <w:rPr>
                <w:sz w:val="5"/>
                <w:szCs w:val="5"/>
                <w:color w:val="auto"/>
              </w:rPr>
            </w:pPr>
          </w:p>
        </w:tc>
        <w:tc>
          <w:tcPr>
            <w:tcW w:w="440" w:type="dxa"/>
            <w:vAlign w:val="bottom"/>
            <w:tcBorders>
              <w:top w:val="single" w:sz="8" w:color="0563C1"/>
              <w:bottom w:val="single" w:sz="8" w:color="91BBD3"/>
            </w:tcBorders>
          </w:tcPr>
          <w:p>
            <w:pPr>
              <w:spacing w:after="0"/>
              <w:rPr>
                <w:sz w:val="5"/>
                <w:szCs w:val="5"/>
                <w:color w:val="auto"/>
              </w:rPr>
            </w:pPr>
          </w:p>
        </w:tc>
        <w:tc>
          <w:tcPr>
            <w:tcW w:w="1200" w:type="dxa"/>
            <w:vAlign w:val="bottom"/>
            <w:tcBorders>
              <w:top w:val="single" w:sz="8" w:color="0563C1"/>
              <w:bottom w:val="single" w:sz="8" w:color="91BBD3"/>
            </w:tcBorders>
          </w:tcPr>
          <w:p>
            <w:pPr>
              <w:spacing w:after="0"/>
              <w:rPr>
                <w:sz w:val="5"/>
                <w:szCs w:val="5"/>
                <w:color w:val="auto"/>
              </w:rPr>
            </w:pPr>
          </w:p>
        </w:tc>
        <w:tc>
          <w:tcPr>
            <w:tcW w:w="1060" w:type="dxa"/>
            <w:vAlign w:val="bottom"/>
            <w:tcBorders>
              <w:top w:val="single" w:sz="8" w:color="0563C1"/>
              <w:bottom w:val="single" w:sz="8" w:color="91BBD3"/>
            </w:tcBorders>
          </w:tcPr>
          <w:p>
            <w:pPr>
              <w:spacing w:after="0"/>
              <w:rPr>
                <w:sz w:val="5"/>
                <w:szCs w:val="5"/>
                <w:color w:val="auto"/>
              </w:rPr>
            </w:pPr>
          </w:p>
        </w:tc>
        <w:tc>
          <w:tcPr>
            <w:tcW w:w="1320" w:type="dxa"/>
            <w:vAlign w:val="bottom"/>
            <w:tcBorders>
              <w:top w:val="single" w:sz="8" w:color="0563C1"/>
              <w:bottom w:val="single" w:sz="8" w:color="91BBD3"/>
            </w:tcBorders>
          </w:tcPr>
          <w:p>
            <w:pPr>
              <w:spacing w:after="0"/>
              <w:rPr>
                <w:sz w:val="5"/>
                <w:szCs w:val="5"/>
                <w:color w:val="auto"/>
              </w:rPr>
            </w:pPr>
          </w:p>
        </w:tc>
        <w:tc>
          <w:tcPr>
            <w:tcW w:w="20" w:type="dxa"/>
            <w:vAlign w:val="bottom"/>
            <w:tcBorders>
              <w:top w:val="single" w:sz="8" w:color="0563C1"/>
              <w:bottom w:val="single" w:sz="8" w:color="91BBD3"/>
            </w:tcBorders>
          </w:tcPr>
          <w:p>
            <w:pPr>
              <w:spacing w:after="0"/>
              <w:rPr>
                <w:sz w:val="5"/>
                <w:szCs w:val="5"/>
                <w:color w:val="auto"/>
              </w:rPr>
            </w:pPr>
          </w:p>
        </w:tc>
        <w:tc>
          <w:tcPr>
            <w:tcW w:w="100" w:type="dxa"/>
            <w:vAlign w:val="bottom"/>
            <w:tcBorders>
              <w:top w:val="single" w:sz="8" w:color="0563C1"/>
              <w:bottom w:val="single" w:sz="8" w:color="91BBD3"/>
            </w:tcBorders>
          </w:tcPr>
          <w:p>
            <w:pPr>
              <w:spacing w:after="0"/>
              <w:rPr>
                <w:sz w:val="5"/>
                <w:szCs w:val="5"/>
                <w:color w:val="auto"/>
              </w:rPr>
            </w:pPr>
          </w:p>
        </w:tc>
        <w:tc>
          <w:tcPr>
            <w:tcW w:w="1340" w:type="dxa"/>
            <w:vAlign w:val="bottom"/>
            <w:tcBorders>
              <w:bottom w:val="single" w:sz="8" w:color="91BBD3"/>
            </w:tcBorders>
          </w:tcPr>
          <w:p>
            <w:pPr>
              <w:spacing w:after="0"/>
              <w:rPr>
                <w:sz w:val="5"/>
                <w:szCs w:val="5"/>
                <w:color w:val="auto"/>
              </w:rPr>
            </w:pPr>
          </w:p>
        </w:tc>
        <w:tc>
          <w:tcPr>
            <w:tcW w:w="2700" w:type="dxa"/>
            <w:vAlign w:val="bottom"/>
            <w:tcBorders>
              <w:bottom w:val="single" w:sz="8" w:color="91BBD3"/>
            </w:tcBorders>
          </w:tcPr>
          <w:p>
            <w:pPr>
              <w:spacing w:after="0"/>
              <w:rPr>
                <w:sz w:val="5"/>
                <w:szCs w:val="5"/>
                <w:color w:val="auto"/>
              </w:rPr>
            </w:pPr>
          </w:p>
        </w:tc>
        <w:tc>
          <w:tcPr>
            <w:tcW w:w="120" w:type="dxa"/>
            <w:vAlign w:val="bottom"/>
            <w:tcBorders>
              <w:bottom w:val="single" w:sz="8" w:color="91BBD3"/>
            </w:tcBorders>
          </w:tcPr>
          <w:p>
            <w:pPr>
              <w:spacing w:after="0"/>
              <w:rPr>
                <w:sz w:val="5"/>
                <w:szCs w:val="5"/>
                <w:color w:val="auto"/>
              </w:rPr>
            </w:pPr>
          </w:p>
        </w:tc>
        <w:tc>
          <w:tcPr>
            <w:tcW w:w="140" w:type="dxa"/>
            <w:vAlign w:val="bottom"/>
            <w:tcBorders>
              <w:bottom w:val="single" w:sz="8" w:color="91BBD3"/>
            </w:tcBorders>
          </w:tcPr>
          <w:p>
            <w:pPr>
              <w:spacing w:after="0"/>
              <w:rPr>
                <w:sz w:val="5"/>
                <w:szCs w:val="5"/>
                <w:color w:val="auto"/>
              </w:rPr>
            </w:pPr>
          </w:p>
        </w:tc>
        <w:tc>
          <w:tcPr>
            <w:tcW w:w="140" w:type="dxa"/>
            <w:vAlign w:val="bottom"/>
            <w:tcBorders>
              <w:bottom w:val="single" w:sz="8" w:color="91BBD3"/>
              <w:right w:val="single" w:sz="8" w:color="91BBD3"/>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91BBD3"/>
            </w:tcBorders>
            <w:shd w:val="clear" w:color="auto" w:fill="DAE8F0"/>
          </w:tcPr>
          <w:p>
            <w:pPr>
              <w:jc w:val="right"/>
              <w:spacing w:after="0" w:line="169" w:lineRule="exact"/>
              <w:rPr>
                <w:sz w:val="20"/>
                <w:szCs w:val="20"/>
                <w:color w:val="auto"/>
              </w:rPr>
            </w:pPr>
            <w:r>
              <w:rPr>
                <w:rFonts w:ascii="Calibri" w:cs="Calibri" w:eastAsia="Calibri" w:hAnsi="Calibri"/>
                <w:sz w:val="18"/>
                <w:szCs w:val="18"/>
                <w:b w:val="1"/>
                <w:bCs w:val="1"/>
                <w:color w:val="auto"/>
              </w:rPr>
              <w:t>4.19</w:t>
            </w:r>
          </w:p>
        </w:tc>
        <w:tc>
          <w:tcPr>
            <w:tcW w:w="1260" w:type="dxa"/>
            <w:vAlign w:val="bottom"/>
            <w:tcBorders>
              <w:right w:val="single" w:sz="8" w:color="91BBD3"/>
            </w:tcBorders>
            <w:shd w:val="clear" w:color="auto" w:fill="DAE8F0"/>
          </w:tcPr>
          <w:p>
            <w:pPr>
              <w:spacing w:after="0"/>
              <w:rPr>
                <w:sz w:val="14"/>
                <w:szCs w:val="14"/>
                <w:color w:val="auto"/>
              </w:rPr>
            </w:pPr>
          </w:p>
        </w:tc>
        <w:tc>
          <w:tcPr>
            <w:tcW w:w="8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2"/>
            <w:shd w:val="clear" w:color="auto" w:fill="DAE8F0"/>
          </w:tcPr>
          <w:p>
            <w:pPr>
              <w:spacing w:after="0" w:line="169" w:lineRule="exact"/>
              <w:rPr>
                <w:rFonts w:ascii="Calibri" w:cs="Calibri" w:eastAsia="Calibri" w:hAnsi="Calibri"/>
                <w:sz w:val="18"/>
                <w:szCs w:val="18"/>
                <w:color w:val="0563C1"/>
              </w:rPr>
            </w:pPr>
            <w:hyperlink r:id="rId729">
              <w:r>
                <w:rPr>
                  <w:rFonts w:ascii="Calibri" w:cs="Calibri" w:eastAsia="Calibri" w:hAnsi="Calibri"/>
                  <w:sz w:val="18"/>
                  <w:szCs w:val="18"/>
                  <w:color w:val="0563C1"/>
                </w:rPr>
                <w:t>Fourth Supplemental Indenture, dated as of July 2, 2021, between Martn Marieta Materials, Inc. and Regions Bank, as</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Borders>
              <w:left w:val="single" w:sz="8" w:color="91BBD3"/>
            </w:tcBorders>
            <w:shd w:val="clear" w:color="auto" w:fill="DAE8F0"/>
          </w:tcPr>
          <w:p>
            <w:pPr>
              <w:spacing w:after="0" w:line="20" w:lineRule="exact"/>
              <w:rPr>
                <w:sz w:val="1"/>
                <w:szCs w:val="1"/>
                <w:color w:val="auto"/>
              </w:rPr>
            </w:pPr>
          </w:p>
        </w:tc>
        <w:tc>
          <w:tcPr>
            <w:tcW w:w="1260" w:type="dxa"/>
            <w:vAlign w:val="bottom"/>
            <w:tcBorders>
              <w:right w:val="single" w:sz="8" w:color="91BBD3"/>
            </w:tcBorders>
            <w:shd w:val="clear" w:color="auto" w:fill="DAE8F0"/>
          </w:tcPr>
          <w:p>
            <w:pPr>
              <w:spacing w:after="0" w:line="20" w:lineRule="exact"/>
              <w:rPr>
                <w:sz w:val="1"/>
                <w:szCs w:val="1"/>
                <w:color w:val="auto"/>
              </w:rPr>
            </w:pPr>
          </w:p>
        </w:tc>
        <w:tc>
          <w:tcPr>
            <w:tcW w:w="80" w:type="dxa"/>
            <w:vAlign w:val="bottom"/>
            <w:shd w:val="clear" w:color="auto" w:fill="DAE8F0"/>
          </w:tcPr>
          <w:p>
            <w:pPr>
              <w:spacing w:after="0" w:line="20" w:lineRule="exact"/>
              <w:rPr>
                <w:sz w:val="1"/>
                <w:szCs w:val="1"/>
                <w:color w:val="auto"/>
              </w:rPr>
            </w:pPr>
          </w:p>
        </w:tc>
        <w:tc>
          <w:tcPr>
            <w:tcW w:w="2180" w:type="dxa"/>
            <w:vAlign w:val="bottom"/>
            <w:gridSpan w:val="3"/>
            <w:shd w:val="clear" w:color="auto" w:fill="0563C1"/>
          </w:tcPr>
          <w:p>
            <w:pPr>
              <w:spacing w:after="0" w:line="20" w:lineRule="exact"/>
              <w:rPr>
                <w:sz w:val="1"/>
                <w:szCs w:val="1"/>
                <w:color w:val="auto"/>
              </w:rPr>
            </w:pPr>
          </w:p>
        </w:tc>
        <w:tc>
          <w:tcPr>
            <w:tcW w:w="6800" w:type="dxa"/>
            <w:vAlign w:val="bottom"/>
            <w:tcBorders>
              <w:right w:val="single" w:sz="8" w:color="0563C1"/>
            </w:tcBorders>
            <w:gridSpan w:val="8"/>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Borders>
              <w:left w:val="single" w:sz="8" w:color="91BBD3"/>
            </w:tcBorders>
            <w:shd w:val="clear" w:color="auto" w:fill="DAE8F0"/>
          </w:tcPr>
          <w:p>
            <w:pPr>
              <w:spacing w:after="0"/>
              <w:rPr>
                <w:sz w:val="17"/>
                <w:szCs w:val="17"/>
                <w:color w:val="auto"/>
              </w:rPr>
            </w:pPr>
          </w:p>
        </w:tc>
        <w:tc>
          <w:tcPr>
            <w:tcW w:w="1260" w:type="dxa"/>
            <w:vAlign w:val="bottom"/>
            <w:tcBorders>
              <w:right w:val="single" w:sz="8" w:color="91BBD3"/>
            </w:tcBorders>
            <w:shd w:val="clear" w:color="auto" w:fill="DAE8F0"/>
          </w:tcPr>
          <w:p>
            <w:pPr>
              <w:spacing w:after="0"/>
              <w:rPr>
                <w:sz w:val="17"/>
                <w:szCs w:val="17"/>
                <w:color w:val="auto"/>
              </w:rPr>
            </w:pPr>
          </w:p>
        </w:tc>
        <w:tc>
          <w:tcPr>
            <w:tcW w:w="8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2"/>
            <w:shd w:val="clear" w:color="auto" w:fill="DAE8F0"/>
          </w:tcPr>
          <w:p>
            <w:pPr>
              <w:spacing w:after="0" w:line="196" w:lineRule="exact"/>
              <w:rPr>
                <w:rFonts w:ascii="Calibri" w:cs="Calibri" w:eastAsia="Calibri" w:hAnsi="Calibri"/>
                <w:sz w:val="18"/>
                <w:szCs w:val="18"/>
                <w:color w:val="0563C1"/>
              </w:rPr>
            </w:pPr>
            <w:hyperlink r:id="rId729">
              <w:r>
                <w:rPr>
                  <w:rFonts w:ascii="Calibri" w:cs="Calibri" w:eastAsia="Calibri" w:hAnsi="Calibri"/>
                  <w:sz w:val="18"/>
                  <w:szCs w:val="18"/>
                  <w:color w:val="0563C1"/>
                </w:rPr>
                <w:t>trustee (incorporated by reference to Exhibit 4.2 of the Company’s Current Report on Form 8-K, fled on July 2, 2021)</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40" w:type="dxa"/>
            <w:vAlign w:val="bottom"/>
            <w:tcBorders>
              <w:top w:val="single" w:sz="8" w:color="DAE8F0"/>
              <w:left w:val="single" w:sz="8" w:color="91BBD3"/>
              <w:bottom w:val="single" w:sz="8" w:color="91BBD3"/>
            </w:tcBorders>
            <w:shd w:val="clear" w:color="auto" w:fill="DAE8F0"/>
          </w:tcPr>
          <w:p>
            <w:pPr>
              <w:spacing w:after="0"/>
              <w:rPr>
                <w:sz w:val="22"/>
                <w:szCs w:val="22"/>
                <w:color w:val="auto"/>
              </w:rPr>
            </w:pPr>
          </w:p>
        </w:tc>
        <w:tc>
          <w:tcPr>
            <w:tcW w:w="1260" w:type="dxa"/>
            <w:vAlign w:val="bottom"/>
            <w:tcBorders>
              <w:top w:val="single" w:sz="8" w:color="DAE8F0"/>
              <w:bottom w:val="single" w:sz="8" w:color="91BBD3"/>
              <w:right w:val="single" w:sz="8" w:color="91BBD3"/>
            </w:tcBorders>
            <w:shd w:val="clear" w:color="auto" w:fill="DAE8F0"/>
          </w:tcPr>
          <w:p>
            <w:pPr>
              <w:spacing w:after="0"/>
              <w:rPr>
                <w:sz w:val="22"/>
                <w:szCs w:val="22"/>
                <w:color w:val="auto"/>
              </w:rPr>
            </w:pPr>
          </w:p>
        </w:tc>
        <w:tc>
          <w:tcPr>
            <w:tcW w:w="80" w:type="dxa"/>
            <w:vAlign w:val="bottom"/>
            <w:tcBorders>
              <w:top w:val="single" w:sz="8" w:color="DAE8F0"/>
              <w:bottom w:val="single" w:sz="8" w:color="91BBD3"/>
            </w:tcBorders>
            <w:shd w:val="clear" w:color="auto" w:fill="DAE8F0"/>
          </w:tcPr>
          <w:p>
            <w:pPr>
              <w:spacing w:after="0"/>
              <w:rPr>
                <w:sz w:val="22"/>
                <w:szCs w:val="22"/>
                <w:color w:val="auto"/>
              </w:rPr>
            </w:pPr>
          </w:p>
        </w:tc>
        <w:tc>
          <w:tcPr>
            <w:tcW w:w="2180" w:type="dxa"/>
            <w:vAlign w:val="bottom"/>
            <w:tcBorders>
              <w:top w:val="single" w:sz="8" w:color="0563C1"/>
              <w:bottom w:val="single" w:sz="8" w:color="0563C1"/>
            </w:tcBorders>
            <w:gridSpan w:val="3"/>
            <w:shd w:val="clear" w:color="auto" w:fill="DAE8F0"/>
          </w:tcPr>
          <w:p>
            <w:pPr>
              <w:spacing w:after="0" w:line="196" w:lineRule="exact"/>
              <w:rPr>
                <w:rFonts w:ascii="Calibri" w:cs="Calibri" w:eastAsia="Calibri" w:hAnsi="Calibri"/>
                <w:sz w:val="18"/>
                <w:szCs w:val="18"/>
                <w:color w:val="0563C1"/>
                <w:w w:val="96"/>
              </w:rPr>
            </w:pPr>
            <w:hyperlink r:id="rId729">
              <w:r>
                <w:rPr>
                  <w:rFonts w:ascii="Calibri" w:cs="Calibri" w:eastAsia="Calibri" w:hAnsi="Calibri"/>
                  <w:sz w:val="18"/>
                  <w:szCs w:val="18"/>
                  <w:color w:val="0563C1"/>
                  <w:w w:val="96"/>
                </w:rPr>
                <w:t>(Commission File No. 1-12744)</w:t>
              </w:r>
            </w:hyperlink>
          </w:p>
        </w:tc>
        <w:tc>
          <w:tcPr>
            <w:tcW w:w="6800" w:type="dxa"/>
            <w:vAlign w:val="bottom"/>
            <w:tcBorders>
              <w:top w:val="single" w:sz="8" w:color="0563C1"/>
              <w:bottom w:val="single" w:sz="8" w:color="91BBD3"/>
              <w:right w:val="single" w:sz="8" w:color="DAE8F0"/>
            </w:tcBorders>
            <w:gridSpan w:val="8"/>
            <w:shd w:val="clear" w:color="auto" w:fill="DAE8F0"/>
          </w:tcPr>
          <w:p>
            <w:pPr>
              <w:spacing w:after="0"/>
              <w:rPr>
                <w:sz w:val="22"/>
                <w:szCs w:val="22"/>
                <w:color w:val="auto"/>
              </w:rPr>
            </w:pPr>
          </w:p>
        </w:tc>
        <w:tc>
          <w:tcPr>
            <w:tcW w:w="140" w:type="dxa"/>
            <w:vAlign w:val="bottom"/>
            <w:tcBorders>
              <w:top w:val="single" w:sz="8" w:color="DAE8F0"/>
              <w:left w:val="single" w:sz="8" w:color="DAE8F0"/>
              <w:bottom w:val="single" w:sz="8" w:color="91BBD3"/>
              <w:right w:val="single" w:sz="8" w:color="91BBD3"/>
            </w:tcBorders>
            <w:shd w:val="clear" w:color="auto" w:fill="DAE8F0"/>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91BBD3"/>
            </w:tcBorders>
          </w:tcPr>
          <w:p>
            <w:pPr>
              <w:jc w:val="right"/>
              <w:spacing w:after="0" w:line="169" w:lineRule="exact"/>
              <w:rPr>
                <w:sz w:val="20"/>
                <w:szCs w:val="20"/>
                <w:color w:val="auto"/>
              </w:rPr>
            </w:pPr>
            <w:r>
              <w:rPr>
                <w:rFonts w:ascii="Calibri" w:cs="Calibri" w:eastAsia="Calibri" w:hAnsi="Calibri"/>
                <w:sz w:val="18"/>
                <w:szCs w:val="18"/>
                <w:b w:val="1"/>
                <w:bCs w:val="1"/>
                <w:color w:val="auto"/>
              </w:rPr>
              <w:t>4.20</w:t>
            </w:r>
          </w:p>
        </w:tc>
        <w:tc>
          <w:tcPr>
            <w:tcW w:w="1260" w:type="dxa"/>
            <w:vAlign w:val="bottom"/>
            <w:tcBorders>
              <w:right w:val="single" w:sz="8" w:color="91BBD3"/>
            </w:tcBorders>
          </w:tcPr>
          <w:p>
            <w:pPr>
              <w:spacing w:after="0"/>
              <w:rPr>
                <w:sz w:val="14"/>
                <w:szCs w:val="14"/>
                <w:color w:val="auto"/>
              </w:rPr>
            </w:pPr>
          </w:p>
        </w:tc>
        <w:tc>
          <w:tcPr>
            <w:tcW w:w="80" w:type="dxa"/>
            <w:vAlign w:val="bottom"/>
          </w:tcPr>
          <w:p>
            <w:pPr>
              <w:spacing w:after="0"/>
              <w:rPr>
                <w:sz w:val="14"/>
                <w:szCs w:val="14"/>
                <w:color w:val="auto"/>
              </w:rPr>
            </w:pPr>
          </w:p>
        </w:tc>
        <w:tc>
          <w:tcPr>
            <w:tcW w:w="9120" w:type="dxa"/>
            <w:vAlign w:val="bottom"/>
            <w:tcBorders>
              <w:right w:val="single" w:sz="8" w:color="91BBD3"/>
            </w:tcBorders>
            <w:gridSpan w:val="12"/>
          </w:tcPr>
          <w:p>
            <w:pPr>
              <w:spacing w:after="0" w:line="169" w:lineRule="exact"/>
              <w:rPr>
                <w:rFonts w:ascii="Calibri" w:cs="Calibri" w:eastAsia="Calibri" w:hAnsi="Calibri"/>
                <w:sz w:val="18"/>
                <w:szCs w:val="18"/>
                <w:color w:val="0563C1"/>
              </w:rPr>
            </w:pPr>
            <w:hyperlink r:id="rId729">
              <w:r>
                <w:rPr>
                  <w:rFonts w:ascii="Calibri" w:cs="Calibri" w:eastAsia="Calibri" w:hAnsi="Calibri"/>
                  <w:sz w:val="18"/>
                  <w:szCs w:val="18"/>
                  <w:color w:val="0563C1"/>
                </w:rPr>
                <w:t>Form of 2.400% Senior Notes due 2031 (contained in Exhibit 4.19)</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40" w:type="dxa"/>
            <w:vAlign w:val="bottom"/>
            <w:tcBorders>
              <w:left w:val="single" w:sz="8" w:color="91BBD3"/>
              <w:bottom w:val="single" w:sz="8" w:color="91BBD3"/>
            </w:tcBorders>
          </w:tcPr>
          <w:p>
            <w:pPr>
              <w:spacing w:after="0"/>
              <w:rPr>
                <w:sz w:val="5"/>
                <w:szCs w:val="5"/>
                <w:color w:val="auto"/>
              </w:rPr>
            </w:pPr>
          </w:p>
        </w:tc>
        <w:tc>
          <w:tcPr>
            <w:tcW w:w="1260" w:type="dxa"/>
            <w:vAlign w:val="bottom"/>
            <w:tcBorders>
              <w:bottom w:val="single" w:sz="8" w:color="91BBD3"/>
              <w:right w:val="single" w:sz="8" w:color="91BBD3"/>
            </w:tcBorders>
          </w:tcPr>
          <w:p>
            <w:pPr>
              <w:spacing w:after="0"/>
              <w:rPr>
                <w:sz w:val="5"/>
                <w:szCs w:val="5"/>
                <w:color w:val="auto"/>
              </w:rPr>
            </w:pPr>
          </w:p>
        </w:tc>
        <w:tc>
          <w:tcPr>
            <w:tcW w:w="80" w:type="dxa"/>
            <w:vAlign w:val="bottom"/>
            <w:tcBorders>
              <w:bottom w:val="single" w:sz="8" w:color="91BBD3"/>
            </w:tcBorders>
          </w:tcPr>
          <w:p>
            <w:pPr>
              <w:spacing w:after="0"/>
              <w:rPr>
                <w:sz w:val="5"/>
                <w:szCs w:val="5"/>
                <w:color w:val="auto"/>
              </w:rPr>
            </w:pPr>
          </w:p>
        </w:tc>
        <w:tc>
          <w:tcPr>
            <w:tcW w:w="540" w:type="dxa"/>
            <w:vAlign w:val="bottom"/>
            <w:tcBorders>
              <w:top w:val="single" w:sz="8" w:color="0563C1"/>
              <w:bottom w:val="single" w:sz="8" w:color="91BBD3"/>
            </w:tcBorders>
          </w:tcPr>
          <w:p>
            <w:pPr>
              <w:spacing w:after="0"/>
              <w:rPr>
                <w:sz w:val="5"/>
                <w:szCs w:val="5"/>
                <w:color w:val="auto"/>
              </w:rPr>
            </w:pPr>
          </w:p>
        </w:tc>
        <w:tc>
          <w:tcPr>
            <w:tcW w:w="440" w:type="dxa"/>
            <w:vAlign w:val="bottom"/>
            <w:tcBorders>
              <w:top w:val="single" w:sz="8" w:color="0563C1"/>
              <w:bottom w:val="single" w:sz="8" w:color="91BBD3"/>
            </w:tcBorders>
          </w:tcPr>
          <w:p>
            <w:pPr>
              <w:spacing w:after="0"/>
              <w:rPr>
                <w:sz w:val="5"/>
                <w:szCs w:val="5"/>
                <w:color w:val="auto"/>
              </w:rPr>
            </w:pPr>
          </w:p>
        </w:tc>
        <w:tc>
          <w:tcPr>
            <w:tcW w:w="1200" w:type="dxa"/>
            <w:vAlign w:val="bottom"/>
            <w:tcBorders>
              <w:top w:val="single" w:sz="8" w:color="0563C1"/>
              <w:bottom w:val="single" w:sz="8" w:color="91BBD3"/>
            </w:tcBorders>
          </w:tcPr>
          <w:p>
            <w:pPr>
              <w:spacing w:after="0"/>
              <w:rPr>
                <w:sz w:val="5"/>
                <w:szCs w:val="5"/>
                <w:color w:val="auto"/>
              </w:rPr>
            </w:pPr>
          </w:p>
        </w:tc>
        <w:tc>
          <w:tcPr>
            <w:tcW w:w="1060" w:type="dxa"/>
            <w:vAlign w:val="bottom"/>
            <w:tcBorders>
              <w:top w:val="single" w:sz="8" w:color="0563C1"/>
              <w:bottom w:val="single" w:sz="8" w:color="91BBD3"/>
            </w:tcBorders>
          </w:tcPr>
          <w:p>
            <w:pPr>
              <w:spacing w:after="0"/>
              <w:rPr>
                <w:sz w:val="5"/>
                <w:szCs w:val="5"/>
                <w:color w:val="auto"/>
              </w:rPr>
            </w:pPr>
          </w:p>
        </w:tc>
        <w:tc>
          <w:tcPr>
            <w:tcW w:w="1320" w:type="dxa"/>
            <w:vAlign w:val="bottom"/>
            <w:tcBorders>
              <w:top w:val="single" w:sz="8" w:color="0563C1"/>
              <w:bottom w:val="single" w:sz="8" w:color="91BBD3"/>
            </w:tcBorders>
          </w:tcPr>
          <w:p>
            <w:pPr>
              <w:spacing w:after="0"/>
              <w:rPr>
                <w:sz w:val="5"/>
                <w:szCs w:val="5"/>
                <w:color w:val="auto"/>
              </w:rPr>
            </w:pPr>
          </w:p>
        </w:tc>
        <w:tc>
          <w:tcPr>
            <w:tcW w:w="20" w:type="dxa"/>
            <w:vAlign w:val="bottom"/>
            <w:tcBorders>
              <w:top w:val="single" w:sz="8" w:color="0563C1"/>
              <w:bottom w:val="single" w:sz="8" w:color="91BBD3"/>
            </w:tcBorders>
          </w:tcPr>
          <w:p>
            <w:pPr>
              <w:spacing w:after="0"/>
              <w:rPr>
                <w:sz w:val="5"/>
                <w:szCs w:val="5"/>
                <w:color w:val="auto"/>
              </w:rPr>
            </w:pPr>
          </w:p>
        </w:tc>
        <w:tc>
          <w:tcPr>
            <w:tcW w:w="100" w:type="dxa"/>
            <w:vAlign w:val="bottom"/>
            <w:tcBorders>
              <w:top w:val="single" w:sz="8" w:color="0563C1"/>
              <w:bottom w:val="single" w:sz="8" w:color="91BBD3"/>
            </w:tcBorders>
          </w:tcPr>
          <w:p>
            <w:pPr>
              <w:spacing w:after="0"/>
              <w:rPr>
                <w:sz w:val="5"/>
                <w:szCs w:val="5"/>
                <w:color w:val="auto"/>
              </w:rPr>
            </w:pPr>
          </w:p>
        </w:tc>
        <w:tc>
          <w:tcPr>
            <w:tcW w:w="1340" w:type="dxa"/>
            <w:vAlign w:val="bottom"/>
            <w:tcBorders>
              <w:bottom w:val="single" w:sz="8" w:color="91BBD3"/>
            </w:tcBorders>
          </w:tcPr>
          <w:p>
            <w:pPr>
              <w:spacing w:after="0"/>
              <w:rPr>
                <w:sz w:val="5"/>
                <w:szCs w:val="5"/>
                <w:color w:val="auto"/>
              </w:rPr>
            </w:pPr>
          </w:p>
        </w:tc>
        <w:tc>
          <w:tcPr>
            <w:tcW w:w="2700" w:type="dxa"/>
            <w:vAlign w:val="bottom"/>
            <w:tcBorders>
              <w:bottom w:val="single" w:sz="8" w:color="91BBD3"/>
            </w:tcBorders>
          </w:tcPr>
          <w:p>
            <w:pPr>
              <w:spacing w:after="0"/>
              <w:rPr>
                <w:sz w:val="5"/>
                <w:szCs w:val="5"/>
                <w:color w:val="auto"/>
              </w:rPr>
            </w:pPr>
          </w:p>
        </w:tc>
        <w:tc>
          <w:tcPr>
            <w:tcW w:w="120" w:type="dxa"/>
            <w:vAlign w:val="bottom"/>
            <w:tcBorders>
              <w:bottom w:val="single" w:sz="8" w:color="91BBD3"/>
            </w:tcBorders>
          </w:tcPr>
          <w:p>
            <w:pPr>
              <w:spacing w:after="0"/>
              <w:rPr>
                <w:sz w:val="5"/>
                <w:szCs w:val="5"/>
                <w:color w:val="auto"/>
              </w:rPr>
            </w:pPr>
          </w:p>
        </w:tc>
        <w:tc>
          <w:tcPr>
            <w:tcW w:w="140" w:type="dxa"/>
            <w:vAlign w:val="bottom"/>
            <w:tcBorders>
              <w:bottom w:val="single" w:sz="8" w:color="91BBD3"/>
            </w:tcBorders>
          </w:tcPr>
          <w:p>
            <w:pPr>
              <w:spacing w:after="0"/>
              <w:rPr>
                <w:sz w:val="5"/>
                <w:szCs w:val="5"/>
                <w:color w:val="auto"/>
              </w:rPr>
            </w:pPr>
          </w:p>
        </w:tc>
        <w:tc>
          <w:tcPr>
            <w:tcW w:w="140" w:type="dxa"/>
            <w:vAlign w:val="bottom"/>
            <w:tcBorders>
              <w:bottom w:val="single" w:sz="8" w:color="91BBD3"/>
              <w:right w:val="single" w:sz="8" w:color="91BBD3"/>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40" w:type="dxa"/>
            <w:vAlign w:val="bottom"/>
            <w:tcBorders>
              <w:left w:val="single" w:sz="8" w:color="91BBD3"/>
            </w:tcBorders>
            <w:shd w:val="clear" w:color="auto" w:fill="DAE8F0"/>
          </w:tcPr>
          <w:p>
            <w:pPr>
              <w:jc w:val="right"/>
              <w:spacing w:after="0" w:line="169" w:lineRule="exact"/>
              <w:rPr>
                <w:sz w:val="20"/>
                <w:szCs w:val="20"/>
                <w:color w:val="auto"/>
              </w:rPr>
            </w:pPr>
            <w:r>
              <w:rPr>
                <w:rFonts w:ascii="Calibri" w:cs="Calibri" w:eastAsia="Calibri" w:hAnsi="Calibri"/>
                <w:sz w:val="18"/>
                <w:szCs w:val="18"/>
                <w:b w:val="1"/>
                <w:bCs w:val="1"/>
                <w:color w:val="auto"/>
              </w:rPr>
              <w:t>4.21</w:t>
            </w:r>
          </w:p>
        </w:tc>
        <w:tc>
          <w:tcPr>
            <w:tcW w:w="1260" w:type="dxa"/>
            <w:vAlign w:val="bottom"/>
            <w:tcBorders>
              <w:right w:val="single" w:sz="8" w:color="91BBD3"/>
            </w:tcBorders>
            <w:shd w:val="clear" w:color="auto" w:fill="DAE8F0"/>
          </w:tcPr>
          <w:p>
            <w:pPr>
              <w:spacing w:after="0"/>
              <w:rPr>
                <w:sz w:val="14"/>
                <w:szCs w:val="14"/>
                <w:color w:val="auto"/>
              </w:rPr>
            </w:pPr>
          </w:p>
        </w:tc>
        <w:tc>
          <w:tcPr>
            <w:tcW w:w="8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2"/>
            <w:shd w:val="clear" w:color="auto" w:fill="DAE8F0"/>
          </w:tcPr>
          <w:p>
            <w:pPr>
              <w:spacing w:after="0" w:line="169" w:lineRule="exact"/>
              <w:rPr>
                <w:rFonts w:ascii="Calibri" w:cs="Calibri" w:eastAsia="Calibri" w:hAnsi="Calibri"/>
                <w:sz w:val="18"/>
                <w:szCs w:val="18"/>
                <w:color w:val="0563C1"/>
              </w:rPr>
            </w:pPr>
            <w:hyperlink r:id="rId729">
              <w:r>
                <w:rPr>
                  <w:rFonts w:ascii="Calibri" w:cs="Calibri" w:eastAsia="Calibri" w:hAnsi="Calibri"/>
                  <w:sz w:val="18"/>
                  <w:szCs w:val="18"/>
                  <w:color w:val="0563C1"/>
                </w:rPr>
                <w:t>Form of 3.200% Senior Notes due 2051 (contained in Exhibit 4.19)</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40" w:type="dxa"/>
            <w:vAlign w:val="bottom"/>
            <w:tcBorders>
              <w:top w:val="single" w:sz="8" w:color="DAE8F0"/>
              <w:left w:val="single" w:sz="8" w:color="91BBD3"/>
              <w:bottom w:val="single" w:sz="8" w:color="91BBD3"/>
            </w:tcBorders>
            <w:shd w:val="clear" w:color="auto" w:fill="DAE8F0"/>
          </w:tcPr>
          <w:p>
            <w:pPr>
              <w:spacing w:after="0"/>
              <w:rPr>
                <w:sz w:val="5"/>
                <w:szCs w:val="5"/>
                <w:color w:val="auto"/>
              </w:rPr>
            </w:pPr>
          </w:p>
        </w:tc>
        <w:tc>
          <w:tcPr>
            <w:tcW w:w="1260" w:type="dxa"/>
            <w:vAlign w:val="bottom"/>
            <w:tcBorders>
              <w:top w:val="single" w:sz="8" w:color="DAE8F0"/>
              <w:bottom w:val="single" w:sz="8" w:color="91BBD3"/>
              <w:right w:val="single" w:sz="8" w:color="91BBD3"/>
            </w:tcBorders>
            <w:shd w:val="clear" w:color="auto" w:fill="DAE8F0"/>
          </w:tcPr>
          <w:p>
            <w:pPr>
              <w:spacing w:after="0"/>
              <w:rPr>
                <w:sz w:val="5"/>
                <w:szCs w:val="5"/>
                <w:color w:val="auto"/>
              </w:rPr>
            </w:pPr>
          </w:p>
        </w:tc>
        <w:tc>
          <w:tcPr>
            <w:tcW w:w="80" w:type="dxa"/>
            <w:vAlign w:val="bottom"/>
            <w:tcBorders>
              <w:top w:val="single" w:sz="8" w:color="DAE8F0"/>
              <w:bottom w:val="single" w:sz="8" w:color="91BBD3"/>
            </w:tcBorders>
            <w:shd w:val="clear" w:color="auto" w:fill="DAE8F0"/>
          </w:tcPr>
          <w:p>
            <w:pPr>
              <w:spacing w:after="0"/>
              <w:rPr>
                <w:sz w:val="5"/>
                <w:szCs w:val="5"/>
                <w:color w:val="auto"/>
              </w:rPr>
            </w:pPr>
          </w:p>
        </w:tc>
        <w:tc>
          <w:tcPr>
            <w:tcW w:w="540" w:type="dxa"/>
            <w:vAlign w:val="bottom"/>
            <w:tcBorders>
              <w:top w:val="single" w:sz="8" w:color="0563C1"/>
              <w:bottom w:val="single" w:sz="8" w:color="91BBD3"/>
            </w:tcBorders>
            <w:shd w:val="clear" w:color="auto" w:fill="DAE8F0"/>
          </w:tcPr>
          <w:p>
            <w:pPr>
              <w:spacing w:after="0"/>
              <w:rPr>
                <w:sz w:val="5"/>
                <w:szCs w:val="5"/>
                <w:color w:val="auto"/>
              </w:rPr>
            </w:pPr>
          </w:p>
        </w:tc>
        <w:tc>
          <w:tcPr>
            <w:tcW w:w="440" w:type="dxa"/>
            <w:vAlign w:val="bottom"/>
            <w:tcBorders>
              <w:top w:val="single" w:sz="8" w:color="0563C1"/>
              <w:bottom w:val="single" w:sz="8" w:color="91BBD3"/>
            </w:tcBorders>
            <w:shd w:val="clear" w:color="auto" w:fill="DAE8F0"/>
          </w:tcPr>
          <w:p>
            <w:pPr>
              <w:spacing w:after="0"/>
              <w:rPr>
                <w:sz w:val="5"/>
                <w:szCs w:val="5"/>
                <w:color w:val="auto"/>
              </w:rPr>
            </w:pPr>
          </w:p>
        </w:tc>
        <w:tc>
          <w:tcPr>
            <w:tcW w:w="1200" w:type="dxa"/>
            <w:vAlign w:val="bottom"/>
            <w:tcBorders>
              <w:top w:val="single" w:sz="8" w:color="0563C1"/>
              <w:bottom w:val="single" w:sz="8" w:color="91BBD3"/>
            </w:tcBorders>
            <w:shd w:val="clear" w:color="auto" w:fill="DAE8F0"/>
          </w:tcPr>
          <w:p>
            <w:pPr>
              <w:spacing w:after="0"/>
              <w:rPr>
                <w:sz w:val="5"/>
                <w:szCs w:val="5"/>
                <w:color w:val="auto"/>
              </w:rPr>
            </w:pPr>
          </w:p>
        </w:tc>
        <w:tc>
          <w:tcPr>
            <w:tcW w:w="1060" w:type="dxa"/>
            <w:vAlign w:val="bottom"/>
            <w:tcBorders>
              <w:top w:val="single" w:sz="8" w:color="0563C1"/>
              <w:bottom w:val="single" w:sz="8" w:color="91BBD3"/>
            </w:tcBorders>
            <w:shd w:val="clear" w:color="auto" w:fill="DAE8F0"/>
          </w:tcPr>
          <w:p>
            <w:pPr>
              <w:spacing w:after="0"/>
              <w:rPr>
                <w:sz w:val="5"/>
                <w:szCs w:val="5"/>
                <w:color w:val="auto"/>
              </w:rPr>
            </w:pPr>
          </w:p>
        </w:tc>
        <w:tc>
          <w:tcPr>
            <w:tcW w:w="1320" w:type="dxa"/>
            <w:vAlign w:val="bottom"/>
            <w:tcBorders>
              <w:top w:val="single" w:sz="8" w:color="0563C1"/>
              <w:bottom w:val="single" w:sz="8" w:color="91BBD3"/>
            </w:tcBorders>
            <w:shd w:val="clear" w:color="auto" w:fill="DAE8F0"/>
          </w:tcPr>
          <w:p>
            <w:pPr>
              <w:spacing w:after="0"/>
              <w:rPr>
                <w:sz w:val="5"/>
                <w:szCs w:val="5"/>
                <w:color w:val="auto"/>
              </w:rPr>
            </w:pPr>
          </w:p>
        </w:tc>
        <w:tc>
          <w:tcPr>
            <w:tcW w:w="20" w:type="dxa"/>
            <w:vAlign w:val="bottom"/>
            <w:tcBorders>
              <w:top w:val="single" w:sz="8" w:color="0563C1"/>
              <w:bottom w:val="single" w:sz="8" w:color="91BBD3"/>
            </w:tcBorders>
            <w:shd w:val="clear" w:color="auto" w:fill="DAE8F0"/>
          </w:tcPr>
          <w:p>
            <w:pPr>
              <w:spacing w:after="0"/>
              <w:rPr>
                <w:sz w:val="5"/>
                <w:szCs w:val="5"/>
                <w:color w:val="auto"/>
              </w:rPr>
            </w:pPr>
          </w:p>
        </w:tc>
        <w:tc>
          <w:tcPr>
            <w:tcW w:w="100" w:type="dxa"/>
            <w:vAlign w:val="bottom"/>
            <w:tcBorders>
              <w:top w:val="single" w:sz="8" w:color="0563C1"/>
              <w:bottom w:val="single" w:sz="8" w:color="91BBD3"/>
            </w:tcBorders>
            <w:shd w:val="clear" w:color="auto" w:fill="DAE8F0"/>
          </w:tcPr>
          <w:p>
            <w:pPr>
              <w:spacing w:after="0"/>
              <w:rPr>
                <w:sz w:val="5"/>
                <w:szCs w:val="5"/>
                <w:color w:val="auto"/>
              </w:rPr>
            </w:pPr>
          </w:p>
        </w:tc>
        <w:tc>
          <w:tcPr>
            <w:tcW w:w="1340" w:type="dxa"/>
            <w:vAlign w:val="bottom"/>
            <w:tcBorders>
              <w:top w:val="single" w:sz="8" w:color="DAE8F0"/>
              <w:bottom w:val="single" w:sz="8" w:color="91BBD3"/>
            </w:tcBorders>
            <w:shd w:val="clear" w:color="auto" w:fill="DAE8F0"/>
          </w:tcPr>
          <w:p>
            <w:pPr>
              <w:spacing w:after="0"/>
              <w:rPr>
                <w:sz w:val="5"/>
                <w:szCs w:val="5"/>
                <w:color w:val="auto"/>
              </w:rPr>
            </w:pPr>
          </w:p>
        </w:tc>
        <w:tc>
          <w:tcPr>
            <w:tcW w:w="2700" w:type="dxa"/>
            <w:vAlign w:val="bottom"/>
            <w:tcBorders>
              <w:top w:val="single" w:sz="8" w:color="DAE8F0"/>
              <w:bottom w:val="single" w:sz="8" w:color="91BBD3"/>
            </w:tcBorders>
            <w:shd w:val="clear" w:color="auto" w:fill="DAE8F0"/>
          </w:tcPr>
          <w:p>
            <w:pPr>
              <w:spacing w:after="0"/>
              <w:rPr>
                <w:sz w:val="5"/>
                <w:szCs w:val="5"/>
                <w:color w:val="auto"/>
              </w:rPr>
            </w:pPr>
          </w:p>
        </w:tc>
        <w:tc>
          <w:tcPr>
            <w:tcW w:w="120" w:type="dxa"/>
            <w:vAlign w:val="bottom"/>
            <w:tcBorders>
              <w:top w:val="single" w:sz="8" w:color="DAE8F0"/>
              <w:bottom w:val="single" w:sz="8" w:color="91BBD3"/>
            </w:tcBorders>
            <w:shd w:val="clear" w:color="auto" w:fill="DAE8F0"/>
          </w:tcPr>
          <w:p>
            <w:pPr>
              <w:spacing w:after="0"/>
              <w:rPr>
                <w:sz w:val="5"/>
                <w:szCs w:val="5"/>
                <w:color w:val="auto"/>
              </w:rPr>
            </w:pPr>
          </w:p>
        </w:tc>
        <w:tc>
          <w:tcPr>
            <w:tcW w:w="140" w:type="dxa"/>
            <w:vAlign w:val="bottom"/>
            <w:tcBorders>
              <w:top w:val="single" w:sz="8" w:color="DAE8F0"/>
              <w:bottom w:val="single" w:sz="8" w:color="91BBD3"/>
              <w:right w:val="single" w:sz="8" w:color="DAE8F0"/>
            </w:tcBorders>
            <w:shd w:val="clear" w:color="auto" w:fill="DAE8F0"/>
          </w:tcPr>
          <w:p>
            <w:pPr>
              <w:spacing w:after="0"/>
              <w:rPr>
                <w:sz w:val="5"/>
                <w:szCs w:val="5"/>
                <w:color w:val="auto"/>
              </w:rPr>
            </w:pPr>
          </w:p>
        </w:tc>
        <w:tc>
          <w:tcPr>
            <w:tcW w:w="140" w:type="dxa"/>
            <w:vAlign w:val="bottom"/>
            <w:tcBorders>
              <w:top w:val="single" w:sz="8" w:color="DAE8F0"/>
              <w:left w:val="single" w:sz="8" w:color="DAE8F0"/>
              <w:bottom w:val="single" w:sz="8" w:color="91BBD3"/>
              <w:right w:val="single" w:sz="8" w:color="91BBD3"/>
            </w:tcBorders>
            <w:shd w:val="clear" w:color="auto" w:fill="DAE8F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6764655</wp:posOffset>
            </wp:positionH>
            <wp:positionV relativeFrom="paragraph">
              <wp:posOffset>76835</wp:posOffset>
            </wp:positionV>
            <wp:extent cx="325755" cy="1968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0">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591820</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0"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308"/>
        </w:trPr>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760" w:type="dxa"/>
            <w:vAlign w:val="bottom"/>
            <w:gridSpan w:val="13"/>
          </w:tcPr>
          <w:p>
            <w:pPr>
              <w:ind w:left="240"/>
              <w:spacing w:after="0"/>
              <w:rPr>
                <w:sz w:val="20"/>
                <w:szCs w:val="20"/>
                <w:color w:val="auto"/>
              </w:rPr>
            </w:pPr>
            <w:r>
              <w:rPr>
                <w:rFonts w:ascii="Calibri" w:cs="Calibri" w:eastAsia="Calibri" w:hAnsi="Calibri"/>
                <w:sz w:val="18"/>
                <w:szCs w:val="18"/>
                <w:color w:val="auto"/>
                <w:w w:val="98"/>
              </w:rPr>
              <w:t xml:space="preserve">Part IV </w:t>
            </w:r>
            <w:r>
              <w:rPr>
                <w:rFonts w:ascii="Arial" w:cs="Arial" w:eastAsia="Arial" w:hAnsi="Arial"/>
                <w:sz w:val="23"/>
                <w:szCs w:val="23"/>
                <w:color w:val="0070C0"/>
                <w:w w:val="98"/>
              </w:rPr>
              <w:t>♦</w:t>
            </w:r>
            <w:r>
              <w:rPr>
                <w:rFonts w:ascii="Calibri" w:cs="Calibri" w:eastAsia="Calibri" w:hAnsi="Calibri"/>
                <w:sz w:val="18"/>
                <w:szCs w:val="18"/>
                <w:color w:val="auto"/>
                <w:w w:val="98"/>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200" w:type="dxa"/>
            <w:vAlign w:val="bottom"/>
          </w:tcPr>
          <w:p>
            <w:pPr>
              <w:spacing w:after="0"/>
              <w:rPr>
                <w:sz w:val="14"/>
                <w:szCs w:val="14"/>
                <w:color w:val="auto"/>
              </w:rPr>
            </w:pPr>
          </w:p>
        </w:tc>
        <w:tc>
          <w:tcPr>
            <w:tcW w:w="166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4520" w:type="dxa"/>
            <w:vAlign w:val="bottom"/>
            <w:tcBorders>
              <w:bottom w:val="single" w:sz="8" w:color="007DC6"/>
            </w:tcBorders>
          </w:tcPr>
          <w:p>
            <w:pPr>
              <w:spacing w:after="0"/>
              <w:rPr>
                <w:sz w:val="14"/>
                <w:szCs w:val="14"/>
                <w:color w:val="auto"/>
              </w:rPr>
            </w:pPr>
          </w:p>
        </w:tc>
        <w:tc>
          <w:tcPr>
            <w:tcW w:w="2380" w:type="dxa"/>
            <w:vAlign w:val="bottom"/>
            <w:tcBorders>
              <w:bottom w:val="single" w:sz="8" w:color="007DC6"/>
            </w:tcBorders>
          </w:tcPr>
          <w:p>
            <w:pPr>
              <w:spacing w:after="0"/>
              <w:rPr>
                <w:sz w:val="14"/>
                <w:szCs w:val="14"/>
                <w:color w:val="auto"/>
              </w:rPr>
            </w:pPr>
          </w:p>
        </w:tc>
        <w:tc>
          <w:tcPr>
            <w:tcW w:w="440" w:type="dxa"/>
            <w:vAlign w:val="bottom"/>
            <w:tcBorders>
              <w:bottom w:val="single" w:sz="8" w:color="007DC6"/>
            </w:tcBorders>
          </w:tcPr>
          <w:p>
            <w:pPr>
              <w:spacing w:after="0"/>
              <w:rPr>
                <w:sz w:val="14"/>
                <w:szCs w:val="14"/>
                <w:color w:val="auto"/>
              </w:rPr>
            </w:pPr>
          </w:p>
        </w:tc>
        <w:tc>
          <w:tcPr>
            <w:tcW w:w="180" w:type="dxa"/>
            <w:vAlign w:val="bottom"/>
            <w:tcBorders>
              <w:bottom w:val="single" w:sz="8" w:color="007DC6"/>
            </w:tcBorders>
          </w:tcPr>
          <w:p>
            <w:pPr>
              <w:spacing w:after="0"/>
              <w:rPr>
                <w:sz w:val="14"/>
                <w:szCs w:val="14"/>
                <w:color w:val="auto"/>
              </w:rPr>
            </w:pPr>
          </w:p>
        </w:tc>
        <w:tc>
          <w:tcPr>
            <w:tcW w:w="480" w:type="dxa"/>
            <w:vAlign w:val="bottom"/>
            <w:tcBorders>
              <w:bottom w:val="single" w:sz="8" w:color="007DC6"/>
            </w:tcBorders>
          </w:tcPr>
          <w:p>
            <w:pPr>
              <w:spacing w:after="0"/>
              <w:rPr>
                <w:sz w:val="14"/>
                <w:szCs w:val="14"/>
                <w:color w:val="auto"/>
              </w:rPr>
            </w:pPr>
          </w:p>
        </w:tc>
        <w:tc>
          <w:tcPr>
            <w:tcW w:w="80" w:type="dxa"/>
            <w:vAlign w:val="bottom"/>
            <w:tcBorders>
              <w:bottom w:val="single" w:sz="8" w:color="007DC6"/>
            </w:tcBorders>
          </w:tcPr>
          <w:p>
            <w:pPr>
              <w:spacing w:after="0"/>
              <w:rPr>
                <w:sz w:val="14"/>
                <w:szCs w:val="14"/>
                <w:color w:val="auto"/>
              </w:rPr>
            </w:pPr>
          </w:p>
        </w:tc>
        <w:tc>
          <w:tcPr>
            <w:tcW w:w="160" w:type="dxa"/>
            <w:vAlign w:val="bottom"/>
            <w:tcBorders>
              <w:bottom w:val="single" w:sz="8" w:color="007DC6"/>
            </w:tcBorders>
          </w:tcPr>
          <w:p>
            <w:pPr>
              <w:spacing w:after="0"/>
              <w:rPr>
                <w:sz w:val="14"/>
                <w:szCs w:val="14"/>
                <w:color w:val="auto"/>
              </w:rPr>
            </w:pPr>
          </w:p>
        </w:tc>
        <w:tc>
          <w:tcPr>
            <w:tcW w:w="560" w:type="dxa"/>
            <w:vAlign w:val="bottom"/>
            <w:tcBorders>
              <w:bottom w:val="single" w:sz="8" w:color="007DC6"/>
            </w:tcBorders>
          </w:tcPr>
          <w:p>
            <w:pPr>
              <w:spacing w:after="0"/>
              <w:rPr>
                <w:sz w:val="14"/>
                <w:szCs w:val="14"/>
                <w:color w:val="auto"/>
              </w:rPr>
            </w:pPr>
          </w:p>
        </w:tc>
        <w:tc>
          <w:tcPr>
            <w:tcW w:w="40" w:type="dxa"/>
            <w:vAlign w:val="bottom"/>
            <w:tcBorders>
              <w:bottom w:val="single" w:sz="8" w:color="007DC6"/>
            </w:tcBorders>
          </w:tcPr>
          <w:p>
            <w:pPr>
              <w:spacing w:after="0"/>
              <w:rPr>
                <w:sz w:val="14"/>
                <w:szCs w:val="14"/>
                <w:color w:val="auto"/>
              </w:rPr>
            </w:pPr>
          </w:p>
        </w:tc>
        <w:tc>
          <w:tcPr>
            <w:tcW w:w="14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20" w:type="dxa"/>
            <w:vAlign w:val="bottom"/>
            <w:tcBorders>
              <w:bottom w:val="single" w:sz="8" w:color="007DC6"/>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1"/>
        </w:trPr>
        <w:tc>
          <w:tcPr>
            <w:tcW w:w="200" w:type="dxa"/>
            <w:vAlign w:val="bottom"/>
            <w:tcBorders>
              <w:right w:val="single" w:sz="8" w:color="91BBD3"/>
            </w:tcBorders>
          </w:tcPr>
          <w:p>
            <w:pPr>
              <w:spacing w:after="0"/>
              <w:rPr>
                <w:sz w:val="24"/>
                <w:szCs w:val="24"/>
                <w:color w:val="auto"/>
              </w:rPr>
            </w:pPr>
          </w:p>
        </w:tc>
        <w:tc>
          <w:tcPr>
            <w:tcW w:w="1660" w:type="dxa"/>
            <w:vAlign w:val="bottom"/>
            <w:tcBorders>
              <w:bottom w:val="single" w:sz="8" w:color="007DC6"/>
              <w:right w:val="single" w:sz="8" w:color="91BBD3"/>
            </w:tcBorders>
            <w:shd w:val="clear" w:color="auto" w:fill="007DC6"/>
          </w:tcPr>
          <w:p>
            <w:pPr>
              <w:ind w:left="420"/>
              <w:spacing w:after="0"/>
              <w:rPr>
                <w:sz w:val="20"/>
                <w:szCs w:val="20"/>
                <w:color w:val="auto"/>
              </w:rPr>
            </w:pPr>
            <w:r>
              <w:rPr>
                <w:rFonts w:ascii="Calibri" w:cs="Calibri" w:eastAsia="Calibri" w:hAnsi="Calibri"/>
                <w:sz w:val="18"/>
                <w:szCs w:val="18"/>
                <w:b w:val="1"/>
                <w:bCs w:val="1"/>
                <w:color w:val="FFFFFF"/>
              </w:rPr>
              <w:t>Exhibit No.</w:t>
            </w:r>
          </w:p>
        </w:tc>
        <w:tc>
          <w:tcPr>
            <w:tcW w:w="100" w:type="dxa"/>
            <w:vAlign w:val="bottom"/>
            <w:tcBorders>
              <w:bottom w:val="single" w:sz="8" w:color="007DC6"/>
            </w:tcBorders>
            <w:shd w:val="clear" w:color="auto" w:fill="007DC6"/>
          </w:tcPr>
          <w:p>
            <w:pPr>
              <w:spacing w:after="0"/>
              <w:rPr>
                <w:sz w:val="24"/>
                <w:szCs w:val="24"/>
                <w:color w:val="auto"/>
              </w:rPr>
            </w:pPr>
          </w:p>
        </w:tc>
        <w:tc>
          <w:tcPr>
            <w:tcW w:w="4520" w:type="dxa"/>
            <w:vAlign w:val="bottom"/>
            <w:tcBorders>
              <w:bottom w:val="single" w:sz="8" w:color="007DC6"/>
            </w:tcBorders>
            <w:shd w:val="clear" w:color="auto" w:fill="007DC6"/>
          </w:tcPr>
          <w:p>
            <w:pPr>
              <w:spacing w:after="0"/>
              <w:rPr>
                <w:sz w:val="24"/>
                <w:szCs w:val="24"/>
                <w:color w:val="auto"/>
              </w:rPr>
            </w:pPr>
          </w:p>
        </w:tc>
        <w:tc>
          <w:tcPr>
            <w:tcW w:w="2380" w:type="dxa"/>
            <w:vAlign w:val="bottom"/>
            <w:tcBorders>
              <w:bottom w:val="single" w:sz="8" w:color="007DC6"/>
            </w:tcBorders>
            <w:shd w:val="clear" w:color="auto" w:fill="007DC6"/>
          </w:tcPr>
          <w:p>
            <w:pPr>
              <w:spacing w:after="0"/>
              <w:rPr>
                <w:sz w:val="24"/>
                <w:szCs w:val="24"/>
                <w:color w:val="auto"/>
              </w:rPr>
            </w:pPr>
          </w:p>
        </w:tc>
        <w:tc>
          <w:tcPr>
            <w:tcW w:w="440" w:type="dxa"/>
            <w:vAlign w:val="bottom"/>
            <w:tcBorders>
              <w:bottom w:val="single" w:sz="8" w:color="007DC6"/>
            </w:tcBorders>
            <w:shd w:val="clear" w:color="auto" w:fill="007DC6"/>
          </w:tcPr>
          <w:p>
            <w:pPr>
              <w:spacing w:after="0"/>
              <w:rPr>
                <w:sz w:val="24"/>
                <w:szCs w:val="24"/>
                <w:color w:val="auto"/>
              </w:rPr>
            </w:pPr>
          </w:p>
        </w:tc>
        <w:tc>
          <w:tcPr>
            <w:tcW w:w="180" w:type="dxa"/>
            <w:vAlign w:val="bottom"/>
            <w:tcBorders>
              <w:bottom w:val="single" w:sz="8" w:color="007DC6"/>
            </w:tcBorders>
            <w:shd w:val="clear" w:color="auto" w:fill="007DC6"/>
          </w:tcPr>
          <w:p>
            <w:pPr>
              <w:spacing w:after="0"/>
              <w:rPr>
                <w:sz w:val="24"/>
                <w:szCs w:val="24"/>
                <w:color w:val="auto"/>
              </w:rPr>
            </w:pPr>
          </w:p>
        </w:tc>
        <w:tc>
          <w:tcPr>
            <w:tcW w:w="480" w:type="dxa"/>
            <w:vAlign w:val="bottom"/>
            <w:tcBorders>
              <w:bottom w:val="single" w:sz="8" w:color="007DC6"/>
            </w:tcBorders>
            <w:shd w:val="clear" w:color="auto" w:fill="007DC6"/>
          </w:tcPr>
          <w:p>
            <w:pPr>
              <w:spacing w:after="0"/>
              <w:rPr>
                <w:sz w:val="24"/>
                <w:szCs w:val="24"/>
                <w:color w:val="auto"/>
              </w:rPr>
            </w:pPr>
          </w:p>
        </w:tc>
        <w:tc>
          <w:tcPr>
            <w:tcW w:w="80" w:type="dxa"/>
            <w:vAlign w:val="bottom"/>
            <w:tcBorders>
              <w:bottom w:val="single" w:sz="8" w:color="007DC6"/>
            </w:tcBorders>
            <w:shd w:val="clear" w:color="auto" w:fill="007DC6"/>
          </w:tcPr>
          <w:p>
            <w:pPr>
              <w:spacing w:after="0"/>
              <w:rPr>
                <w:sz w:val="24"/>
                <w:szCs w:val="24"/>
                <w:color w:val="auto"/>
              </w:rPr>
            </w:pPr>
          </w:p>
        </w:tc>
        <w:tc>
          <w:tcPr>
            <w:tcW w:w="160" w:type="dxa"/>
            <w:vAlign w:val="bottom"/>
            <w:tcBorders>
              <w:bottom w:val="single" w:sz="8" w:color="007DC6"/>
            </w:tcBorders>
            <w:shd w:val="clear" w:color="auto" w:fill="007DC6"/>
          </w:tcPr>
          <w:p>
            <w:pPr>
              <w:spacing w:after="0"/>
              <w:rPr>
                <w:sz w:val="24"/>
                <w:szCs w:val="24"/>
                <w:color w:val="auto"/>
              </w:rPr>
            </w:pPr>
          </w:p>
        </w:tc>
        <w:tc>
          <w:tcPr>
            <w:tcW w:w="560" w:type="dxa"/>
            <w:vAlign w:val="bottom"/>
            <w:tcBorders>
              <w:bottom w:val="single" w:sz="8" w:color="007DC6"/>
            </w:tcBorders>
            <w:shd w:val="clear" w:color="auto" w:fill="007DC6"/>
          </w:tcPr>
          <w:p>
            <w:pPr>
              <w:spacing w:after="0"/>
              <w:rPr>
                <w:sz w:val="24"/>
                <w:szCs w:val="24"/>
                <w:color w:val="auto"/>
              </w:rPr>
            </w:pPr>
          </w:p>
        </w:tc>
        <w:tc>
          <w:tcPr>
            <w:tcW w:w="40" w:type="dxa"/>
            <w:vAlign w:val="bottom"/>
            <w:tcBorders>
              <w:bottom w:val="single" w:sz="8" w:color="007DC6"/>
            </w:tcBorders>
            <w:shd w:val="clear" w:color="auto" w:fill="007DC6"/>
          </w:tcPr>
          <w:p>
            <w:pPr>
              <w:spacing w:after="0"/>
              <w:rPr>
                <w:sz w:val="24"/>
                <w:szCs w:val="24"/>
                <w:color w:val="auto"/>
              </w:rPr>
            </w:pPr>
          </w:p>
        </w:tc>
        <w:tc>
          <w:tcPr>
            <w:tcW w:w="140" w:type="dxa"/>
            <w:vAlign w:val="bottom"/>
            <w:tcBorders>
              <w:bottom w:val="single" w:sz="8" w:color="007DC6"/>
            </w:tcBorders>
            <w:shd w:val="clear" w:color="auto" w:fill="007DC6"/>
          </w:tcPr>
          <w:p>
            <w:pPr>
              <w:spacing w:after="0"/>
              <w:rPr>
                <w:sz w:val="24"/>
                <w:szCs w:val="24"/>
                <w:color w:val="auto"/>
              </w:rPr>
            </w:pPr>
          </w:p>
        </w:tc>
        <w:tc>
          <w:tcPr>
            <w:tcW w:w="20" w:type="dxa"/>
            <w:vAlign w:val="bottom"/>
            <w:tcBorders>
              <w:bottom w:val="single" w:sz="8" w:color="007DC6"/>
            </w:tcBorders>
            <w:shd w:val="clear" w:color="auto" w:fill="007DC6"/>
          </w:tcPr>
          <w:p>
            <w:pPr>
              <w:spacing w:after="0"/>
              <w:rPr>
                <w:sz w:val="24"/>
                <w:szCs w:val="24"/>
                <w:color w:val="auto"/>
              </w:rPr>
            </w:pPr>
          </w:p>
        </w:tc>
        <w:tc>
          <w:tcPr>
            <w:tcW w:w="20" w:type="dxa"/>
            <w:vAlign w:val="bottom"/>
            <w:tcBorders>
              <w:bottom w:val="single" w:sz="8" w:color="007DC6"/>
            </w:tcBorders>
            <w:shd w:val="clear" w:color="auto" w:fill="007DC6"/>
          </w:tcPr>
          <w:p>
            <w:pPr>
              <w:spacing w:after="0"/>
              <w:rPr>
                <w:sz w:val="24"/>
                <w:szCs w:val="24"/>
                <w:color w:val="auto"/>
              </w:rPr>
            </w:pPr>
          </w:p>
        </w:tc>
        <w:tc>
          <w:tcPr>
            <w:tcW w:w="100" w:type="dxa"/>
            <w:vAlign w:val="bottom"/>
            <w:tcBorders>
              <w:bottom w:val="single" w:sz="8" w:color="007DC6"/>
              <w:right w:val="single" w:sz="8" w:color="007DC6"/>
            </w:tcBorders>
            <w:shd w:val="clear" w:color="auto" w:fill="007DC6"/>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right w:val="single" w:sz="8" w:color="91BBD3"/>
            </w:tcBorders>
          </w:tcPr>
          <w:p>
            <w:pPr>
              <w:spacing w:after="0"/>
              <w:rPr>
                <w:sz w:val="12"/>
                <w:szCs w:val="12"/>
                <w:color w:val="auto"/>
              </w:rPr>
            </w:pPr>
          </w:p>
        </w:tc>
        <w:tc>
          <w:tcPr>
            <w:tcW w:w="1660" w:type="dxa"/>
            <w:vAlign w:val="bottom"/>
            <w:tcBorders>
              <w:top w:val="single" w:sz="8" w:color="91BBD3"/>
              <w:right w:val="single" w:sz="8" w:color="91BBD3"/>
            </w:tcBorders>
          </w:tcPr>
          <w:p>
            <w:pPr>
              <w:ind w:left="100"/>
              <w:spacing w:after="0" w:line="149" w:lineRule="exact"/>
              <w:rPr>
                <w:sz w:val="20"/>
                <w:szCs w:val="20"/>
                <w:color w:val="auto"/>
              </w:rPr>
            </w:pPr>
            <w:r>
              <w:rPr>
                <w:rFonts w:ascii="Calibri" w:cs="Calibri" w:eastAsia="Calibri" w:hAnsi="Calibri"/>
                <w:sz w:val="16"/>
                <w:szCs w:val="16"/>
                <w:b w:val="1"/>
                <w:bCs w:val="1"/>
                <w:color w:val="auto"/>
              </w:rPr>
              <w:t>4.22</w:t>
            </w:r>
          </w:p>
        </w:tc>
        <w:tc>
          <w:tcPr>
            <w:tcW w:w="100" w:type="dxa"/>
            <w:vAlign w:val="bottom"/>
            <w:tcBorders>
              <w:top w:val="single" w:sz="8" w:color="91BBD3"/>
            </w:tcBorders>
          </w:tcPr>
          <w:p>
            <w:pPr>
              <w:spacing w:after="0"/>
              <w:rPr>
                <w:sz w:val="12"/>
                <w:szCs w:val="12"/>
                <w:color w:val="auto"/>
              </w:rPr>
            </w:pPr>
          </w:p>
        </w:tc>
        <w:tc>
          <w:tcPr>
            <w:tcW w:w="9000" w:type="dxa"/>
            <w:vAlign w:val="bottom"/>
            <w:tcBorders>
              <w:top w:val="single" w:sz="8" w:color="91BBD3"/>
              <w:bottom w:val="single" w:sz="8" w:color="0563C1"/>
            </w:tcBorders>
            <w:gridSpan w:val="11"/>
          </w:tcPr>
          <w:p>
            <w:pPr>
              <w:spacing w:after="0" w:line="149" w:lineRule="exact"/>
              <w:rPr>
                <w:rFonts w:ascii="Calibri" w:cs="Calibri" w:eastAsia="Calibri" w:hAnsi="Calibri"/>
                <w:sz w:val="16"/>
                <w:szCs w:val="16"/>
                <w:color w:val="0563C1"/>
              </w:rPr>
            </w:pPr>
            <w:hyperlink r:id="rId732">
              <w:r>
                <w:rPr>
                  <w:rFonts w:ascii="Calibri" w:cs="Calibri" w:eastAsia="Calibri" w:hAnsi="Calibri"/>
                  <w:sz w:val="16"/>
                  <w:szCs w:val="16"/>
                  <w:color w:val="0563C1"/>
                </w:rPr>
                <w:t>Descripton of the Company’s Capital Stock (incorporated by reference to Exhibit 4.17 to the Martn Marieta Materials, Inc.</w:t>
              </w:r>
            </w:hyperlink>
          </w:p>
        </w:tc>
        <w:tc>
          <w:tcPr>
            <w:tcW w:w="120" w:type="dxa"/>
            <w:vAlign w:val="bottom"/>
            <w:tcBorders>
              <w:top w:val="single" w:sz="8" w:color="91BBD3"/>
              <w:right w:val="single" w:sz="8" w:color="91BBD3"/>
            </w:tcBorders>
            <w:gridSpan w:val="2"/>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3"/>
          </w:tcPr>
          <w:p>
            <w:pPr>
              <w:spacing w:after="0" w:line="196" w:lineRule="exact"/>
              <w:rPr>
                <w:rFonts w:ascii="Calibri" w:cs="Calibri" w:eastAsia="Calibri" w:hAnsi="Calibri"/>
                <w:sz w:val="18"/>
                <w:szCs w:val="18"/>
                <w:color w:val="0563C1"/>
              </w:rPr>
            </w:pPr>
            <w:hyperlink r:id="rId732">
              <w:r>
                <w:rPr>
                  <w:rFonts w:ascii="Calibri" w:cs="Calibri" w:eastAsia="Calibri" w:hAnsi="Calibri"/>
                  <w:sz w:val="18"/>
                  <w:szCs w:val="18"/>
                  <w:color w:val="0563C1"/>
                </w:rPr>
                <w:t>Current Report on Form 10-K for the fscal year ended December 31, 2019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4520" w:type="dxa"/>
            <w:vAlign w:val="bottom"/>
            <w:tcBorders>
              <w:top w:val="single" w:sz="8" w:color="0563C1"/>
              <w:bottom w:val="single" w:sz="8" w:color="91BBD3"/>
            </w:tcBorders>
          </w:tcPr>
          <w:p>
            <w:pPr>
              <w:spacing w:after="0"/>
              <w:rPr>
                <w:sz w:val="4"/>
                <w:szCs w:val="4"/>
                <w:color w:val="auto"/>
              </w:rPr>
            </w:pPr>
          </w:p>
        </w:tc>
        <w:tc>
          <w:tcPr>
            <w:tcW w:w="238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180" w:type="dxa"/>
            <w:vAlign w:val="bottom"/>
            <w:tcBorders>
              <w:top w:val="single" w:sz="8" w:color="0563C1"/>
              <w:bottom w:val="single" w:sz="8" w:color="91BBD3"/>
            </w:tcBorders>
          </w:tcPr>
          <w:p>
            <w:pPr>
              <w:spacing w:after="0"/>
              <w:rPr>
                <w:sz w:val="4"/>
                <w:szCs w:val="4"/>
                <w:color w:val="auto"/>
              </w:rPr>
            </w:pPr>
          </w:p>
        </w:tc>
        <w:tc>
          <w:tcPr>
            <w:tcW w:w="480" w:type="dxa"/>
            <w:vAlign w:val="bottom"/>
            <w:tcBorders>
              <w:bottom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160" w:type="dxa"/>
            <w:vAlign w:val="bottom"/>
            <w:tcBorders>
              <w:bottom w:val="single" w:sz="8" w:color="91BBD3"/>
            </w:tcBorders>
          </w:tcPr>
          <w:p>
            <w:pPr>
              <w:spacing w:after="0"/>
              <w:rPr>
                <w:sz w:val="4"/>
                <w:szCs w:val="4"/>
                <w:color w:val="auto"/>
              </w:rPr>
            </w:pPr>
          </w:p>
        </w:tc>
        <w:tc>
          <w:tcPr>
            <w:tcW w:w="560" w:type="dxa"/>
            <w:vAlign w:val="bottom"/>
            <w:tcBorders>
              <w:bottom w:val="single" w:sz="8" w:color="91BBD3"/>
            </w:tcBorders>
          </w:tcPr>
          <w:p>
            <w:pPr>
              <w:spacing w:after="0"/>
              <w:rPr>
                <w:sz w:val="4"/>
                <w:szCs w:val="4"/>
                <w:color w:val="auto"/>
              </w:rPr>
            </w:pPr>
          </w:p>
        </w:tc>
        <w:tc>
          <w:tcPr>
            <w:tcW w:w="4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bottom w:val="single" w:sz="8" w:color="DAE8F0"/>
              <w:right w:val="single" w:sz="8" w:color="91BBD3"/>
            </w:tcBorders>
            <w:shd w:val="clear" w:color="auto" w:fill="DAE8F0"/>
          </w:tcPr>
          <w:p>
            <w:pPr>
              <w:ind w:left="100"/>
              <w:spacing w:after="0" w:line="169" w:lineRule="exact"/>
              <w:rPr>
                <w:sz w:val="20"/>
                <w:szCs w:val="20"/>
                <w:color w:val="auto"/>
              </w:rPr>
            </w:pPr>
            <w:r>
              <w:rPr>
                <w:rFonts w:ascii="Calibri" w:cs="Calibri" w:eastAsia="Calibri" w:hAnsi="Calibri"/>
                <w:sz w:val="18"/>
                <w:szCs w:val="18"/>
                <w:b w:val="1"/>
                <w:bCs w:val="1"/>
                <w:color w:val="auto"/>
              </w:rPr>
              <w:t>10.01</w:t>
            </w:r>
          </w:p>
        </w:tc>
        <w:tc>
          <w:tcPr>
            <w:tcW w:w="100" w:type="dxa"/>
            <w:vAlign w:val="bottom"/>
            <w:tcBorders>
              <w:bottom w:val="single" w:sz="8" w:color="DAE8F0"/>
            </w:tcBorders>
            <w:shd w:val="clear" w:color="auto" w:fill="DAE8F0"/>
          </w:tcPr>
          <w:p>
            <w:pPr>
              <w:spacing w:after="0"/>
              <w:rPr>
                <w:sz w:val="14"/>
                <w:szCs w:val="14"/>
                <w:color w:val="auto"/>
              </w:rPr>
            </w:pPr>
          </w:p>
        </w:tc>
        <w:tc>
          <w:tcPr>
            <w:tcW w:w="9000" w:type="dxa"/>
            <w:vAlign w:val="bottom"/>
            <w:tcBorders>
              <w:bottom w:val="single" w:sz="8" w:color="0563C1"/>
            </w:tcBorders>
            <w:gridSpan w:val="11"/>
            <w:shd w:val="clear" w:color="auto" w:fill="DAE8F0"/>
          </w:tcPr>
          <w:p>
            <w:pPr>
              <w:spacing w:after="0" w:line="169" w:lineRule="exact"/>
              <w:rPr>
                <w:rFonts w:ascii="Calibri" w:cs="Calibri" w:eastAsia="Calibri" w:hAnsi="Calibri"/>
                <w:sz w:val="18"/>
                <w:szCs w:val="18"/>
                <w:color w:val="0563C1"/>
                <w:w w:val="98"/>
              </w:rPr>
            </w:pPr>
            <w:hyperlink r:id="rId733">
              <w:r>
                <w:rPr>
                  <w:rFonts w:ascii="Calibri" w:cs="Calibri" w:eastAsia="Calibri" w:hAnsi="Calibri"/>
                  <w:sz w:val="18"/>
                  <w:szCs w:val="18"/>
                  <w:u w:val="single" w:color="auto"/>
                  <w:color w:val="0563C1"/>
                  <w:w w:val="98"/>
                </w:rPr>
                <w:t>$</w:t>
              </w:r>
              <w:r>
                <w:rPr>
                  <w:rFonts w:ascii="Calibri" w:cs="Calibri" w:eastAsia="Calibri" w:hAnsi="Calibri"/>
                  <w:sz w:val="18"/>
                  <w:szCs w:val="18"/>
                  <w:color w:val="0563C1"/>
                  <w:w w:val="98"/>
                </w:rPr>
                <w:t>800,000,000 Credit Agreement dated as of December 21, 2021 among Martn Marieta Materials, Inc., JPMorgan Chase Bank,</w:t>
              </w:r>
            </w:hyperlink>
          </w:p>
        </w:tc>
        <w:tc>
          <w:tcPr>
            <w:tcW w:w="120" w:type="dxa"/>
            <w:vAlign w:val="bottom"/>
            <w:tcBorders>
              <w:bottom w:val="single" w:sz="8" w:color="DAE8F0"/>
              <w:right w:val="single" w:sz="8" w:color="91BBD3"/>
            </w:tcBorders>
            <w:gridSpan w:val="2"/>
            <w:shd w:val="clear" w:color="auto" w:fill="DAE8F0"/>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tcBorders>
            <w:gridSpan w:val="11"/>
            <w:shd w:val="clear" w:color="auto" w:fill="DAE8F0"/>
          </w:tcPr>
          <w:p>
            <w:pPr>
              <w:spacing w:after="0" w:line="196" w:lineRule="exact"/>
              <w:rPr>
                <w:rFonts w:ascii="Calibri" w:cs="Calibri" w:eastAsia="Calibri" w:hAnsi="Calibri"/>
                <w:sz w:val="18"/>
                <w:szCs w:val="18"/>
                <w:color w:val="0563C1"/>
                <w:w w:val="98"/>
              </w:rPr>
            </w:pPr>
            <w:hyperlink r:id="rId733">
              <w:r>
                <w:rPr>
                  <w:rFonts w:ascii="Calibri" w:cs="Calibri" w:eastAsia="Calibri" w:hAnsi="Calibri"/>
                  <w:sz w:val="18"/>
                  <w:szCs w:val="18"/>
                  <w:color w:val="0563C1"/>
                  <w:w w:val="98"/>
                </w:rPr>
                <w:t>N.A., as Administratve Agent, and Deutsche Bank AG New York Branch, PNC Bank, Natonal Associaton, Truist Bank, and Wells</w:t>
              </w:r>
            </w:hyperlink>
          </w:p>
        </w:tc>
        <w:tc>
          <w:tcPr>
            <w:tcW w:w="120" w:type="dxa"/>
            <w:vAlign w:val="bottom"/>
            <w:tcBorders>
              <w:bottom w:val="single" w:sz="8" w:color="DAE8F0"/>
              <w:right w:val="single" w:sz="8" w:color="91BBD3"/>
            </w:tcBorders>
            <w:gridSpan w:val="2"/>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tcBorders>
            <w:gridSpan w:val="11"/>
            <w:shd w:val="clear" w:color="auto" w:fill="DAE8F0"/>
          </w:tcPr>
          <w:p>
            <w:pPr>
              <w:spacing w:after="0" w:line="196" w:lineRule="exact"/>
              <w:rPr>
                <w:rFonts w:ascii="Calibri" w:cs="Calibri" w:eastAsia="Calibri" w:hAnsi="Calibri"/>
                <w:sz w:val="18"/>
                <w:szCs w:val="18"/>
                <w:color w:val="0563C1"/>
                <w:w w:val="99"/>
              </w:rPr>
            </w:pPr>
            <w:hyperlink r:id="rId733">
              <w:r>
                <w:rPr>
                  <w:rFonts w:ascii="Calibri" w:cs="Calibri" w:eastAsia="Calibri" w:hAnsi="Calibri"/>
                  <w:sz w:val="18"/>
                  <w:szCs w:val="18"/>
                  <w:color w:val="0563C1"/>
                  <w:w w:val="99"/>
                </w:rPr>
                <w:t>Fargo Bank, Natonal Associaton, as Co-Syndicaton Agents (incorporated by reference to Exhibit 10.01 to the Martn Marieta</w:t>
              </w:r>
            </w:hyperlink>
          </w:p>
        </w:tc>
        <w:tc>
          <w:tcPr>
            <w:tcW w:w="120" w:type="dxa"/>
            <w:vAlign w:val="bottom"/>
            <w:tcBorders>
              <w:bottom w:val="single" w:sz="8" w:color="DAE8F0"/>
              <w:right w:val="single" w:sz="8" w:color="91BBD3"/>
            </w:tcBorders>
            <w:gridSpan w:val="2"/>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0" w:type="dxa"/>
            <w:vAlign w:val="bottom"/>
            <w:tcBorders>
              <w:right w:val="single" w:sz="8" w:color="91BBD3"/>
            </w:tcBorders>
          </w:tcPr>
          <w:p>
            <w:pPr>
              <w:spacing w:after="0"/>
              <w:rPr>
                <w:sz w:val="21"/>
                <w:szCs w:val="21"/>
                <w:color w:val="auto"/>
              </w:rPr>
            </w:pPr>
          </w:p>
        </w:tc>
        <w:tc>
          <w:tcPr>
            <w:tcW w:w="1660" w:type="dxa"/>
            <w:vAlign w:val="bottom"/>
            <w:tcBorders>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3"/>
            <w:shd w:val="clear" w:color="auto" w:fill="DAE8F0"/>
          </w:tcPr>
          <w:p>
            <w:pPr>
              <w:spacing w:after="0" w:line="196" w:lineRule="exact"/>
              <w:rPr>
                <w:rFonts w:ascii="Calibri" w:cs="Calibri" w:eastAsia="Calibri" w:hAnsi="Calibri"/>
                <w:sz w:val="18"/>
                <w:szCs w:val="18"/>
                <w:color w:val="0563C1"/>
              </w:rPr>
            </w:pPr>
            <w:hyperlink r:id="rId733">
              <w:r>
                <w:rPr>
                  <w:rFonts w:ascii="Calibri" w:cs="Calibri" w:eastAsia="Calibri" w:hAnsi="Calibri"/>
                  <w:sz w:val="18"/>
                  <w:szCs w:val="18"/>
                  <w:color w:val="0563C1"/>
                </w:rPr>
                <w:t>Materials, Inc., Current Report on Form 8-K fled on December 27, 2021) (Commission File No. 1-12744)</w:t>
              </w:r>
            </w:hyperlink>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4520" w:type="dxa"/>
            <w:vAlign w:val="bottom"/>
            <w:tcBorders>
              <w:top w:val="single" w:sz="8" w:color="0563C1"/>
            </w:tcBorders>
            <w:shd w:val="clear" w:color="auto" w:fill="91BBD3"/>
          </w:tcPr>
          <w:p>
            <w:pPr>
              <w:spacing w:after="0" w:line="20" w:lineRule="exact"/>
              <w:rPr>
                <w:sz w:val="1"/>
                <w:szCs w:val="1"/>
                <w:color w:val="auto"/>
              </w:rPr>
            </w:pPr>
          </w:p>
        </w:tc>
        <w:tc>
          <w:tcPr>
            <w:tcW w:w="238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180" w:type="dxa"/>
            <w:vAlign w:val="bottom"/>
            <w:tcBorders>
              <w:top w:val="single" w:sz="8" w:color="DAE8F0"/>
            </w:tcBorders>
            <w:shd w:val="clear" w:color="auto" w:fill="91BBD3"/>
          </w:tcPr>
          <w:p>
            <w:pPr>
              <w:spacing w:after="0" w:line="20" w:lineRule="exact"/>
              <w:rPr>
                <w:sz w:val="1"/>
                <w:szCs w:val="1"/>
                <w:color w:val="auto"/>
              </w:rPr>
            </w:pPr>
          </w:p>
        </w:tc>
        <w:tc>
          <w:tcPr>
            <w:tcW w:w="480" w:type="dxa"/>
            <w:vAlign w:val="bottom"/>
            <w:tcBorders>
              <w:top w:val="single" w:sz="8" w:color="DAE8F0"/>
            </w:tcBorders>
            <w:shd w:val="clear" w:color="auto" w:fill="91BBD3"/>
          </w:tcPr>
          <w:p>
            <w:pPr>
              <w:spacing w:after="0" w:line="20" w:lineRule="exact"/>
              <w:rPr>
                <w:sz w:val="1"/>
                <w:szCs w:val="1"/>
                <w:color w:val="auto"/>
              </w:rPr>
            </w:pPr>
          </w:p>
        </w:tc>
        <w:tc>
          <w:tcPr>
            <w:tcW w:w="80" w:type="dxa"/>
            <w:vAlign w:val="bottom"/>
            <w:tcBorders>
              <w:top w:val="single" w:sz="8" w:color="DAE8F0"/>
            </w:tcBorders>
            <w:shd w:val="clear" w:color="auto" w:fill="91BBD3"/>
          </w:tcPr>
          <w:p>
            <w:pPr>
              <w:spacing w:after="0" w:line="20" w:lineRule="exact"/>
              <w:rPr>
                <w:sz w:val="1"/>
                <w:szCs w:val="1"/>
                <w:color w:val="auto"/>
              </w:rPr>
            </w:pPr>
          </w:p>
        </w:tc>
        <w:tc>
          <w:tcPr>
            <w:tcW w:w="160" w:type="dxa"/>
            <w:vAlign w:val="bottom"/>
            <w:tcBorders>
              <w:top w:val="single" w:sz="8" w:color="DAE8F0"/>
            </w:tcBorders>
            <w:shd w:val="clear" w:color="auto" w:fill="91BBD3"/>
          </w:tcPr>
          <w:p>
            <w:pPr>
              <w:spacing w:after="0" w:line="20" w:lineRule="exact"/>
              <w:rPr>
                <w:sz w:val="1"/>
                <w:szCs w:val="1"/>
                <w:color w:val="auto"/>
              </w:rPr>
            </w:pPr>
          </w:p>
        </w:tc>
        <w:tc>
          <w:tcPr>
            <w:tcW w:w="56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right w:val="single" w:sz="8" w:color="91BBD3"/>
            </w:tcBorders>
            <w:vMerge w:val="continue"/>
          </w:tcPr>
          <w:p>
            <w:pPr>
              <w:spacing w:after="0"/>
              <w:rPr>
                <w:sz w:val="14"/>
                <w:szCs w:val="14"/>
                <w:color w:val="auto"/>
              </w:rPr>
            </w:pPr>
          </w:p>
        </w:tc>
        <w:tc>
          <w:tcPr>
            <w:tcW w:w="1660" w:type="dxa"/>
            <w:vAlign w:val="bottom"/>
            <w:tcBorders>
              <w:right w:val="single" w:sz="8" w:color="91BBD3"/>
            </w:tcBorders>
          </w:tcPr>
          <w:p>
            <w:pPr>
              <w:ind w:left="100"/>
              <w:spacing w:after="0" w:line="169" w:lineRule="exact"/>
              <w:rPr>
                <w:sz w:val="20"/>
                <w:szCs w:val="20"/>
                <w:color w:val="auto"/>
              </w:rPr>
            </w:pPr>
            <w:r>
              <w:rPr>
                <w:rFonts w:ascii="Calibri" w:cs="Calibri" w:eastAsia="Calibri" w:hAnsi="Calibri"/>
                <w:sz w:val="18"/>
                <w:szCs w:val="18"/>
                <w:b w:val="1"/>
                <w:bCs w:val="1"/>
                <w:color w:val="auto"/>
              </w:rPr>
              <w:t>10.02</w:t>
            </w:r>
          </w:p>
        </w:tc>
        <w:tc>
          <w:tcPr>
            <w:tcW w:w="100" w:type="dxa"/>
            <w:vAlign w:val="bottom"/>
          </w:tcPr>
          <w:p>
            <w:pPr>
              <w:spacing w:after="0"/>
              <w:rPr>
                <w:sz w:val="14"/>
                <w:szCs w:val="14"/>
                <w:color w:val="auto"/>
              </w:rPr>
            </w:pPr>
          </w:p>
        </w:tc>
        <w:tc>
          <w:tcPr>
            <w:tcW w:w="9000" w:type="dxa"/>
            <w:vAlign w:val="bottom"/>
            <w:tcBorders>
              <w:bottom w:val="single" w:sz="8" w:color="0563C1"/>
            </w:tcBorders>
            <w:gridSpan w:val="11"/>
          </w:tcPr>
          <w:p>
            <w:pPr>
              <w:spacing w:after="0" w:line="169" w:lineRule="exact"/>
              <w:rPr>
                <w:rFonts w:ascii="Calibri" w:cs="Calibri" w:eastAsia="Calibri" w:hAnsi="Calibri"/>
                <w:sz w:val="18"/>
                <w:szCs w:val="18"/>
                <w:color w:val="0563C1"/>
                <w:w w:val="99"/>
              </w:rPr>
            </w:pPr>
            <w:hyperlink r:id="rId734">
              <w:r>
                <w:rPr>
                  <w:rFonts w:ascii="Calibri" w:cs="Calibri" w:eastAsia="Calibri" w:hAnsi="Calibri"/>
                  <w:sz w:val="18"/>
                  <w:szCs w:val="18"/>
                  <w:color w:val="0563C1"/>
                  <w:w w:val="99"/>
                </w:rPr>
                <w:t>Loan Modifcaton No. 1 and Extension Agreement dated as of December 22, 2022, among Martn Marieta Materials, Inc., the</w:t>
              </w:r>
            </w:hyperlink>
          </w:p>
        </w:tc>
        <w:tc>
          <w:tcPr>
            <w:tcW w:w="120" w:type="dxa"/>
            <w:vAlign w:val="bottom"/>
            <w:tcBorders>
              <w:right w:val="single" w:sz="8" w:color="91BBD3"/>
            </w:tcBorders>
            <w:gridSpan w:val="2"/>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1"/>
          </w:tcPr>
          <w:p>
            <w:pPr>
              <w:spacing w:after="0" w:line="196" w:lineRule="exact"/>
              <w:rPr>
                <w:rFonts w:ascii="Calibri" w:cs="Calibri" w:eastAsia="Calibri" w:hAnsi="Calibri"/>
                <w:sz w:val="18"/>
                <w:szCs w:val="18"/>
                <w:color w:val="0563C1"/>
                <w:w w:val="99"/>
              </w:rPr>
            </w:pPr>
            <w:hyperlink r:id="rId734">
              <w:r>
                <w:rPr>
                  <w:rFonts w:ascii="Calibri" w:cs="Calibri" w:eastAsia="Calibri" w:hAnsi="Calibri"/>
                  <w:sz w:val="18"/>
                  <w:szCs w:val="18"/>
                  <w:color w:val="0563C1"/>
                  <w:w w:val="99"/>
                </w:rPr>
                <w:t>Lenders party thereto and JPMorgan Chase Bank, N.A., as Administratve Agent (incorporated by reference to Exhibit 10.1 to</w:t>
              </w:r>
            </w:hyperlink>
          </w:p>
        </w:tc>
        <w:tc>
          <w:tcPr>
            <w:tcW w:w="120" w:type="dxa"/>
            <w:vAlign w:val="bottom"/>
            <w:tcBorders>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3"/>
          </w:tcPr>
          <w:p>
            <w:pPr>
              <w:spacing w:after="0" w:line="196" w:lineRule="exact"/>
              <w:rPr>
                <w:rFonts w:ascii="Calibri" w:cs="Calibri" w:eastAsia="Calibri" w:hAnsi="Calibri"/>
                <w:sz w:val="18"/>
                <w:szCs w:val="18"/>
                <w:color w:val="0563C1"/>
              </w:rPr>
            </w:pPr>
            <w:hyperlink r:id="rId734">
              <w:r>
                <w:rPr>
                  <w:rFonts w:ascii="Calibri" w:cs="Calibri" w:eastAsia="Calibri" w:hAnsi="Calibri"/>
                  <w:sz w:val="18"/>
                  <w:szCs w:val="18"/>
                  <w:color w:val="0563C1"/>
                </w:rPr>
                <w:t>the Martn Marieta Materials, Inc., Current Report on Form 8-K fled on December 22, 2022)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4520" w:type="dxa"/>
            <w:vAlign w:val="bottom"/>
            <w:tcBorders>
              <w:top w:val="single" w:sz="8" w:color="0000EE"/>
              <w:bottom w:val="single" w:sz="8" w:color="91BBD3"/>
            </w:tcBorders>
          </w:tcPr>
          <w:p>
            <w:pPr>
              <w:spacing w:after="0"/>
              <w:rPr>
                <w:sz w:val="4"/>
                <w:szCs w:val="4"/>
                <w:color w:val="auto"/>
              </w:rPr>
            </w:pPr>
          </w:p>
        </w:tc>
        <w:tc>
          <w:tcPr>
            <w:tcW w:w="2380" w:type="dxa"/>
            <w:vAlign w:val="bottom"/>
            <w:tcBorders>
              <w:top w:val="single" w:sz="8" w:color="0000EE"/>
              <w:bottom w:val="single" w:sz="8" w:color="91BBD3"/>
            </w:tcBorders>
          </w:tcPr>
          <w:p>
            <w:pPr>
              <w:spacing w:after="0"/>
              <w:rPr>
                <w:sz w:val="4"/>
                <w:szCs w:val="4"/>
                <w:color w:val="auto"/>
              </w:rPr>
            </w:pPr>
          </w:p>
        </w:tc>
        <w:tc>
          <w:tcPr>
            <w:tcW w:w="440" w:type="dxa"/>
            <w:vAlign w:val="bottom"/>
            <w:tcBorders>
              <w:top w:val="single" w:sz="8" w:color="0000EE"/>
              <w:bottom w:val="single" w:sz="8" w:color="91BBD3"/>
            </w:tcBorders>
          </w:tcPr>
          <w:p>
            <w:pPr>
              <w:spacing w:after="0"/>
              <w:rPr>
                <w:sz w:val="4"/>
                <w:szCs w:val="4"/>
                <w:color w:val="auto"/>
              </w:rPr>
            </w:pPr>
          </w:p>
        </w:tc>
        <w:tc>
          <w:tcPr>
            <w:tcW w:w="180" w:type="dxa"/>
            <w:vAlign w:val="bottom"/>
            <w:tcBorders>
              <w:top w:val="single" w:sz="8" w:color="0000EE"/>
              <w:bottom w:val="single" w:sz="8" w:color="91BBD3"/>
            </w:tcBorders>
          </w:tcPr>
          <w:p>
            <w:pPr>
              <w:spacing w:after="0"/>
              <w:rPr>
                <w:sz w:val="4"/>
                <w:szCs w:val="4"/>
                <w:color w:val="auto"/>
              </w:rPr>
            </w:pPr>
          </w:p>
        </w:tc>
        <w:tc>
          <w:tcPr>
            <w:tcW w:w="480" w:type="dxa"/>
            <w:vAlign w:val="bottom"/>
            <w:tcBorders>
              <w:top w:val="single" w:sz="8" w:color="0000EE"/>
              <w:bottom w:val="single" w:sz="8" w:color="91BBD3"/>
            </w:tcBorders>
          </w:tcPr>
          <w:p>
            <w:pPr>
              <w:spacing w:after="0"/>
              <w:rPr>
                <w:sz w:val="4"/>
                <w:szCs w:val="4"/>
                <w:color w:val="auto"/>
              </w:rPr>
            </w:pPr>
          </w:p>
        </w:tc>
        <w:tc>
          <w:tcPr>
            <w:tcW w:w="80" w:type="dxa"/>
            <w:vAlign w:val="bottom"/>
            <w:tcBorders>
              <w:top w:val="single" w:sz="8" w:color="0000EE"/>
              <w:bottom w:val="single" w:sz="8" w:color="91BBD3"/>
            </w:tcBorders>
          </w:tcPr>
          <w:p>
            <w:pPr>
              <w:spacing w:after="0"/>
              <w:rPr>
                <w:sz w:val="4"/>
                <w:szCs w:val="4"/>
                <w:color w:val="auto"/>
              </w:rPr>
            </w:pPr>
          </w:p>
        </w:tc>
        <w:tc>
          <w:tcPr>
            <w:tcW w:w="160" w:type="dxa"/>
            <w:vAlign w:val="bottom"/>
            <w:tcBorders>
              <w:top w:val="single" w:sz="8" w:color="0000EE"/>
              <w:bottom w:val="single" w:sz="8" w:color="91BBD3"/>
            </w:tcBorders>
          </w:tcPr>
          <w:p>
            <w:pPr>
              <w:spacing w:after="0"/>
              <w:rPr>
                <w:sz w:val="4"/>
                <w:szCs w:val="4"/>
                <w:color w:val="auto"/>
              </w:rPr>
            </w:pPr>
          </w:p>
        </w:tc>
        <w:tc>
          <w:tcPr>
            <w:tcW w:w="560" w:type="dxa"/>
            <w:vAlign w:val="bottom"/>
            <w:tcBorders>
              <w:top w:val="single" w:sz="8" w:color="0000EE"/>
              <w:bottom w:val="single" w:sz="8" w:color="91BBD3"/>
            </w:tcBorders>
          </w:tcPr>
          <w:p>
            <w:pPr>
              <w:spacing w:after="0"/>
              <w:rPr>
                <w:sz w:val="4"/>
                <w:szCs w:val="4"/>
                <w:color w:val="auto"/>
              </w:rPr>
            </w:pPr>
          </w:p>
        </w:tc>
        <w:tc>
          <w:tcPr>
            <w:tcW w:w="40" w:type="dxa"/>
            <w:vAlign w:val="bottom"/>
            <w:tcBorders>
              <w:top w:val="single" w:sz="8" w:color="0000EE"/>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bottom w:val="single" w:sz="8" w:color="DAE8F0"/>
              <w:right w:val="single" w:sz="8" w:color="91BBD3"/>
            </w:tcBorders>
            <w:shd w:val="clear" w:color="auto" w:fill="DAE8F0"/>
          </w:tcPr>
          <w:p>
            <w:pPr>
              <w:ind w:left="100"/>
              <w:spacing w:after="0" w:line="169" w:lineRule="exact"/>
              <w:rPr>
                <w:sz w:val="20"/>
                <w:szCs w:val="20"/>
                <w:color w:val="auto"/>
              </w:rPr>
            </w:pPr>
            <w:r>
              <w:rPr>
                <w:rFonts w:ascii="Calibri" w:cs="Calibri" w:eastAsia="Calibri" w:hAnsi="Calibri"/>
                <w:sz w:val="18"/>
                <w:szCs w:val="18"/>
                <w:b w:val="1"/>
                <w:bCs w:val="1"/>
                <w:color w:val="auto"/>
              </w:rPr>
              <w:t>10.03</w:t>
            </w:r>
          </w:p>
        </w:tc>
        <w:tc>
          <w:tcPr>
            <w:tcW w:w="100" w:type="dxa"/>
            <w:vAlign w:val="bottom"/>
            <w:tcBorders>
              <w:bottom w:val="single" w:sz="8" w:color="DAE8F0"/>
            </w:tcBorders>
            <w:shd w:val="clear" w:color="auto" w:fill="DAE8F0"/>
          </w:tcPr>
          <w:p>
            <w:pPr>
              <w:spacing w:after="0"/>
              <w:rPr>
                <w:sz w:val="14"/>
                <w:szCs w:val="14"/>
                <w:color w:val="auto"/>
              </w:rPr>
            </w:pPr>
          </w:p>
        </w:tc>
        <w:tc>
          <w:tcPr>
            <w:tcW w:w="9000" w:type="dxa"/>
            <w:vAlign w:val="bottom"/>
            <w:tcBorders>
              <w:bottom w:val="single" w:sz="8" w:color="0563C1"/>
            </w:tcBorders>
            <w:gridSpan w:val="11"/>
            <w:shd w:val="clear" w:color="auto" w:fill="DAE8F0"/>
          </w:tcPr>
          <w:p>
            <w:pPr>
              <w:spacing w:after="0" w:line="169" w:lineRule="exact"/>
              <w:rPr>
                <w:rFonts w:ascii="Calibri" w:cs="Calibri" w:eastAsia="Calibri" w:hAnsi="Calibri"/>
                <w:sz w:val="18"/>
                <w:szCs w:val="18"/>
                <w:color w:val="0563C1"/>
                <w:w w:val="99"/>
              </w:rPr>
            </w:pPr>
            <w:hyperlink r:id="rId735">
              <w:r>
                <w:rPr>
                  <w:rFonts w:ascii="Calibri" w:cs="Calibri" w:eastAsia="Calibri" w:hAnsi="Calibri"/>
                  <w:sz w:val="18"/>
                  <w:szCs w:val="18"/>
                  <w:color w:val="0563C1"/>
                  <w:w w:val="99"/>
                </w:rPr>
                <w:t>Loan Modifcaton No. 2 and Extension Agreement dated as of December 21, 2023 among the Corporaton, the Lenders party</w:t>
              </w:r>
            </w:hyperlink>
          </w:p>
        </w:tc>
        <w:tc>
          <w:tcPr>
            <w:tcW w:w="120" w:type="dxa"/>
            <w:vAlign w:val="bottom"/>
            <w:tcBorders>
              <w:bottom w:val="single" w:sz="8" w:color="DAE8F0"/>
              <w:right w:val="single" w:sz="8" w:color="91BBD3"/>
            </w:tcBorders>
            <w:gridSpan w:val="2"/>
            <w:shd w:val="clear" w:color="auto" w:fill="DAE8F0"/>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tcBorders>
            <w:gridSpan w:val="11"/>
            <w:shd w:val="clear" w:color="auto" w:fill="DAE8F0"/>
          </w:tcPr>
          <w:p>
            <w:pPr>
              <w:spacing w:after="0" w:line="196" w:lineRule="exact"/>
              <w:rPr>
                <w:rFonts w:ascii="Calibri" w:cs="Calibri" w:eastAsia="Calibri" w:hAnsi="Calibri"/>
                <w:sz w:val="18"/>
                <w:szCs w:val="18"/>
                <w:color w:val="0563C1"/>
              </w:rPr>
            </w:pPr>
            <w:hyperlink r:id="rId735">
              <w:r>
                <w:rPr>
                  <w:rFonts w:ascii="Calibri" w:cs="Calibri" w:eastAsia="Calibri" w:hAnsi="Calibri"/>
                  <w:sz w:val="18"/>
                  <w:szCs w:val="18"/>
                  <w:color w:val="0563C1"/>
                </w:rPr>
                <w:t>thereto and JPMorgan Chase Bank, N.A., as Administratve Agent (incorporated by reference to Exhibit 10.1 to the Martn</w:t>
              </w:r>
            </w:hyperlink>
          </w:p>
        </w:tc>
        <w:tc>
          <w:tcPr>
            <w:tcW w:w="120" w:type="dxa"/>
            <w:vAlign w:val="bottom"/>
            <w:tcBorders>
              <w:bottom w:val="single" w:sz="8" w:color="DAE8F0"/>
              <w:right w:val="single" w:sz="8" w:color="91BBD3"/>
            </w:tcBorders>
            <w:gridSpan w:val="2"/>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0" w:type="dxa"/>
            <w:vAlign w:val="bottom"/>
            <w:tcBorders>
              <w:right w:val="single" w:sz="8" w:color="91BBD3"/>
            </w:tcBorders>
          </w:tcPr>
          <w:p>
            <w:pPr>
              <w:spacing w:after="0"/>
              <w:rPr>
                <w:sz w:val="21"/>
                <w:szCs w:val="21"/>
                <w:color w:val="auto"/>
              </w:rPr>
            </w:pPr>
          </w:p>
        </w:tc>
        <w:tc>
          <w:tcPr>
            <w:tcW w:w="1660" w:type="dxa"/>
            <w:vAlign w:val="bottom"/>
            <w:tcBorders>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3"/>
            <w:shd w:val="clear" w:color="auto" w:fill="DAE8F0"/>
          </w:tcPr>
          <w:p>
            <w:pPr>
              <w:spacing w:after="0" w:line="196" w:lineRule="exact"/>
              <w:rPr>
                <w:rFonts w:ascii="Calibri" w:cs="Calibri" w:eastAsia="Calibri" w:hAnsi="Calibri"/>
                <w:sz w:val="18"/>
                <w:szCs w:val="18"/>
                <w:color w:val="0563C1"/>
              </w:rPr>
            </w:pPr>
            <w:hyperlink r:id="rId735">
              <w:r>
                <w:rPr>
                  <w:rFonts w:ascii="Calibri" w:cs="Calibri" w:eastAsia="Calibri" w:hAnsi="Calibri"/>
                  <w:sz w:val="18"/>
                  <w:szCs w:val="18"/>
                  <w:color w:val="0563C1"/>
                </w:rPr>
                <w:t>Marieta Materials, Inc., Current Report on Form 8-K fled on December 21, 2023) (Commission File No. 1-12744)</w:t>
              </w:r>
            </w:hyperlink>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4520" w:type="dxa"/>
            <w:vAlign w:val="bottom"/>
            <w:tcBorders>
              <w:top w:val="single" w:sz="8" w:color="0563C1"/>
            </w:tcBorders>
            <w:shd w:val="clear" w:color="auto" w:fill="91BBD3"/>
          </w:tcPr>
          <w:p>
            <w:pPr>
              <w:spacing w:after="0" w:line="20" w:lineRule="exact"/>
              <w:rPr>
                <w:sz w:val="1"/>
                <w:szCs w:val="1"/>
                <w:color w:val="auto"/>
              </w:rPr>
            </w:pPr>
          </w:p>
        </w:tc>
        <w:tc>
          <w:tcPr>
            <w:tcW w:w="238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180" w:type="dxa"/>
            <w:vAlign w:val="bottom"/>
            <w:tcBorders>
              <w:top w:val="single" w:sz="8" w:color="0563C1"/>
            </w:tcBorders>
            <w:shd w:val="clear" w:color="auto" w:fill="91BBD3"/>
          </w:tcPr>
          <w:p>
            <w:pPr>
              <w:spacing w:after="0" w:line="20" w:lineRule="exact"/>
              <w:rPr>
                <w:sz w:val="1"/>
                <w:szCs w:val="1"/>
                <w:color w:val="auto"/>
              </w:rPr>
            </w:pPr>
          </w:p>
        </w:tc>
        <w:tc>
          <w:tcPr>
            <w:tcW w:w="480" w:type="dxa"/>
            <w:vAlign w:val="bottom"/>
            <w:tcBorders>
              <w:top w:val="single" w:sz="8" w:color="0563C1"/>
            </w:tcBorders>
            <w:shd w:val="clear" w:color="auto" w:fill="91BBD3"/>
          </w:tcPr>
          <w:p>
            <w:pPr>
              <w:spacing w:after="0" w:line="20" w:lineRule="exact"/>
              <w:rPr>
                <w:sz w:val="1"/>
                <w:szCs w:val="1"/>
                <w:color w:val="auto"/>
              </w:rPr>
            </w:pPr>
          </w:p>
        </w:tc>
        <w:tc>
          <w:tcPr>
            <w:tcW w:w="80" w:type="dxa"/>
            <w:vAlign w:val="bottom"/>
            <w:tcBorders>
              <w:top w:val="single" w:sz="8" w:color="DAE8F0"/>
            </w:tcBorders>
            <w:shd w:val="clear" w:color="auto" w:fill="91BBD3"/>
          </w:tcPr>
          <w:p>
            <w:pPr>
              <w:spacing w:after="0" w:line="20" w:lineRule="exact"/>
              <w:rPr>
                <w:sz w:val="1"/>
                <w:szCs w:val="1"/>
                <w:color w:val="auto"/>
              </w:rPr>
            </w:pPr>
          </w:p>
        </w:tc>
        <w:tc>
          <w:tcPr>
            <w:tcW w:w="160" w:type="dxa"/>
            <w:vAlign w:val="bottom"/>
            <w:tcBorders>
              <w:top w:val="single" w:sz="8" w:color="DAE8F0"/>
            </w:tcBorders>
            <w:shd w:val="clear" w:color="auto" w:fill="91BBD3"/>
          </w:tcPr>
          <w:p>
            <w:pPr>
              <w:spacing w:after="0" w:line="20" w:lineRule="exact"/>
              <w:rPr>
                <w:sz w:val="1"/>
                <w:szCs w:val="1"/>
                <w:color w:val="auto"/>
              </w:rPr>
            </w:pPr>
          </w:p>
        </w:tc>
        <w:tc>
          <w:tcPr>
            <w:tcW w:w="56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right w:val="single" w:sz="8" w:color="91BBD3"/>
            </w:tcBorders>
            <w:vMerge w:val="continue"/>
          </w:tcPr>
          <w:p>
            <w:pPr>
              <w:spacing w:after="0"/>
              <w:rPr>
                <w:sz w:val="14"/>
                <w:szCs w:val="14"/>
                <w:color w:val="auto"/>
              </w:rPr>
            </w:pPr>
          </w:p>
        </w:tc>
        <w:tc>
          <w:tcPr>
            <w:tcW w:w="1660" w:type="dxa"/>
            <w:vAlign w:val="bottom"/>
            <w:tcBorders>
              <w:right w:val="single" w:sz="8" w:color="91BBD3"/>
            </w:tcBorders>
          </w:tcPr>
          <w:p>
            <w:pPr>
              <w:ind w:left="100"/>
              <w:spacing w:after="0" w:line="169" w:lineRule="exact"/>
              <w:rPr>
                <w:sz w:val="20"/>
                <w:szCs w:val="20"/>
                <w:color w:val="auto"/>
              </w:rPr>
            </w:pPr>
            <w:r>
              <w:rPr>
                <w:rFonts w:ascii="Calibri" w:cs="Calibri" w:eastAsia="Calibri" w:hAnsi="Calibri"/>
                <w:sz w:val="18"/>
                <w:szCs w:val="18"/>
                <w:b w:val="1"/>
                <w:bCs w:val="1"/>
                <w:color w:val="auto"/>
              </w:rPr>
              <w:t>10.04</w:t>
            </w:r>
          </w:p>
        </w:tc>
        <w:tc>
          <w:tcPr>
            <w:tcW w:w="100" w:type="dxa"/>
            <w:vAlign w:val="bottom"/>
          </w:tcPr>
          <w:p>
            <w:pPr>
              <w:spacing w:after="0"/>
              <w:rPr>
                <w:sz w:val="14"/>
                <w:szCs w:val="14"/>
                <w:color w:val="auto"/>
              </w:rPr>
            </w:pPr>
          </w:p>
        </w:tc>
        <w:tc>
          <w:tcPr>
            <w:tcW w:w="9000" w:type="dxa"/>
            <w:vAlign w:val="bottom"/>
            <w:tcBorders>
              <w:bottom w:val="single" w:sz="8" w:color="0563C1"/>
            </w:tcBorders>
            <w:gridSpan w:val="11"/>
          </w:tcPr>
          <w:p>
            <w:pPr>
              <w:spacing w:after="0" w:line="169" w:lineRule="exact"/>
              <w:rPr>
                <w:rFonts w:ascii="Calibri" w:cs="Calibri" w:eastAsia="Calibri" w:hAnsi="Calibri"/>
                <w:sz w:val="18"/>
                <w:szCs w:val="18"/>
                <w:color w:val="0563C1"/>
              </w:rPr>
            </w:pPr>
            <w:hyperlink r:id="rId736">
              <w:r>
                <w:rPr>
                  <w:rFonts w:ascii="Calibri" w:cs="Calibri" w:eastAsia="Calibri" w:hAnsi="Calibri"/>
                  <w:sz w:val="18"/>
                  <w:szCs w:val="18"/>
                  <w:color w:val="0563C1"/>
                </w:rPr>
                <w:t>Credit and Security Agreement dated as of April 19, 2013, among Martn Marieta Funding LLC, as borrower, Martn Marieta</w:t>
              </w:r>
            </w:hyperlink>
          </w:p>
        </w:tc>
        <w:tc>
          <w:tcPr>
            <w:tcW w:w="120" w:type="dxa"/>
            <w:vAlign w:val="bottom"/>
            <w:tcBorders>
              <w:right w:val="single" w:sz="8" w:color="91BBD3"/>
            </w:tcBorders>
            <w:gridSpan w:val="2"/>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1"/>
          </w:tcPr>
          <w:p>
            <w:pPr>
              <w:spacing w:after="0" w:line="196" w:lineRule="exact"/>
              <w:rPr>
                <w:rFonts w:ascii="Calibri" w:cs="Calibri" w:eastAsia="Calibri" w:hAnsi="Calibri"/>
                <w:sz w:val="18"/>
                <w:szCs w:val="18"/>
                <w:color w:val="0563C1"/>
              </w:rPr>
            </w:pPr>
            <w:hyperlink r:id="rId736">
              <w:r>
                <w:rPr>
                  <w:rFonts w:ascii="Calibri" w:cs="Calibri" w:eastAsia="Calibri" w:hAnsi="Calibri"/>
                  <w:sz w:val="18"/>
                  <w:szCs w:val="18"/>
                  <w:color w:val="0563C1"/>
                </w:rPr>
                <w:t>Materials, Inc., as servicer, and Truist Bank, as lender, together with the other lenders from tme to tme party thereto, and</w:t>
              </w:r>
            </w:hyperlink>
          </w:p>
        </w:tc>
        <w:tc>
          <w:tcPr>
            <w:tcW w:w="120" w:type="dxa"/>
            <w:vAlign w:val="bottom"/>
            <w:tcBorders>
              <w:bottom w:val="single" w:sz="8" w:color="0000EE"/>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tcBorders>
              <w:bottom w:val="single" w:sz="8" w:color="0563C1"/>
            </w:tcBorders>
            <w:gridSpan w:val="12"/>
          </w:tcPr>
          <w:p>
            <w:pPr>
              <w:spacing w:after="0" w:line="196" w:lineRule="exact"/>
              <w:rPr>
                <w:rFonts w:ascii="Calibri" w:cs="Calibri" w:eastAsia="Calibri" w:hAnsi="Calibri"/>
                <w:sz w:val="18"/>
                <w:szCs w:val="18"/>
                <w:color w:val="0563C1"/>
              </w:rPr>
            </w:pPr>
            <w:hyperlink r:id="rId736">
              <w:r>
                <w:rPr>
                  <w:rFonts w:ascii="Calibri" w:cs="Calibri" w:eastAsia="Calibri" w:hAnsi="Calibri"/>
                  <w:sz w:val="18"/>
                  <w:szCs w:val="18"/>
                  <w:color w:val="0563C1"/>
                </w:rPr>
                <w:t>Truist Bank, as administratve agent for the lenders (incorporated by reference to Exhibit 10.01 to the Martn Marieta</w:t>
              </w:r>
            </w:hyperlink>
          </w:p>
        </w:tc>
        <w:tc>
          <w:tcPr>
            <w:tcW w:w="10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3"/>
          </w:tcPr>
          <w:p>
            <w:pPr>
              <w:spacing w:after="0" w:line="196" w:lineRule="exact"/>
              <w:rPr>
                <w:rFonts w:ascii="Calibri" w:cs="Calibri" w:eastAsia="Calibri" w:hAnsi="Calibri"/>
                <w:sz w:val="18"/>
                <w:szCs w:val="18"/>
                <w:color w:val="0563C1"/>
              </w:rPr>
            </w:pPr>
            <w:hyperlink r:id="rId736">
              <w:r>
                <w:rPr>
                  <w:rFonts w:ascii="Calibri" w:cs="Calibri" w:eastAsia="Calibri" w:hAnsi="Calibri"/>
                  <w:sz w:val="18"/>
                  <w:szCs w:val="18"/>
                  <w:color w:val="0563C1"/>
                </w:rPr>
                <w:t>Materials, Inc. Current Report on Form 8-K fled on April 24, 2013)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4520" w:type="dxa"/>
            <w:vAlign w:val="bottom"/>
            <w:tcBorders>
              <w:top w:val="single" w:sz="8" w:color="0563C1"/>
              <w:bottom w:val="single" w:sz="8" w:color="91BBD3"/>
            </w:tcBorders>
          </w:tcPr>
          <w:p>
            <w:pPr>
              <w:spacing w:after="0"/>
              <w:rPr>
                <w:sz w:val="4"/>
                <w:szCs w:val="4"/>
                <w:color w:val="auto"/>
              </w:rPr>
            </w:pPr>
          </w:p>
        </w:tc>
        <w:tc>
          <w:tcPr>
            <w:tcW w:w="2380" w:type="dxa"/>
            <w:vAlign w:val="bottom"/>
            <w:tcBorders>
              <w:top w:val="single" w:sz="8" w:color="0563C1"/>
              <w:bottom w:val="single" w:sz="8" w:color="91BBD3"/>
            </w:tcBorders>
          </w:tcPr>
          <w:p>
            <w:pPr>
              <w:spacing w:after="0"/>
              <w:rPr>
                <w:sz w:val="4"/>
                <w:szCs w:val="4"/>
                <w:color w:val="auto"/>
              </w:rPr>
            </w:pPr>
          </w:p>
        </w:tc>
        <w:tc>
          <w:tcPr>
            <w:tcW w:w="440" w:type="dxa"/>
            <w:vAlign w:val="bottom"/>
            <w:tcBorders>
              <w:bottom w:val="single" w:sz="8" w:color="91BBD3"/>
            </w:tcBorders>
          </w:tcPr>
          <w:p>
            <w:pPr>
              <w:spacing w:after="0"/>
              <w:rPr>
                <w:sz w:val="4"/>
                <w:szCs w:val="4"/>
                <w:color w:val="auto"/>
              </w:rPr>
            </w:pPr>
          </w:p>
        </w:tc>
        <w:tc>
          <w:tcPr>
            <w:tcW w:w="180" w:type="dxa"/>
            <w:vAlign w:val="bottom"/>
            <w:tcBorders>
              <w:bottom w:val="single" w:sz="8" w:color="91BBD3"/>
            </w:tcBorders>
          </w:tcPr>
          <w:p>
            <w:pPr>
              <w:spacing w:after="0"/>
              <w:rPr>
                <w:sz w:val="4"/>
                <w:szCs w:val="4"/>
                <w:color w:val="auto"/>
              </w:rPr>
            </w:pPr>
          </w:p>
        </w:tc>
        <w:tc>
          <w:tcPr>
            <w:tcW w:w="480" w:type="dxa"/>
            <w:vAlign w:val="bottom"/>
            <w:tcBorders>
              <w:bottom w:val="single" w:sz="8" w:color="91BBD3"/>
            </w:tcBorders>
          </w:tcPr>
          <w:p>
            <w:pPr>
              <w:spacing w:after="0"/>
              <w:rPr>
                <w:sz w:val="4"/>
                <w:szCs w:val="4"/>
                <w:color w:val="auto"/>
              </w:rPr>
            </w:pPr>
          </w:p>
        </w:tc>
        <w:tc>
          <w:tcPr>
            <w:tcW w:w="80" w:type="dxa"/>
            <w:vAlign w:val="bottom"/>
            <w:tcBorders>
              <w:bottom w:val="single" w:sz="8" w:color="91BBD3"/>
            </w:tcBorders>
          </w:tcPr>
          <w:p>
            <w:pPr>
              <w:spacing w:after="0"/>
              <w:rPr>
                <w:sz w:val="4"/>
                <w:szCs w:val="4"/>
                <w:color w:val="auto"/>
              </w:rPr>
            </w:pPr>
          </w:p>
        </w:tc>
        <w:tc>
          <w:tcPr>
            <w:tcW w:w="160" w:type="dxa"/>
            <w:vAlign w:val="bottom"/>
            <w:tcBorders>
              <w:bottom w:val="single" w:sz="8" w:color="91BBD3"/>
            </w:tcBorders>
          </w:tcPr>
          <w:p>
            <w:pPr>
              <w:spacing w:after="0"/>
              <w:rPr>
                <w:sz w:val="4"/>
                <w:szCs w:val="4"/>
                <w:color w:val="auto"/>
              </w:rPr>
            </w:pPr>
          </w:p>
        </w:tc>
        <w:tc>
          <w:tcPr>
            <w:tcW w:w="560" w:type="dxa"/>
            <w:vAlign w:val="bottom"/>
            <w:tcBorders>
              <w:bottom w:val="single" w:sz="8" w:color="91BBD3"/>
            </w:tcBorders>
          </w:tcPr>
          <w:p>
            <w:pPr>
              <w:spacing w:after="0"/>
              <w:rPr>
                <w:sz w:val="4"/>
                <w:szCs w:val="4"/>
                <w:color w:val="auto"/>
              </w:rPr>
            </w:pPr>
          </w:p>
        </w:tc>
        <w:tc>
          <w:tcPr>
            <w:tcW w:w="4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bottom w:val="single" w:sz="8" w:color="DAE8F0"/>
              <w:right w:val="single" w:sz="8" w:color="91BBD3"/>
            </w:tcBorders>
            <w:shd w:val="clear" w:color="auto" w:fill="DAE8F0"/>
          </w:tcPr>
          <w:p>
            <w:pPr>
              <w:ind w:left="100"/>
              <w:spacing w:after="0" w:line="169" w:lineRule="exact"/>
              <w:rPr>
                <w:sz w:val="20"/>
                <w:szCs w:val="20"/>
                <w:color w:val="auto"/>
              </w:rPr>
            </w:pPr>
            <w:r>
              <w:rPr>
                <w:rFonts w:ascii="Calibri" w:cs="Calibri" w:eastAsia="Calibri" w:hAnsi="Calibri"/>
                <w:sz w:val="18"/>
                <w:szCs w:val="18"/>
                <w:b w:val="1"/>
                <w:bCs w:val="1"/>
                <w:color w:val="auto"/>
              </w:rPr>
              <w:t>10.05</w:t>
            </w:r>
          </w:p>
        </w:tc>
        <w:tc>
          <w:tcPr>
            <w:tcW w:w="100" w:type="dxa"/>
            <w:vAlign w:val="bottom"/>
            <w:tcBorders>
              <w:bottom w:val="single" w:sz="8" w:color="DAE8F0"/>
            </w:tcBorders>
            <w:shd w:val="clear" w:color="auto" w:fill="DAE8F0"/>
          </w:tcPr>
          <w:p>
            <w:pPr>
              <w:spacing w:after="0"/>
              <w:rPr>
                <w:sz w:val="14"/>
                <w:szCs w:val="14"/>
                <w:color w:val="auto"/>
              </w:rPr>
            </w:pPr>
          </w:p>
        </w:tc>
        <w:tc>
          <w:tcPr>
            <w:tcW w:w="9000" w:type="dxa"/>
            <w:vAlign w:val="bottom"/>
            <w:tcBorders>
              <w:bottom w:val="single" w:sz="8" w:color="0563C1"/>
            </w:tcBorders>
            <w:gridSpan w:val="11"/>
            <w:shd w:val="clear" w:color="auto" w:fill="DAE8F0"/>
          </w:tcPr>
          <w:p>
            <w:pPr>
              <w:spacing w:after="0" w:line="169" w:lineRule="exact"/>
              <w:rPr>
                <w:rFonts w:ascii="Calibri" w:cs="Calibri" w:eastAsia="Calibri" w:hAnsi="Calibri"/>
                <w:sz w:val="18"/>
                <w:szCs w:val="18"/>
                <w:color w:val="0563C1"/>
              </w:rPr>
            </w:pPr>
            <w:hyperlink r:id="rId737">
              <w:r>
                <w:rPr>
                  <w:rFonts w:ascii="Calibri" w:cs="Calibri" w:eastAsia="Calibri" w:hAnsi="Calibri"/>
                  <w:sz w:val="18"/>
                  <w:szCs w:val="18"/>
                  <w:color w:val="0563C1"/>
                </w:rPr>
                <w:t>Commitment Leter dated as of June 20, 2014 to the Credit and Security Agreement, dated as of April 19, 2013 (as last</w:t>
              </w:r>
            </w:hyperlink>
          </w:p>
        </w:tc>
        <w:tc>
          <w:tcPr>
            <w:tcW w:w="120" w:type="dxa"/>
            <w:vAlign w:val="bottom"/>
            <w:tcBorders>
              <w:bottom w:val="single" w:sz="8" w:color="DAE8F0"/>
              <w:right w:val="single" w:sz="8" w:color="91BBD3"/>
            </w:tcBorders>
            <w:gridSpan w:val="2"/>
            <w:shd w:val="clear" w:color="auto" w:fill="DAE8F0"/>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tcBorders>
            <w:gridSpan w:val="11"/>
            <w:shd w:val="clear" w:color="auto" w:fill="DAE8F0"/>
          </w:tcPr>
          <w:p>
            <w:pPr>
              <w:spacing w:after="0" w:line="196" w:lineRule="exact"/>
              <w:rPr>
                <w:rFonts w:ascii="Calibri" w:cs="Calibri" w:eastAsia="Calibri" w:hAnsi="Calibri"/>
                <w:sz w:val="18"/>
                <w:szCs w:val="18"/>
                <w:color w:val="0563C1"/>
              </w:rPr>
            </w:pPr>
            <w:hyperlink r:id="rId737">
              <w:r>
                <w:rPr>
                  <w:rFonts w:ascii="Calibri" w:cs="Calibri" w:eastAsia="Calibri" w:hAnsi="Calibri"/>
                  <w:sz w:val="18"/>
                  <w:szCs w:val="18"/>
                  <w:color w:val="0563C1"/>
                </w:rPr>
                <w:t>amended April 18, 2014), among Martn Marieta Funding LLC, as borrower, Martn Marieta Materials, Inc., as servicer, and</w:t>
              </w:r>
            </w:hyperlink>
          </w:p>
        </w:tc>
        <w:tc>
          <w:tcPr>
            <w:tcW w:w="20" w:type="dxa"/>
            <w:vAlign w:val="bottom"/>
            <w:tcBorders>
              <w:bottom w:val="single" w:sz="8" w:color="0000EE"/>
            </w:tcBorders>
            <w:shd w:val="clear" w:color="auto" w:fill="DAE8F0"/>
          </w:tcPr>
          <w:p>
            <w:pPr>
              <w:spacing w:after="0"/>
              <w:rPr>
                <w:sz w:val="17"/>
                <w:szCs w:val="17"/>
                <w:color w:val="auto"/>
              </w:rPr>
            </w:pPr>
          </w:p>
        </w:tc>
        <w:tc>
          <w:tcPr>
            <w:tcW w:w="100" w:type="dxa"/>
            <w:vAlign w:val="bottom"/>
            <w:tcBorders>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120" w:type="dxa"/>
            <w:vAlign w:val="bottom"/>
            <w:tcBorders>
              <w:bottom w:val="single" w:sz="8" w:color="0563C1"/>
              <w:right w:val="single" w:sz="8" w:color="91BBD3"/>
            </w:tcBorders>
            <w:gridSpan w:val="13"/>
            <w:shd w:val="clear" w:color="auto" w:fill="DAE8F0"/>
          </w:tcPr>
          <w:p>
            <w:pPr>
              <w:spacing w:after="0" w:line="196" w:lineRule="exact"/>
              <w:rPr>
                <w:rFonts w:ascii="Calibri" w:cs="Calibri" w:eastAsia="Calibri" w:hAnsi="Calibri"/>
                <w:sz w:val="18"/>
                <w:szCs w:val="18"/>
                <w:color w:val="0563C1"/>
              </w:rPr>
            </w:pPr>
            <w:hyperlink r:id="rId737">
              <w:r>
                <w:rPr>
                  <w:rFonts w:ascii="Calibri" w:cs="Calibri" w:eastAsia="Calibri" w:hAnsi="Calibri"/>
                  <w:sz w:val="18"/>
                  <w:szCs w:val="18"/>
                  <w:color w:val="0563C1"/>
                </w:rPr>
                <w:t>Truist Bank, as lender, together with the other lenders from tme to tme party thereto, and Truist Bank, as administratve</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tcBorders>
            <w:gridSpan w:val="11"/>
            <w:shd w:val="clear" w:color="auto" w:fill="DAE8F0"/>
          </w:tcPr>
          <w:p>
            <w:pPr>
              <w:spacing w:after="0" w:line="196" w:lineRule="exact"/>
              <w:rPr>
                <w:rFonts w:ascii="Calibri" w:cs="Calibri" w:eastAsia="Calibri" w:hAnsi="Calibri"/>
                <w:sz w:val="18"/>
                <w:szCs w:val="18"/>
                <w:color w:val="0563C1"/>
              </w:rPr>
            </w:pPr>
            <w:hyperlink r:id="rId737">
              <w:r>
                <w:rPr>
                  <w:rFonts w:ascii="Calibri" w:cs="Calibri" w:eastAsia="Calibri" w:hAnsi="Calibri"/>
                  <w:sz w:val="18"/>
                  <w:szCs w:val="18"/>
                  <w:color w:val="0563C1"/>
                </w:rPr>
                <w:t>agent for the lenders (incorporated by reference to Exhibit 10.01 to the Martn Marieta Materials, Inc. Current Report on</w:t>
              </w:r>
            </w:hyperlink>
          </w:p>
        </w:tc>
        <w:tc>
          <w:tcPr>
            <w:tcW w:w="120" w:type="dxa"/>
            <w:vAlign w:val="bottom"/>
            <w:tcBorders>
              <w:bottom w:val="single" w:sz="8" w:color="DAE8F0"/>
              <w:right w:val="single" w:sz="8" w:color="91BBD3"/>
            </w:tcBorders>
            <w:gridSpan w:val="2"/>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0" w:type="dxa"/>
            <w:vAlign w:val="bottom"/>
            <w:tcBorders>
              <w:right w:val="single" w:sz="8" w:color="91BBD3"/>
            </w:tcBorders>
          </w:tcPr>
          <w:p>
            <w:pPr>
              <w:spacing w:after="0"/>
              <w:rPr>
                <w:sz w:val="22"/>
                <w:szCs w:val="22"/>
                <w:color w:val="auto"/>
              </w:rPr>
            </w:pPr>
          </w:p>
        </w:tc>
        <w:tc>
          <w:tcPr>
            <w:tcW w:w="1660" w:type="dxa"/>
            <w:vAlign w:val="bottom"/>
            <w:tcBorders>
              <w:bottom w:val="single" w:sz="8" w:color="91BBD3"/>
              <w:right w:val="single" w:sz="8" w:color="91BBD3"/>
            </w:tcBorders>
            <w:shd w:val="clear" w:color="auto" w:fill="DAE8F0"/>
          </w:tcPr>
          <w:p>
            <w:pPr>
              <w:spacing w:after="0"/>
              <w:rPr>
                <w:sz w:val="22"/>
                <w:szCs w:val="22"/>
                <w:color w:val="auto"/>
              </w:rPr>
            </w:pPr>
          </w:p>
        </w:tc>
        <w:tc>
          <w:tcPr>
            <w:tcW w:w="100" w:type="dxa"/>
            <w:vAlign w:val="bottom"/>
            <w:tcBorders>
              <w:bottom w:val="single" w:sz="8" w:color="91BBD3"/>
            </w:tcBorders>
            <w:shd w:val="clear" w:color="auto" w:fill="DAE8F0"/>
          </w:tcPr>
          <w:p>
            <w:pPr>
              <w:spacing w:after="0"/>
              <w:rPr>
                <w:sz w:val="22"/>
                <w:szCs w:val="22"/>
                <w:color w:val="auto"/>
              </w:rPr>
            </w:pPr>
          </w:p>
        </w:tc>
        <w:tc>
          <w:tcPr>
            <w:tcW w:w="4520" w:type="dxa"/>
            <w:vAlign w:val="bottom"/>
            <w:tcBorders>
              <w:bottom w:val="single" w:sz="8" w:color="0563C1"/>
            </w:tcBorders>
            <w:shd w:val="clear" w:color="auto" w:fill="DAE8F0"/>
          </w:tcPr>
          <w:p>
            <w:pPr>
              <w:spacing w:after="0" w:line="196" w:lineRule="exact"/>
              <w:rPr>
                <w:rFonts w:ascii="Calibri" w:cs="Calibri" w:eastAsia="Calibri" w:hAnsi="Calibri"/>
                <w:sz w:val="18"/>
                <w:szCs w:val="18"/>
                <w:color w:val="0563C1"/>
                <w:w w:val="97"/>
              </w:rPr>
            </w:pPr>
            <w:hyperlink r:id="rId737">
              <w:r>
                <w:rPr>
                  <w:rFonts w:ascii="Calibri" w:cs="Calibri" w:eastAsia="Calibri" w:hAnsi="Calibri"/>
                  <w:sz w:val="18"/>
                  <w:szCs w:val="18"/>
                  <w:color w:val="0563C1"/>
                  <w:w w:val="97"/>
                </w:rPr>
                <w:t>Form 8-K fled on June 25, 2014) (Commission File No. 1-12744)</w:t>
              </w:r>
            </w:hyperlink>
          </w:p>
        </w:tc>
        <w:tc>
          <w:tcPr>
            <w:tcW w:w="4600" w:type="dxa"/>
            <w:vAlign w:val="bottom"/>
            <w:tcBorders>
              <w:bottom w:val="single" w:sz="8" w:color="91BBD3"/>
              <w:right w:val="single" w:sz="8" w:color="91BBD3"/>
            </w:tcBorders>
            <w:gridSpan w:val="12"/>
            <w:shd w:val="clear" w:color="auto" w:fill="DAE8F0"/>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tcPr>
          <w:p>
            <w:pPr>
              <w:ind w:left="100"/>
              <w:spacing w:after="0" w:line="169" w:lineRule="exact"/>
              <w:rPr>
                <w:sz w:val="20"/>
                <w:szCs w:val="20"/>
                <w:color w:val="auto"/>
              </w:rPr>
            </w:pPr>
            <w:r>
              <w:rPr>
                <w:rFonts w:ascii="Calibri" w:cs="Calibri" w:eastAsia="Calibri" w:hAnsi="Calibri"/>
                <w:sz w:val="18"/>
                <w:szCs w:val="18"/>
                <w:b w:val="1"/>
                <w:bCs w:val="1"/>
                <w:color w:val="auto"/>
              </w:rPr>
              <w:t>10.06</w:t>
            </w:r>
          </w:p>
        </w:tc>
        <w:tc>
          <w:tcPr>
            <w:tcW w:w="100" w:type="dxa"/>
            <w:vAlign w:val="bottom"/>
          </w:tcPr>
          <w:p>
            <w:pPr>
              <w:spacing w:after="0"/>
              <w:rPr>
                <w:sz w:val="14"/>
                <w:szCs w:val="14"/>
                <w:color w:val="auto"/>
              </w:rPr>
            </w:pPr>
          </w:p>
        </w:tc>
        <w:tc>
          <w:tcPr>
            <w:tcW w:w="9000" w:type="dxa"/>
            <w:vAlign w:val="bottom"/>
            <w:tcBorders>
              <w:bottom w:val="single" w:sz="8" w:color="0563C1"/>
            </w:tcBorders>
            <w:gridSpan w:val="11"/>
          </w:tcPr>
          <w:p>
            <w:pPr>
              <w:spacing w:after="0" w:line="169" w:lineRule="exact"/>
              <w:rPr>
                <w:rFonts w:ascii="Calibri" w:cs="Calibri" w:eastAsia="Calibri" w:hAnsi="Calibri"/>
                <w:sz w:val="18"/>
                <w:szCs w:val="18"/>
                <w:color w:val="0563C1"/>
              </w:rPr>
            </w:pPr>
            <w:hyperlink r:id="rId738">
              <w:r>
                <w:rPr>
                  <w:rFonts w:ascii="Calibri" w:cs="Calibri" w:eastAsia="Calibri" w:hAnsi="Calibri"/>
                  <w:sz w:val="18"/>
                  <w:szCs w:val="18"/>
                  <w:color w:val="0563C1"/>
                </w:rPr>
                <w:t>Second Amendment to Credit and Security Agreement, dated as of April 18, 2014, among Martn Marieta Funding LLC, as</w:t>
              </w:r>
            </w:hyperlink>
          </w:p>
        </w:tc>
        <w:tc>
          <w:tcPr>
            <w:tcW w:w="120" w:type="dxa"/>
            <w:vAlign w:val="bottom"/>
            <w:tcBorders>
              <w:right w:val="single" w:sz="8" w:color="91BBD3"/>
            </w:tcBorders>
            <w:gridSpan w:val="2"/>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1"/>
          </w:tcPr>
          <w:p>
            <w:pPr>
              <w:spacing w:after="0" w:line="196" w:lineRule="exact"/>
              <w:rPr>
                <w:rFonts w:ascii="Calibri" w:cs="Calibri" w:eastAsia="Calibri" w:hAnsi="Calibri"/>
                <w:sz w:val="18"/>
                <w:szCs w:val="18"/>
                <w:color w:val="0563C1"/>
                <w:w w:val="98"/>
              </w:rPr>
            </w:pPr>
            <w:hyperlink r:id="rId738">
              <w:r>
                <w:rPr>
                  <w:rFonts w:ascii="Calibri" w:cs="Calibri" w:eastAsia="Calibri" w:hAnsi="Calibri"/>
                  <w:sz w:val="18"/>
                  <w:szCs w:val="18"/>
                  <w:color w:val="0563C1"/>
                  <w:w w:val="98"/>
                </w:rPr>
                <w:t>borrower, Martn Marieta Materials, Inc., as servicer, and Truist Bank, as lender, together with the other lenders from tme to</w:t>
              </w:r>
            </w:hyperlink>
          </w:p>
        </w:tc>
        <w:tc>
          <w:tcPr>
            <w:tcW w:w="120" w:type="dxa"/>
            <w:vAlign w:val="bottom"/>
            <w:tcBorders>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00" w:type="dxa"/>
            <w:vAlign w:val="bottom"/>
            <w:tcBorders>
              <w:bottom w:val="single" w:sz="8" w:color="0563C1"/>
            </w:tcBorders>
            <w:gridSpan w:val="11"/>
          </w:tcPr>
          <w:p>
            <w:pPr>
              <w:spacing w:after="0" w:line="196" w:lineRule="exact"/>
              <w:rPr>
                <w:rFonts w:ascii="Calibri" w:cs="Calibri" w:eastAsia="Calibri" w:hAnsi="Calibri"/>
                <w:sz w:val="18"/>
                <w:szCs w:val="18"/>
                <w:color w:val="0563C1"/>
                <w:w w:val="98"/>
              </w:rPr>
            </w:pPr>
            <w:hyperlink r:id="rId738">
              <w:r>
                <w:rPr>
                  <w:rFonts w:ascii="Calibri" w:cs="Calibri" w:eastAsia="Calibri" w:hAnsi="Calibri"/>
                  <w:sz w:val="18"/>
                  <w:szCs w:val="18"/>
                  <w:color w:val="0563C1"/>
                  <w:w w:val="98"/>
                </w:rPr>
                <w:t>tme party thereto, and Truist Bank, as administratve agent for the lenders (incorporated by reference to Exhibit 10.01 to the</w:t>
              </w:r>
            </w:hyperlink>
          </w:p>
        </w:tc>
        <w:tc>
          <w:tcPr>
            <w:tcW w:w="120" w:type="dxa"/>
            <w:vAlign w:val="bottom"/>
            <w:tcBorders>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3"/>
          </w:tcPr>
          <w:p>
            <w:pPr>
              <w:spacing w:after="0" w:line="196" w:lineRule="exact"/>
              <w:rPr>
                <w:rFonts w:ascii="Calibri" w:cs="Calibri" w:eastAsia="Calibri" w:hAnsi="Calibri"/>
                <w:sz w:val="18"/>
                <w:szCs w:val="18"/>
                <w:color w:val="0563C1"/>
              </w:rPr>
            </w:pPr>
            <w:hyperlink r:id="rId738">
              <w:r>
                <w:rPr>
                  <w:rFonts w:ascii="Calibri" w:cs="Calibri" w:eastAsia="Calibri" w:hAnsi="Calibri"/>
                  <w:sz w:val="18"/>
                  <w:szCs w:val="18"/>
                  <w:color w:val="0563C1"/>
                </w:rPr>
                <w:t>Martn Marieta Materials, Inc. Current Report on Form 8-K fled on April 24, 2014)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4520" w:type="dxa"/>
            <w:vAlign w:val="bottom"/>
            <w:tcBorders>
              <w:top w:val="single" w:sz="8" w:color="0563C1"/>
              <w:bottom w:val="single" w:sz="8" w:color="91BBD3"/>
            </w:tcBorders>
          </w:tcPr>
          <w:p>
            <w:pPr>
              <w:spacing w:after="0"/>
              <w:rPr>
                <w:sz w:val="4"/>
                <w:szCs w:val="4"/>
                <w:color w:val="auto"/>
              </w:rPr>
            </w:pPr>
          </w:p>
        </w:tc>
        <w:tc>
          <w:tcPr>
            <w:tcW w:w="238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180" w:type="dxa"/>
            <w:vAlign w:val="bottom"/>
            <w:tcBorders>
              <w:top w:val="single" w:sz="8" w:color="0563C1"/>
              <w:bottom w:val="single" w:sz="8" w:color="91BBD3"/>
            </w:tcBorders>
          </w:tcPr>
          <w:p>
            <w:pPr>
              <w:spacing w:after="0"/>
              <w:rPr>
                <w:sz w:val="4"/>
                <w:szCs w:val="4"/>
                <w:color w:val="auto"/>
              </w:rPr>
            </w:pPr>
          </w:p>
        </w:tc>
        <w:tc>
          <w:tcPr>
            <w:tcW w:w="480" w:type="dxa"/>
            <w:vAlign w:val="bottom"/>
            <w:tcBorders>
              <w:top w:val="single" w:sz="8" w:color="0563C1"/>
              <w:bottom w:val="single" w:sz="8" w:color="91BBD3"/>
            </w:tcBorders>
          </w:tcPr>
          <w:p>
            <w:pPr>
              <w:spacing w:after="0"/>
              <w:rPr>
                <w:sz w:val="4"/>
                <w:szCs w:val="4"/>
                <w:color w:val="auto"/>
              </w:rPr>
            </w:pPr>
          </w:p>
        </w:tc>
        <w:tc>
          <w:tcPr>
            <w:tcW w:w="80" w:type="dxa"/>
            <w:vAlign w:val="bottom"/>
            <w:tcBorders>
              <w:top w:val="single" w:sz="8" w:color="0563C1"/>
              <w:bottom w:val="single" w:sz="8" w:color="91BBD3"/>
            </w:tcBorders>
          </w:tcPr>
          <w:p>
            <w:pPr>
              <w:spacing w:after="0"/>
              <w:rPr>
                <w:sz w:val="4"/>
                <w:szCs w:val="4"/>
                <w:color w:val="auto"/>
              </w:rPr>
            </w:pPr>
          </w:p>
        </w:tc>
        <w:tc>
          <w:tcPr>
            <w:tcW w:w="160" w:type="dxa"/>
            <w:vAlign w:val="bottom"/>
            <w:tcBorders>
              <w:bottom w:val="single" w:sz="8" w:color="91BBD3"/>
            </w:tcBorders>
          </w:tcPr>
          <w:p>
            <w:pPr>
              <w:spacing w:after="0"/>
              <w:rPr>
                <w:sz w:val="4"/>
                <w:szCs w:val="4"/>
                <w:color w:val="auto"/>
              </w:rPr>
            </w:pPr>
          </w:p>
        </w:tc>
        <w:tc>
          <w:tcPr>
            <w:tcW w:w="560" w:type="dxa"/>
            <w:vAlign w:val="bottom"/>
            <w:tcBorders>
              <w:bottom w:val="single" w:sz="8" w:color="91BBD3"/>
            </w:tcBorders>
          </w:tcPr>
          <w:p>
            <w:pPr>
              <w:spacing w:after="0"/>
              <w:rPr>
                <w:sz w:val="4"/>
                <w:szCs w:val="4"/>
                <w:color w:val="auto"/>
              </w:rPr>
            </w:pPr>
          </w:p>
        </w:tc>
        <w:tc>
          <w:tcPr>
            <w:tcW w:w="4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bottom w:val="single" w:sz="8" w:color="DAE8F0"/>
              <w:right w:val="single" w:sz="8" w:color="91BBD3"/>
            </w:tcBorders>
            <w:shd w:val="clear" w:color="auto" w:fill="DAE8F0"/>
          </w:tcPr>
          <w:p>
            <w:pPr>
              <w:ind w:left="100"/>
              <w:spacing w:after="0" w:line="169" w:lineRule="exact"/>
              <w:rPr>
                <w:sz w:val="20"/>
                <w:szCs w:val="20"/>
                <w:color w:val="auto"/>
              </w:rPr>
            </w:pPr>
            <w:r>
              <w:rPr>
                <w:rFonts w:ascii="Calibri" w:cs="Calibri" w:eastAsia="Calibri" w:hAnsi="Calibri"/>
                <w:sz w:val="18"/>
                <w:szCs w:val="18"/>
                <w:b w:val="1"/>
                <w:bCs w:val="1"/>
                <w:color w:val="auto"/>
              </w:rPr>
              <w:t>10.07</w:t>
            </w:r>
          </w:p>
        </w:tc>
        <w:tc>
          <w:tcPr>
            <w:tcW w:w="100" w:type="dxa"/>
            <w:vAlign w:val="bottom"/>
            <w:tcBorders>
              <w:bottom w:val="single" w:sz="8" w:color="DAE8F0"/>
            </w:tcBorders>
            <w:shd w:val="clear" w:color="auto" w:fill="DAE8F0"/>
          </w:tcPr>
          <w:p>
            <w:pPr>
              <w:spacing w:after="0"/>
              <w:rPr>
                <w:sz w:val="14"/>
                <w:szCs w:val="14"/>
                <w:color w:val="auto"/>
              </w:rPr>
            </w:pPr>
          </w:p>
        </w:tc>
        <w:tc>
          <w:tcPr>
            <w:tcW w:w="9000" w:type="dxa"/>
            <w:vAlign w:val="bottom"/>
            <w:tcBorders>
              <w:bottom w:val="single" w:sz="8" w:color="0563C1"/>
            </w:tcBorders>
            <w:gridSpan w:val="11"/>
            <w:shd w:val="clear" w:color="auto" w:fill="DAE8F0"/>
          </w:tcPr>
          <w:p>
            <w:pPr>
              <w:spacing w:after="0" w:line="169" w:lineRule="exact"/>
              <w:rPr>
                <w:rFonts w:ascii="Calibri" w:cs="Calibri" w:eastAsia="Calibri" w:hAnsi="Calibri"/>
                <w:sz w:val="18"/>
                <w:szCs w:val="18"/>
                <w:color w:val="0563C1"/>
                <w:w w:val="99"/>
              </w:rPr>
            </w:pPr>
            <w:hyperlink r:id="rId739">
              <w:r>
                <w:rPr>
                  <w:rFonts w:ascii="Calibri" w:cs="Calibri" w:eastAsia="Calibri" w:hAnsi="Calibri"/>
                  <w:sz w:val="18"/>
                  <w:szCs w:val="18"/>
                  <w:color w:val="0563C1"/>
                  <w:w w:val="99"/>
                </w:rPr>
                <w:t>Fifh Amendment to Credit and Security Agreement, dated as of September 30, 2014, among Martn Marieta Funding LLC, as</w:t>
              </w:r>
            </w:hyperlink>
          </w:p>
        </w:tc>
        <w:tc>
          <w:tcPr>
            <w:tcW w:w="120" w:type="dxa"/>
            <w:vAlign w:val="bottom"/>
            <w:tcBorders>
              <w:bottom w:val="single" w:sz="8" w:color="DAE8F0"/>
              <w:right w:val="single" w:sz="8" w:color="91BBD3"/>
            </w:tcBorders>
            <w:gridSpan w:val="2"/>
            <w:shd w:val="clear" w:color="auto" w:fill="DAE8F0"/>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20" w:type="dxa"/>
            <w:vAlign w:val="bottom"/>
            <w:tcBorders>
              <w:bottom w:val="single" w:sz="8" w:color="0563C1"/>
            </w:tcBorders>
            <w:gridSpan w:val="12"/>
            <w:shd w:val="clear" w:color="auto" w:fill="DAE8F0"/>
          </w:tcPr>
          <w:p>
            <w:pPr>
              <w:spacing w:after="0" w:line="196" w:lineRule="exact"/>
              <w:rPr>
                <w:rFonts w:ascii="Calibri" w:cs="Calibri" w:eastAsia="Calibri" w:hAnsi="Calibri"/>
                <w:sz w:val="18"/>
                <w:szCs w:val="18"/>
                <w:color w:val="0563C1"/>
                <w:w w:val="98"/>
              </w:rPr>
            </w:pPr>
            <w:hyperlink r:id="rId739">
              <w:r>
                <w:rPr>
                  <w:rFonts w:ascii="Calibri" w:cs="Calibri" w:eastAsia="Calibri" w:hAnsi="Calibri"/>
                  <w:sz w:val="18"/>
                  <w:szCs w:val="18"/>
                  <w:color w:val="0563C1"/>
                  <w:w w:val="98"/>
                </w:rPr>
                <w:t>borrower, Martn Marieta Materials, Inc., as servicer, and Truist Bank, as lender, together with the other lenders from tme to</w:t>
              </w:r>
            </w:hyperlink>
          </w:p>
        </w:tc>
        <w:tc>
          <w:tcPr>
            <w:tcW w:w="100" w:type="dxa"/>
            <w:vAlign w:val="bottom"/>
            <w:tcBorders>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20" w:type="dxa"/>
            <w:vAlign w:val="bottom"/>
            <w:tcBorders>
              <w:bottom w:val="single" w:sz="8" w:color="0563C1"/>
            </w:tcBorders>
            <w:gridSpan w:val="12"/>
            <w:shd w:val="clear" w:color="auto" w:fill="DAE8F0"/>
          </w:tcPr>
          <w:p>
            <w:pPr>
              <w:spacing w:after="0" w:line="196" w:lineRule="exact"/>
              <w:rPr>
                <w:rFonts w:ascii="Calibri" w:cs="Calibri" w:eastAsia="Calibri" w:hAnsi="Calibri"/>
                <w:sz w:val="18"/>
                <w:szCs w:val="18"/>
                <w:color w:val="0563C1"/>
                <w:w w:val="99"/>
              </w:rPr>
            </w:pPr>
            <w:hyperlink r:id="rId739">
              <w:r>
                <w:rPr>
                  <w:rFonts w:ascii="Calibri" w:cs="Calibri" w:eastAsia="Calibri" w:hAnsi="Calibri"/>
                  <w:sz w:val="18"/>
                  <w:szCs w:val="18"/>
                  <w:color w:val="0563C1"/>
                  <w:w w:val="99"/>
                </w:rPr>
                <w:t>tme party thereto, and Truist Bank, as administratve agent for the lenders (incorporated by reference to Exhibit 10.01 to the</w:t>
              </w:r>
            </w:hyperlink>
          </w:p>
        </w:tc>
        <w:tc>
          <w:tcPr>
            <w:tcW w:w="100" w:type="dxa"/>
            <w:vAlign w:val="bottom"/>
            <w:tcBorders>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0" w:type="dxa"/>
            <w:vAlign w:val="bottom"/>
            <w:tcBorders>
              <w:right w:val="single" w:sz="8" w:color="91BBD3"/>
            </w:tcBorders>
          </w:tcPr>
          <w:p>
            <w:pPr>
              <w:spacing w:after="0"/>
              <w:rPr>
                <w:sz w:val="22"/>
                <w:szCs w:val="22"/>
                <w:color w:val="auto"/>
              </w:rPr>
            </w:pPr>
          </w:p>
        </w:tc>
        <w:tc>
          <w:tcPr>
            <w:tcW w:w="1660" w:type="dxa"/>
            <w:vAlign w:val="bottom"/>
            <w:tcBorders>
              <w:bottom w:val="single" w:sz="8" w:color="91BBD3"/>
              <w:right w:val="single" w:sz="8" w:color="91BBD3"/>
            </w:tcBorders>
            <w:shd w:val="clear" w:color="auto" w:fill="DAE8F0"/>
          </w:tcPr>
          <w:p>
            <w:pPr>
              <w:spacing w:after="0"/>
              <w:rPr>
                <w:sz w:val="22"/>
                <w:szCs w:val="22"/>
                <w:color w:val="auto"/>
              </w:rPr>
            </w:pPr>
          </w:p>
        </w:tc>
        <w:tc>
          <w:tcPr>
            <w:tcW w:w="100" w:type="dxa"/>
            <w:vAlign w:val="bottom"/>
            <w:tcBorders>
              <w:bottom w:val="single" w:sz="8" w:color="91BBD3"/>
            </w:tcBorders>
            <w:shd w:val="clear" w:color="auto" w:fill="DAE8F0"/>
          </w:tcPr>
          <w:p>
            <w:pPr>
              <w:spacing w:after="0"/>
              <w:rPr>
                <w:sz w:val="22"/>
                <w:szCs w:val="22"/>
                <w:color w:val="auto"/>
              </w:rPr>
            </w:pPr>
          </w:p>
        </w:tc>
        <w:tc>
          <w:tcPr>
            <w:tcW w:w="8240" w:type="dxa"/>
            <w:vAlign w:val="bottom"/>
            <w:tcBorders>
              <w:bottom w:val="single" w:sz="8" w:color="0563C1"/>
            </w:tcBorders>
            <w:gridSpan w:val="7"/>
            <w:shd w:val="clear" w:color="auto" w:fill="DAE8F0"/>
          </w:tcPr>
          <w:p>
            <w:pPr>
              <w:spacing w:after="0" w:line="196" w:lineRule="exact"/>
              <w:rPr>
                <w:rFonts w:ascii="Calibri" w:cs="Calibri" w:eastAsia="Calibri" w:hAnsi="Calibri"/>
                <w:sz w:val="18"/>
                <w:szCs w:val="18"/>
                <w:color w:val="0563C1"/>
                <w:w w:val="98"/>
              </w:rPr>
            </w:pPr>
            <w:hyperlink r:id="rId739">
              <w:r>
                <w:rPr>
                  <w:rFonts w:ascii="Calibri" w:cs="Calibri" w:eastAsia="Calibri" w:hAnsi="Calibri"/>
                  <w:sz w:val="18"/>
                  <w:szCs w:val="18"/>
                  <w:color w:val="0563C1"/>
                  <w:w w:val="98"/>
                </w:rPr>
                <w:t>Martn Marieta Materials, Inc. Current Report on Form 8-K fled on October 3, 2014) (Commission File No. 1-12744)</w:t>
              </w:r>
            </w:hyperlink>
          </w:p>
        </w:tc>
        <w:tc>
          <w:tcPr>
            <w:tcW w:w="880" w:type="dxa"/>
            <w:vAlign w:val="bottom"/>
            <w:tcBorders>
              <w:bottom w:val="single" w:sz="8" w:color="91BBD3"/>
              <w:right w:val="single" w:sz="8" w:color="91BBD3"/>
            </w:tcBorders>
            <w:gridSpan w:val="6"/>
            <w:shd w:val="clear" w:color="auto" w:fill="DAE8F0"/>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tcPr>
          <w:p>
            <w:pPr>
              <w:ind w:left="100"/>
              <w:spacing w:after="0" w:line="169" w:lineRule="exact"/>
              <w:rPr>
                <w:sz w:val="20"/>
                <w:szCs w:val="20"/>
                <w:color w:val="auto"/>
              </w:rPr>
            </w:pPr>
            <w:r>
              <w:rPr>
                <w:rFonts w:ascii="Calibri" w:cs="Calibri" w:eastAsia="Calibri" w:hAnsi="Calibri"/>
                <w:sz w:val="18"/>
                <w:szCs w:val="18"/>
                <w:b w:val="1"/>
                <w:bCs w:val="1"/>
                <w:color w:val="auto"/>
              </w:rPr>
              <w:t>10.08</w:t>
            </w:r>
          </w:p>
        </w:tc>
        <w:tc>
          <w:tcPr>
            <w:tcW w:w="100" w:type="dxa"/>
            <w:vAlign w:val="bottom"/>
          </w:tcPr>
          <w:p>
            <w:pPr>
              <w:spacing w:after="0"/>
              <w:rPr>
                <w:sz w:val="14"/>
                <w:szCs w:val="14"/>
                <w:color w:val="auto"/>
              </w:rPr>
            </w:pPr>
          </w:p>
        </w:tc>
        <w:tc>
          <w:tcPr>
            <w:tcW w:w="9020" w:type="dxa"/>
            <w:vAlign w:val="bottom"/>
            <w:tcBorders>
              <w:bottom w:val="single" w:sz="8" w:color="0563C1"/>
            </w:tcBorders>
            <w:gridSpan w:val="12"/>
          </w:tcPr>
          <w:p>
            <w:pPr>
              <w:spacing w:after="0" w:line="169" w:lineRule="exact"/>
              <w:rPr>
                <w:rFonts w:ascii="Calibri" w:cs="Calibri" w:eastAsia="Calibri" w:hAnsi="Calibri"/>
                <w:sz w:val="18"/>
                <w:szCs w:val="18"/>
                <w:color w:val="0563C1"/>
                <w:w w:val="98"/>
              </w:rPr>
            </w:pPr>
            <w:hyperlink r:id="rId740">
              <w:r>
                <w:rPr>
                  <w:rFonts w:ascii="Calibri" w:cs="Calibri" w:eastAsia="Calibri" w:hAnsi="Calibri"/>
                  <w:sz w:val="18"/>
                  <w:szCs w:val="18"/>
                  <w:color w:val="0563C1"/>
                  <w:w w:val="98"/>
                </w:rPr>
                <w:t>Seventh Amendment to Credit and Security Agreement, dated as of September 28, 2016, among Martn Marieta Funding LLC,</w:t>
              </w:r>
            </w:hyperlink>
          </w:p>
        </w:tc>
        <w:tc>
          <w:tcPr>
            <w:tcW w:w="100" w:type="dxa"/>
            <w:vAlign w:val="bottom"/>
            <w:tcBorders>
              <w:right w:val="single" w:sz="8" w:color="91BBD3"/>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tcBorders>
              <w:bottom w:val="single" w:sz="8" w:color="0563C1"/>
            </w:tcBorders>
            <w:gridSpan w:val="12"/>
          </w:tcPr>
          <w:p>
            <w:pPr>
              <w:spacing w:after="0" w:line="196" w:lineRule="exact"/>
              <w:rPr>
                <w:rFonts w:ascii="Calibri" w:cs="Calibri" w:eastAsia="Calibri" w:hAnsi="Calibri"/>
                <w:sz w:val="18"/>
                <w:szCs w:val="18"/>
                <w:color w:val="0563C1"/>
                <w:w w:val="98"/>
              </w:rPr>
            </w:pPr>
            <w:hyperlink r:id="rId740">
              <w:r>
                <w:rPr>
                  <w:rFonts w:ascii="Calibri" w:cs="Calibri" w:eastAsia="Calibri" w:hAnsi="Calibri"/>
                  <w:sz w:val="18"/>
                  <w:szCs w:val="18"/>
                  <w:color w:val="0563C1"/>
                  <w:w w:val="98"/>
                </w:rPr>
                <w:t>as borrower, Martn Marieta Materials, Inc., as servicer, and Truist Bank, as lender, together with the other lenders from tme</w:t>
              </w:r>
            </w:hyperlink>
          </w:p>
        </w:tc>
        <w:tc>
          <w:tcPr>
            <w:tcW w:w="10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3"/>
          </w:tcPr>
          <w:p>
            <w:pPr>
              <w:spacing w:after="0" w:line="196" w:lineRule="exact"/>
              <w:rPr>
                <w:rFonts w:ascii="Calibri" w:cs="Calibri" w:eastAsia="Calibri" w:hAnsi="Calibri"/>
                <w:sz w:val="18"/>
                <w:szCs w:val="18"/>
                <w:color w:val="0563C1"/>
              </w:rPr>
            </w:pPr>
            <w:hyperlink r:id="rId740">
              <w:r>
                <w:rPr>
                  <w:rFonts w:ascii="Calibri" w:cs="Calibri" w:eastAsia="Calibri" w:hAnsi="Calibri"/>
                  <w:sz w:val="18"/>
                  <w:szCs w:val="18"/>
                  <w:color w:val="0563C1"/>
                </w:rPr>
                <w:t>to tme party thereto, and Truist Bank, as administratve agent for the lenders (incorporated by reference to Exhibit 10.01 to</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top w:val="single" w:sz="8" w:color="0563C1"/>
            </w:tcBorders>
            <w:gridSpan w:val="10"/>
          </w:tcPr>
          <w:p>
            <w:pPr>
              <w:spacing w:after="0" w:line="196" w:lineRule="exact"/>
              <w:rPr>
                <w:rFonts w:ascii="Calibri" w:cs="Calibri" w:eastAsia="Calibri" w:hAnsi="Calibri"/>
                <w:sz w:val="18"/>
                <w:szCs w:val="18"/>
                <w:color w:val="0563C1"/>
              </w:rPr>
            </w:pPr>
            <w:hyperlink r:id="rId740">
              <w:r>
                <w:rPr>
                  <w:rFonts w:ascii="Calibri" w:cs="Calibri" w:eastAsia="Calibri" w:hAnsi="Calibri"/>
                  <w:sz w:val="18"/>
                  <w:szCs w:val="18"/>
                  <w:color w:val="0563C1"/>
                </w:rPr>
                <w:t>the Martn Marieta Materials, Inc. Current Report on Form 8-K fled on September 30, 2016) (Commission File No. 1-12744)</w:t>
              </w:r>
            </w:hyperlink>
          </w:p>
        </w:tc>
        <w:tc>
          <w:tcPr>
            <w:tcW w:w="140" w:type="dxa"/>
            <w:vAlign w:val="bottom"/>
            <w:tcBorders>
              <w:right w:val="single" w:sz="8" w:color="91BBD3"/>
            </w:tcBorders>
            <w:gridSpan w:val="3"/>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4520" w:type="dxa"/>
            <w:vAlign w:val="bottom"/>
            <w:tcBorders>
              <w:top w:val="single" w:sz="8" w:color="0563C1"/>
              <w:bottom w:val="single" w:sz="8" w:color="91BBD3"/>
            </w:tcBorders>
          </w:tcPr>
          <w:p>
            <w:pPr>
              <w:spacing w:after="0"/>
              <w:rPr>
                <w:sz w:val="4"/>
                <w:szCs w:val="4"/>
                <w:color w:val="auto"/>
              </w:rPr>
            </w:pPr>
          </w:p>
        </w:tc>
        <w:tc>
          <w:tcPr>
            <w:tcW w:w="238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180" w:type="dxa"/>
            <w:vAlign w:val="bottom"/>
            <w:tcBorders>
              <w:top w:val="single" w:sz="8" w:color="0563C1"/>
              <w:bottom w:val="single" w:sz="8" w:color="91BBD3"/>
            </w:tcBorders>
          </w:tcPr>
          <w:p>
            <w:pPr>
              <w:spacing w:after="0"/>
              <w:rPr>
                <w:sz w:val="4"/>
                <w:szCs w:val="4"/>
                <w:color w:val="auto"/>
              </w:rPr>
            </w:pPr>
          </w:p>
        </w:tc>
        <w:tc>
          <w:tcPr>
            <w:tcW w:w="480" w:type="dxa"/>
            <w:vAlign w:val="bottom"/>
            <w:tcBorders>
              <w:top w:val="single" w:sz="8" w:color="0563C1"/>
              <w:bottom w:val="single" w:sz="8" w:color="91BBD3"/>
            </w:tcBorders>
          </w:tcPr>
          <w:p>
            <w:pPr>
              <w:spacing w:after="0"/>
              <w:rPr>
                <w:sz w:val="4"/>
                <w:szCs w:val="4"/>
                <w:color w:val="auto"/>
              </w:rPr>
            </w:pPr>
          </w:p>
        </w:tc>
        <w:tc>
          <w:tcPr>
            <w:tcW w:w="80" w:type="dxa"/>
            <w:vAlign w:val="bottom"/>
            <w:tcBorders>
              <w:top w:val="single" w:sz="8" w:color="0563C1"/>
              <w:bottom w:val="single" w:sz="8" w:color="91BBD3"/>
            </w:tcBorders>
          </w:tcPr>
          <w:p>
            <w:pPr>
              <w:spacing w:after="0"/>
              <w:rPr>
                <w:sz w:val="4"/>
                <w:szCs w:val="4"/>
                <w:color w:val="auto"/>
              </w:rPr>
            </w:pPr>
          </w:p>
        </w:tc>
        <w:tc>
          <w:tcPr>
            <w:tcW w:w="160" w:type="dxa"/>
            <w:vAlign w:val="bottom"/>
            <w:tcBorders>
              <w:top w:val="single" w:sz="8" w:color="0563C1"/>
              <w:bottom w:val="single" w:sz="8" w:color="91BBD3"/>
            </w:tcBorders>
          </w:tcPr>
          <w:p>
            <w:pPr>
              <w:spacing w:after="0"/>
              <w:rPr>
                <w:sz w:val="4"/>
                <w:szCs w:val="4"/>
                <w:color w:val="auto"/>
              </w:rPr>
            </w:pPr>
          </w:p>
        </w:tc>
        <w:tc>
          <w:tcPr>
            <w:tcW w:w="560" w:type="dxa"/>
            <w:vAlign w:val="bottom"/>
            <w:tcBorders>
              <w:top w:val="single" w:sz="8" w:color="0563C1"/>
              <w:bottom w:val="single" w:sz="8" w:color="91BBD3"/>
            </w:tcBorders>
          </w:tcPr>
          <w:p>
            <w:pPr>
              <w:spacing w:after="0"/>
              <w:rPr>
                <w:sz w:val="4"/>
                <w:szCs w:val="4"/>
                <w:color w:val="auto"/>
              </w:rPr>
            </w:pPr>
          </w:p>
        </w:tc>
        <w:tc>
          <w:tcPr>
            <w:tcW w:w="40" w:type="dxa"/>
            <w:vAlign w:val="bottom"/>
            <w:tcBorders>
              <w:bottom w:val="single" w:sz="8" w:color="91BBD3"/>
            </w:tcBorders>
          </w:tcPr>
          <w:p>
            <w:pPr>
              <w:spacing w:after="0"/>
              <w:rPr>
                <w:sz w:val="4"/>
                <w:szCs w:val="4"/>
                <w:color w:val="auto"/>
              </w:rPr>
            </w:pPr>
          </w:p>
        </w:tc>
        <w:tc>
          <w:tcPr>
            <w:tcW w:w="14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2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bottom w:val="single" w:sz="8" w:color="DAE8F0"/>
              <w:right w:val="single" w:sz="8" w:color="91BBD3"/>
            </w:tcBorders>
            <w:shd w:val="clear" w:color="auto" w:fill="DAE8F0"/>
          </w:tcPr>
          <w:p>
            <w:pPr>
              <w:ind w:left="100"/>
              <w:spacing w:after="0" w:line="169" w:lineRule="exact"/>
              <w:rPr>
                <w:sz w:val="20"/>
                <w:szCs w:val="20"/>
                <w:color w:val="auto"/>
              </w:rPr>
            </w:pPr>
            <w:r>
              <w:rPr>
                <w:rFonts w:ascii="Calibri" w:cs="Calibri" w:eastAsia="Calibri" w:hAnsi="Calibri"/>
                <w:sz w:val="18"/>
                <w:szCs w:val="18"/>
                <w:b w:val="1"/>
                <w:bCs w:val="1"/>
                <w:color w:val="auto"/>
              </w:rPr>
              <w:t>10.09</w:t>
            </w:r>
          </w:p>
        </w:tc>
        <w:tc>
          <w:tcPr>
            <w:tcW w:w="100" w:type="dxa"/>
            <w:vAlign w:val="bottom"/>
            <w:tcBorders>
              <w:bottom w:val="single" w:sz="8" w:color="DAE8F0"/>
            </w:tcBorders>
            <w:shd w:val="clear" w:color="auto" w:fill="DAE8F0"/>
          </w:tcPr>
          <w:p>
            <w:pPr>
              <w:spacing w:after="0"/>
              <w:rPr>
                <w:sz w:val="14"/>
                <w:szCs w:val="14"/>
                <w:color w:val="auto"/>
              </w:rPr>
            </w:pPr>
          </w:p>
        </w:tc>
        <w:tc>
          <w:tcPr>
            <w:tcW w:w="9020" w:type="dxa"/>
            <w:vAlign w:val="bottom"/>
            <w:tcBorders>
              <w:bottom w:val="single" w:sz="8" w:color="0563C1"/>
            </w:tcBorders>
            <w:gridSpan w:val="12"/>
            <w:shd w:val="clear" w:color="auto" w:fill="DAE8F0"/>
          </w:tcPr>
          <w:p>
            <w:pPr>
              <w:spacing w:after="0" w:line="169" w:lineRule="exact"/>
              <w:rPr>
                <w:rFonts w:ascii="Calibri" w:cs="Calibri" w:eastAsia="Calibri" w:hAnsi="Calibri"/>
                <w:sz w:val="18"/>
                <w:szCs w:val="18"/>
                <w:color w:val="0563C1"/>
              </w:rPr>
            </w:pPr>
            <w:hyperlink r:id="rId741">
              <w:r>
                <w:rPr>
                  <w:rFonts w:ascii="Calibri" w:cs="Calibri" w:eastAsia="Calibri" w:hAnsi="Calibri"/>
                  <w:sz w:val="18"/>
                  <w:szCs w:val="18"/>
                  <w:color w:val="0563C1"/>
                </w:rPr>
                <w:t>Ninth Amendment to Credit and Security Agreement, dated as of April 17, 2018, among Martn Marieta Funding LLC, as</w:t>
              </w:r>
            </w:hyperlink>
          </w:p>
        </w:tc>
        <w:tc>
          <w:tcPr>
            <w:tcW w:w="100" w:type="dxa"/>
            <w:vAlign w:val="bottom"/>
            <w:tcBorders>
              <w:bottom w:val="single" w:sz="8" w:color="DAE8F0"/>
              <w:right w:val="single" w:sz="8" w:color="91BBD3"/>
            </w:tcBorders>
            <w:shd w:val="clear" w:color="auto" w:fill="DAE8F0"/>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000" w:type="dxa"/>
            <w:vAlign w:val="bottom"/>
            <w:tcBorders>
              <w:bottom w:val="single" w:sz="8" w:color="0563C1"/>
            </w:tcBorders>
            <w:gridSpan w:val="11"/>
            <w:shd w:val="clear" w:color="auto" w:fill="DAE8F0"/>
          </w:tcPr>
          <w:p>
            <w:pPr>
              <w:spacing w:after="0" w:line="196" w:lineRule="exact"/>
              <w:rPr>
                <w:rFonts w:ascii="Calibri" w:cs="Calibri" w:eastAsia="Calibri" w:hAnsi="Calibri"/>
                <w:sz w:val="18"/>
                <w:szCs w:val="18"/>
                <w:color w:val="0563C1"/>
                <w:w w:val="98"/>
              </w:rPr>
            </w:pPr>
            <w:hyperlink r:id="rId741">
              <w:r>
                <w:rPr>
                  <w:rFonts w:ascii="Calibri" w:cs="Calibri" w:eastAsia="Calibri" w:hAnsi="Calibri"/>
                  <w:sz w:val="18"/>
                  <w:szCs w:val="18"/>
                  <w:color w:val="0563C1"/>
                  <w:w w:val="98"/>
                </w:rPr>
                <w:t>borrower, Martn Marieta Materials, Inc., as servicer, and Truist Bank, as lender, together with the other lenders from tme to</w:t>
              </w:r>
            </w:hyperlink>
          </w:p>
        </w:tc>
        <w:tc>
          <w:tcPr>
            <w:tcW w:w="120" w:type="dxa"/>
            <w:vAlign w:val="bottom"/>
            <w:tcBorders>
              <w:bottom w:val="single" w:sz="8" w:color="DAE8F0"/>
              <w:right w:val="single" w:sz="8" w:color="91BBD3"/>
            </w:tcBorders>
            <w:gridSpan w:val="2"/>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9120" w:type="dxa"/>
            <w:vAlign w:val="bottom"/>
            <w:tcBorders>
              <w:bottom w:val="single" w:sz="8" w:color="0563C1"/>
              <w:right w:val="single" w:sz="8" w:color="91BBD3"/>
            </w:tcBorders>
            <w:gridSpan w:val="13"/>
            <w:shd w:val="clear" w:color="auto" w:fill="DAE8F0"/>
          </w:tcPr>
          <w:p>
            <w:pPr>
              <w:spacing w:after="0" w:line="196" w:lineRule="exact"/>
              <w:rPr>
                <w:rFonts w:ascii="Calibri" w:cs="Calibri" w:eastAsia="Calibri" w:hAnsi="Calibri"/>
                <w:sz w:val="18"/>
                <w:szCs w:val="18"/>
                <w:color w:val="0563C1"/>
              </w:rPr>
            </w:pPr>
            <w:hyperlink r:id="rId741">
              <w:r>
                <w:rPr>
                  <w:rFonts w:ascii="Calibri" w:cs="Calibri" w:eastAsia="Calibri" w:hAnsi="Calibri"/>
                  <w:sz w:val="18"/>
                  <w:szCs w:val="18"/>
                  <w:color w:val="0563C1"/>
                </w:rPr>
                <w:t>tme party thereto, and Truist Bank, as administratve agent for the lenders (incorporated by reference to Exhibit 10.1 to the</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0" w:type="dxa"/>
            <w:vAlign w:val="bottom"/>
            <w:tcBorders>
              <w:right w:val="single" w:sz="8" w:color="91BBD3"/>
            </w:tcBorders>
          </w:tcPr>
          <w:p>
            <w:pPr>
              <w:spacing w:after="0"/>
              <w:rPr>
                <w:sz w:val="21"/>
                <w:szCs w:val="21"/>
                <w:color w:val="auto"/>
              </w:rPr>
            </w:pPr>
          </w:p>
        </w:tc>
        <w:tc>
          <w:tcPr>
            <w:tcW w:w="1660" w:type="dxa"/>
            <w:vAlign w:val="bottom"/>
            <w:tcBorders>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3"/>
            <w:shd w:val="clear" w:color="auto" w:fill="DAE8F0"/>
          </w:tcPr>
          <w:p>
            <w:pPr>
              <w:spacing w:after="0" w:line="196" w:lineRule="exact"/>
              <w:rPr>
                <w:rFonts w:ascii="Calibri" w:cs="Calibri" w:eastAsia="Calibri" w:hAnsi="Calibri"/>
                <w:sz w:val="18"/>
                <w:szCs w:val="18"/>
                <w:color w:val="0563C1"/>
              </w:rPr>
            </w:pPr>
            <w:hyperlink r:id="rId741">
              <w:r>
                <w:rPr>
                  <w:rFonts w:ascii="Calibri" w:cs="Calibri" w:eastAsia="Calibri" w:hAnsi="Calibri"/>
                  <w:sz w:val="18"/>
                  <w:szCs w:val="18"/>
                  <w:color w:val="0563C1"/>
                </w:rPr>
                <w:t>Martn Marieta Materials, Inc. Current Report on Form 8-K fled on April 17, 2018) (Commission File No. 1-12744)</w:t>
              </w:r>
            </w:hyperlink>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4520" w:type="dxa"/>
            <w:vAlign w:val="bottom"/>
            <w:tcBorders>
              <w:top w:val="single" w:sz="8" w:color="0563C1"/>
            </w:tcBorders>
            <w:shd w:val="clear" w:color="auto" w:fill="91BBD3"/>
          </w:tcPr>
          <w:p>
            <w:pPr>
              <w:spacing w:after="0" w:line="20" w:lineRule="exact"/>
              <w:rPr>
                <w:sz w:val="1"/>
                <w:szCs w:val="1"/>
                <w:color w:val="auto"/>
              </w:rPr>
            </w:pPr>
          </w:p>
        </w:tc>
        <w:tc>
          <w:tcPr>
            <w:tcW w:w="238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180" w:type="dxa"/>
            <w:vAlign w:val="bottom"/>
            <w:tcBorders>
              <w:top w:val="single" w:sz="8" w:color="0563C1"/>
            </w:tcBorders>
            <w:shd w:val="clear" w:color="auto" w:fill="91BBD3"/>
          </w:tcPr>
          <w:p>
            <w:pPr>
              <w:spacing w:after="0" w:line="20" w:lineRule="exact"/>
              <w:rPr>
                <w:sz w:val="1"/>
                <w:szCs w:val="1"/>
                <w:color w:val="auto"/>
              </w:rPr>
            </w:pPr>
          </w:p>
        </w:tc>
        <w:tc>
          <w:tcPr>
            <w:tcW w:w="480" w:type="dxa"/>
            <w:vAlign w:val="bottom"/>
            <w:tcBorders>
              <w:top w:val="single" w:sz="8" w:color="0563C1"/>
            </w:tcBorders>
            <w:shd w:val="clear" w:color="auto" w:fill="91BBD3"/>
          </w:tcPr>
          <w:p>
            <w:pPr>
              <w:spacing w:after="0" w:line="20" w:lineRule="exact"/>
              <w:rPr>
                <w:sz w:val="1"/>
                <w:szCs w:val="1"/>
                <w:color w:val="auto"/>
              </w:rPr>
            </w:pPr>
          </w:p>
        </w:tc>
        <w:tc>
          <w:tcPr>
            <w:tcW w:w="80" w:type="dxa"/>
            <w:vAlign w:val="bottom"/>
            <w:tcBorders>
              <w:top w:val="single" w:sz="8" w:color="0563C1"/>
            </w:tcBorders>
            <w:shd w:val="clear" w:color="auto" w:fill="91BBD3"/>
          </w:tcPr>
          <w:p>
            <w:pPr>
              <w:spacing w:after="0" w:line="20" w:lineRule="exact"/>
              <w:rPr>
                <w:sz w:val="1"/>
                <w:szCs w:val="1"/>
                <w:color w:val="auto"/>
              </w:rPr>
            </w:pPr>
          </w:p>
        </w:tc>
        <w:tc>
          <w:tcPr>
            <w:tcW w:w="160" w:type="dxa"/>
            <w:vAlign w:val="bottom"/>
            <w:tcBorders>
              <w:top w:val="single" w:sz="8" w:color="DAE8F0"/>
            </w:tcBorders>
            <w:shd w:val="clear" w:color="auto" w:fill="91BBD3"/>
          </w:tcPr>
          <w:p>
            <w:pPr>
              <w:spacing w:after="0" w:line="20" w:lineRule="exact"/>
              <w:rPr>
                <w:sz w:val="1"/>
                <w:szCs w:val="1"/>
                <w:color w:val="auto"/>
              </w:rPr>
            </w:pPr>
          </w:p>
        </w:tc>
        <w:tc>
          <w:tcPr>
            <w:tcW w:w="56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20" w:type="dxa"/>
            <w:vAlign w:val="bottom"/>
            <w:tcBorders>
              <w:top w:val="single" w:sz="8" w:color="DAE8F0"/>
            </w:tcBorders>
            <w:shd w:val="clear" w:color="auto" w:fill="91BBD3"/>
          </w:tcPr>
          <w:p>
            <w:pPr>
              <w:spacing w:after="0" w:line="20" w:lineRule="exact"/>
              <w:rPr>
                <w:sz w:val="1"/>
                <w:szCs w:val="1"/>
                <w:color w:val="auto"/>
              </w:rPr>
            </w:pPr>
          </w:p>
        </w:tc>
        <w:tc>
          <w:tcPr>
            <w:tcW w:w="1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860" w:type="dxa"/>
            <w:vAlign w:val="bottom"/>
            <w:gridSpan w:val="2"/>
          </w:tcPr>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116</w:t>
            </w:r>
          </w:p>
        </w:tc>
        <w:tc>
          <w:tcPr>
            <w:tcW w:w="1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2"/>
        </w:trPr>
        <w:tc>
          <w:tcPr>
            <w:tcW w:w="2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-814070</wp:posOffset>
            </wp:positionV>
            <wp:extent cx="325755" cy="1968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308"/>
        </w:trPr>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40" w:type="dxa"/>
            <w:vAlign w:val="bottom"/>
            <w:gridSpan w:val="6"/>
          </w:tcPr>
          <w:p>
            <w:pPr>
              <w:ind w:left="1020"/>
              <w:spacing w:after="0"/>
              <w:rPr>
                <w:sz w:val="20"/>
                <w:szCs w:val="20"/>
                <w:color w:val="auto"/>
              </w:rPr>
            </w:pPr>
            <w:r>
              <w:rPr>
                <w:rFonts w:ascii="MS PGothic" w:cs="MS PGothic" w:eastAsia="MS PGothic" w:hAnsi="MS PGothic"/>
                <w:sz w:val="18"/>
                <w:szCs w:val="18"/>
                <w:color w:val="auto"/>
                <w:w w:val="93"/>
              </w:rPr>
              <w:t xml:space="preserve">Part IV </w:t>
            </w:r>
            <w:r>
              <w:rPr>
                <w:rFonts w:ascii="Arial" w:cs="Arial" w:eastAsia="Arial" w:hAnsi="Arial"/>
                <w:sz w:val="23"/>
                <w:szCs w:val="23"/>
                <w:color w:val="0070C0"/>
                <w:w w:val="93"/>
              </w:rPr>
              <w:t>♦</w:t>
            </w:r>
            <w:r>
              <w:rPr>
                <w:rFonts w:ascii="MS PGothic" w:cs="MS PGothic" w:eastAsia="MS PGothic" w:hAnsi="MS PGothic"/>
                <w:sz w:val="18"/>
                <w:szCs w:val="18"/>
                <w:color w:val="auto"/>
                <w:w w:val="93"/>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200" w:type="dxa"/>
            <w:vAlign w:val="bottom"/>
          </w:tcPr>
          <w:p>
            <w:pPr>
              <w:spacing w:after="0"/>
              <w:rPr>
                <w:sz w:val="14"/>
                <w:szCs w:val="14"/>
                <w:color w:val="auto"/>
              </w:rPr>
            </w:pPr>
          </w:p>
        </w:tc>
        <w:tc>
          <w:tcPr>
            <w:tcW w:w="166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500" w:type="dxa"/>
            <w:vAlign w:val="bottom"/>
            <w:tcBorders>
              <w:bottom w:val="single" w:sz="8" w:color="007DC6"/>
            </w:tcBorders>
          </w:tcPr>
          <w:p>
            <w:pPr>
              <w:spacing w:after="0"/>
              <w:rPr>
                <w:sz w:val="14"/>
                <w:szCs w:val="14"/>
                <w:color w:val="auto"/>
              </w:rPr>
            </w:pPr>
          </w:p>
        </w:tc>
        <w:tc>
          <w:tcPr>
            <w:tcW w:w="880" w:type="dxa"/>
            <w:vAlign w:val="bottom"/>
            <w:tcBorders>
              <w:bottom w:val="single" w:sz="8" w:color="007DC6"/>
            </w:tcBorders>
          </w:tcPr>
          <w:p>
            <w:pPr>
              <w:spacing w:after="0"/>
              <w:rPr>
                <w:sz w:val="14"/>
                <w:szCs w:val="14"/>
                <w:color w:val="auto"/>
              </w:rPr>
            </w:pPr>
          </w:p>
        </w:tc>
        <w:tc>
          <w:tcPr>
            <w:tcW w:w="960" w:type="dxa"/>
            <w:vAlign w:val="bottom"/>
            <w:tcBorders>
              <w:bottom w:val="single" w:sz="8" w:color="007DC6"/>
            </w:tcBorders>
          </w:tcPr>
          <w:p>
            <w:pPr>
              <w:spacing w:after="0"/>
              <w:rPr>
                <w:sz w:val="14"/>
                <w:szCs w:val="14"/>
                <w:color w:val="auto"/>
              </w:rPr>
            </w:pPr>
          </w:p>
        </w:tc>
        <w:tc>
          <w:tcPr>
            <w:tcW w:w="460" w:type="dxa"/>
            <w:vAlign w:val="bottom"/>
            <w:tcBorders>
              <w:bottom w:val="single" w:sz="8" w:color="007DC6"/>
            </w:tcBorders>
          </w:tcPr>
          <w:p>
            <w:pPr>
              <w:spacing w:after="0"/>
              <w:rPr>
                <w:sz w:val="14"/>
                <w:szCs w:val="14"/>
                <w:color w:val="auto"/>
              </w:rPr>
            </w:pPr>
          </w:p>
        </w:tc>
        <w:tc>
          <w:tcPr>
            <w:tcW w:w="900" w:type="dxa"/>
            <w:vAlign w:val="bottom"/>
            <w:tcBorders>
              <w:bottom w:val="single" w:sz="8" w:color="007DC6"/>
            </w:tcBorders>
          </w:tcPr>
          <w:p>
            <w:pPr>
              <w:spacing w:after="0"/>
              <w:rPr>
                <w:sz w:val="14"/>
                <w:szCs w:val="14"/>
                <w:color w:val="auto"/>
              </w:rPr>
            </w:pPr>
          </w:p>
        </w:tc>
        <w:tc>
          <w:tcPr>
            <w:tcW w:w="40" w:type="dxa"/>
            <w:vAlign w:val="bottom"/>
            <w:tcBorders>
              <w:bottom w:val="single" w:sz="8" w:color="007DC6"/>
            </w:tcBorders>
          </w:tcPr>
          <w:p>
            <w:pPr>
              <w:spacing w:after="0"/>
              <w:rPr>
                <w:sz w:val="14"/>
                <w:szCs w:val="14"/>
                <w:color w:val="auto"/>
              </w:rPr>
            </w:pPr>
          </w:p>
        </w:tc>
        <w:tc>
          <w:tcPr>
            <w:tcW w:w="1980" w:type="dxa"/>
            <w:vAlign w:val="bottom"/>
            <w:tcBorders>
              <w:bottom w:val="single" w:sz="8" w:color="007DC6"/>
            </w:tcBorders>
          </w:tcPr>
          <w:p>
            <w:pPr>
              <w:spacing w:after="0"/>
              <w:rPr>
                <w:sz w:val="14"/>
                <w:szCs w:val="14"/>
                <w:color w:val="auto"/>
              </w:rPr>
            </w:pPr>
          </w:p>
        </w:tc>
        <w:tc>
          <w:tcPr>
            <w:tcW w:w="1180" w:type="dxa"/>
            <w:vAlign w:val="bottom"/>
            <w:tcBorders>
              <w:bottom w:val="single" w:sz="8" w:color="007DC6"/>
            </w:tcBorders>
          </w:tcPr>
          <w:p>
            <w:pPr>
              <w:spacing w:after="0"/>
              <w:rPr>
                <w:sz w:val="14"/>
                <w:szCs w:val="14"/>
                <w:color w:val="auto"/>
              </w:rPr>
            </w:pPr>
          </w:p>
        </w:tc>
        <w:tc>
          <w:tcPr>
            <w:tcW w:w="1640" w:type="dxa"/>
            <w:vAlign w:val="bottom"/>
            <w:tcBorders>
              <w:bottom w:val="single" w:sz="8" w:color="007DC6"/>
            </w:tcBorders>
          </w:tcPr>
          <w:p>
            <w:pPr>
              <w:spacing w:after="0"/>
              <w:rPr>
                <w:sz w:val="14"/>
                <w:szCs w:val="14"/>
                <w:color w:val="auto"/>
              </w:rPr>
            </w:pPr>
          </w:p>
        </w:tc>
        <w:tc>
          <w:tcPr>
            <w:tcW w:w="440" w:type="dxa"/>
            <w:vAlign w:val="bottom"/>
            <w:tcBorders>
              <w:bottom w:val="single" w:sz="8" w:color="007DC6"/>
            </w:tcBorders>
          </w:tcPr>
          <w:p>
            <w:pPr>
              <w:spacing w:after="0"/>
              <w:rPr>
                <w:sz w:val="14"/>
                <w:szCs w:val="14"/>
                <w:color w:val="auto"/>
              </w:rPr>
            </w:pPr>
          </w:p>
        </w:tc>
        <w:tc>
          <w:tcPr>
            <w:tcW w:w="140" w:type="dxa"/>
            <w:vAlign w:val="bottom"/>
            <w:tcBorders>
              <w:bottom w:val="single" w:sz="8" w:color="007DC6"/>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1"/>
        </w:trPr>
        <w:tc>
          <w:tcPr>
            <w:tcW w:w="200" w:type="dxa"/>
            <w:vAlign w:val="bottom"/>
            <w:tcBorders>
              <w:right w:val="single" w:sz="8" w:color="91BBD3"/>
            </w:tcBorders>
          </w:tcPr>
          <w:p>
            <w:pPr>
              <w:spacing w:after="0"/>
              <w:rPr>
                <w:sz w:val="24"/>
                <w:szCs w:val="24"/>
                <w:color w:val="auto"/>
              </w:rPr>
            </w:pPr>
          </w:p>
        </w:tc>
        <w:tc>
          <w:tcPr>
            <w:tcW w:w="1660" w:type="dxa"/>
            <w:vAlign w:val="bottom"/>
            <w:tcBorders>
              <w:bottom w:val="single" w:sz="8" w:color="007DC6"/>
              <w:right w:val="single" w:sz="8" w:color="91BBD3"/>
            </w:tcBorders>
            <w:shd w:val="clear" w:color="auto" w:fill="007DC6"/>
          </w:tcPr>
          <w:p>
            <w:pPr>
              <w:jc w:val="right"/>
              <w:ind w:right="351"/>
              <w:spacing w:after="0"/>
              <w:rPr>
                <w:sz w:val="20"/>
                <w:szCs w:val="20"/>
                <w:color w:val="auto"/>
              </w:rPr>
            </w:pPr>
            <w:r>
              <w:rPr>
                <w:rFonts w:ascii="Calibri" w:cs="Calibri" w:eastAsia="Calibri" w:hAnsi="Calibri"/>
                <w:sz w:val="18"/>
                <w:szCs w:val="18"/>
                <w:b w:val="1"/>
                <w:bCs w:val="1"/>
                <w:color w:val="FFFFFF"/>
              </w:rPr>
              <w:t>Exhibit No.</w:t>
            </w:r>
          </w:p>
        </w:tc>
        <w:tc>
          <w:tcPr>
            <w:tcW w:w="100" w:type="dxa"/>
            <w:vAlign w:val="bottom"/>
            <w:tcBorders>
              <w:bottom w:val="single" w:sz="8" w:color="007DC6"/>
            </w:tcBorders>
            <w:shd w:val="clear" w:color="auto" w:fill="007DC6"/>
          </w:tcPr>
          <w:p>
            <w:pPr>
              <w:spacing w:after="0"/>
              <w:rPr>
                <w:sz w:val="24"/>
                <w:szCs w:val="24"/>
                <w:color w:val="auto"/>
              </w:rPr>
            </w:pPr>
          </w:p>
        </w:tc>
        <w:tc>
          <w:tcPr>
            <w:tcW w:w="500" w:type="dxa"/>
            <w:vAlign w:val="bottom"/>
            <w:tcBorders>
              <w:bottom w:val="single" w:sz="8" w:color="007DC6"/>
            </w:tcBorders>
            <w:shd w:val="clear" w:color="auto" w:fill="007DC6"/>
          </w:tcPr>
          <w:p>
            <w:pPr>
              <w:spacing w:after="0"/>
              <w:rPr>
                <w:sz w:val="24"/>
                <w:szCs w:val="24"/>
                <w:color w:val="auto"/>
              </w:rPr>
            </w:pPr>
          </w:p>
        </w:tc>
        <w:tc>
          <w:tcPr>
            <w:tcW w:w="880" w:type="dxa"/>
            <w:vAlign w:val="bottom"/>
            <w:tcBorders>
              <w:bottom w:val="single" w:sz="8" w:color="007DC6"/>
            </w:tcBorders>
            <w:shd w:val="clear" w:color="auto" w:fill="007DC6"/>
          </w:tcPr>
          <w:p>
            <w:pPr>
              <w:spacing w:after="0"/>
              <w:rPr>
                <w:sz w:val="24"/>
                <w:szCs w:val="24"/>
                <w:color w:val="auto"/>
              </w:rPr>
            </w:pPr>
          </w:p>
        </w:tc>
        <w:tc>
          <w:tcPr>
            <w:tcW w:w="960" w:type="dxa"/>
            <w:vAlign w:val="bottom"/>
            <w:tcBorders>
              <w:bottom w:val="single" w:sz="8" w:color="007DC6"/>
            </w:tcBorders>
            <w:shd w:val="clear" w:color="auto" w:fill="007DC6"/>
          </w:tcPr>
          <w:p>
            <w:pPr>
              <w:spacing w:after="0"/>
              <w:rPr>
                <w:sz w:val="24"/>
                <w:szCs w:val="24"/>
                <w:color w:val="auto"/>
              </w:rPr>
            </w:pPr>
          </w:p>
        </w:tc>
        <w:tc>
          <w:tcPr>
            <w:tcW w:w="460" w:type="dxa"/>
            <w:vAlign w:val="bottom"/>
            <w:tcBorders>
              <w:bottom w:val="single" w:sz="8" w:color="007DC6"/>
            </w:tcBorders>
            <w:shd w:val="clear" w:color="auto" w:fill="007DC6"/>
          </w:tcPr>
          <w:p>
            <w:pPr>
              <w:spacing w:after="0"/>
              <w:rPr>
                <w:sz w:val="24"/>
                <w:szCs w:val="24"/>
                <w:color w:val="auto"/>
              </w:rPr>
            </w:pPr>
          </w:p>
        </w:tc>
        <w:tc>
          <w:tcPr>
            <w:tcW w:w="900" w:type="dxa"/>
            <w:vAlign w:val="bottom"/>
            <w:tcBorders>
              <w:bottom w:val="single" w:sz="8" w:color="007DC6"/>
            </w:tcBorders>
            <w:shd w:val="clear" w:color="auto" w:fill="007DC6"/>
          </w:tcPr>
          <w:p>
            <w:pPr>
              <w:spacing w:after="0"/>
              <w:rPr>
                <w:sz w:val="24"/>
                <w:szCs w:val="24"/>
                <w:color w:val="auto"/>
              </w:rPr>
            </w:pPr>
          </w:p>
        </w:tc>
        <w:tc>
          <w:tcPr>
            <w:tcW w:w="40" w:type="dxa"/>
            <w:vAlign w:val="bottom"/>
            <w:tcBorders>
              <w:bottom w:val="single" w:sz="8" w:color="007DC6"/>
            </w:tcBorders>
            <w:shd w:val="clear" w:color="auto" w:fill="007DC6"/>
          </w:tcPr>
          <w:p>
            <w:pPr>
              <w:spacing w:after="0"/>
              <w:rPr>
                <w:sz w:val="24"/>
                <w:szCs w:val="24"/>
                <w:color w:val="auto"/>
              </w:rPr>
            </w:pPr>
          </w:p>
        </w:tc>
        <w:tc>
          <w:tcPr>
            <w:tcW w:w="1980" w:type="dxa"/>
            <w:vAlign w:val="bottom"/>
            <w:tcBorders>
              <w:bottom w:val="single" w:sz="8" w:color="007DC6"/>
            </w:tcBorders>
            <w:shd w:val="clear" w:color="auto" w:fill="007DC6"/>
          </w:tcPr>
          <w:p>
            <w:pPr>
              <w:spacing w:after="0"/>
              <w:rPr>
                <w:sz w:val="24"/>
                <w:szCs w:val="24"/>
                <w:color w:val="auto"/>
              </w:rPr>
            </w:pPr>
          </w:p>
        </w:tc>
        <w:tc>
          <w:tcPr>
            <w:tcW w:w="1180" w:type="dxa"/>
            <w:vAlign w:val="bottom"/>
            <w:tcBorders>
              <w:bottom w:val="single" w:sz="8" w:color="007DC6"/>
            </w:tcBorders>
            <w:shd w:val="clear" w:color="auto" w:fill="007DC6"/>
          </w:tcPr>
          <w:p>
            <w:pPr>
              <w:spacing w:after="0"/>
              <w:rPr>
                <w:sz w:val="24"/>
                <w:szCs w:val="24"/>
                <w:color w:val="auto"/>
              </w:rPr>
            </w:pPr>
          </w:p>
        </w:tc>
        <w:tc>
          <w:tcPr>
            <w:tcW w:w="1640" w:type="dxa"/>
            <w:vAlign w:val="bottom"/>
            <w:tcBorders>
              <w:bottom w:val="single" w:sz="8" w:color="007DC6"/>
            </w:tcBorders>
            <w:shd w:val="clear" w:color="auto" w:fill="007DC6"/>
          </w:tcPr>
          <w:p>
            <w:pPr>
              <w:spacing w:after="0"/>
              <w:rPr>
                <w:sz w:val="24"/>
                <w:szCs w:val="24"/>
                <w:color w:val="auto"/>
              </w:rPr>
            </w:pPr>
          </w:p>
        </w:tc>
        <w:tc>
          <w:tcPr>
            <w:tcW w:w="440" w:type="dxa"/>
            <w:vAlign w:val="bottom"/>
            <w:tcBorders>
              <w:bottom w:val="single" w:sz="8" w:color="007DC6"/>
            </w:tcBorders>
            <w:shd w:val="clear" w:color="auto" w:fill="007DC6"/>
          </w:tcPr>
          <w:p>
            <w:pPr>
              <w:spacing w:after="0"/>
              <w:rPr>
                <w:sz w:val="24"/>
                <w:szCs w:val="24"/>
                <w:color w:val="auto"/>
              </w:rPr>
            </w:pPr>
          </w:p>
        </w:tc>
        <w:tc>
          <w:tcPr>
            <w:tcW w:w="140" w:type="dxa"/>
            <w:vAlign w:val="bottom"/>
            <w:tcBorders>
              <w:left w:val="single" w:sz="8" w:color="007DC6"/>
              <w:bottom w:val="single" w:sz="8" w:color="007DC6"/>
              <w:right w:val="single" w:sz="8" w:color="91BBD3"/>
            </w:tcBorders>
            <w:shd w:val="clear" w:color="auto" w:fill="007DC6"/>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right w:val="single" w:sz="8" w:color="91BBD3"/>
            </w:tcBorders>
          </w:tcPr>
          <w:p>
            <w:pPr>
              <w:spacing w:after="0"/>
              <w:rPr>
                <w:sz w:val="12"/>
                <w:szCs w:val="12"/>
                <w:color w:val="auto"/>
              </w:rPr>
            </w:pPr>
          </w:p>
        </w:tc>
        <w:tc>
          <w:tcPr>
            <w:tcW w:w="1660" w:type="dxa"/>
            <w:vAlign w:val="bottom"/>
            <w:tcBorders>
              <w:top w:val="single" w:sz="8" w:color="91BBD3"/>
              <w:right w:val="single" w:sz="8" w:color="91BBD3"/>
            </w:tcBorders>
          </w:tcPr>
          <w:p>
            <w:pPr>
              <w:jc w:val="right"/>
              <w:ind w:right="1071"/>
              <w:spacing w:after="0" w:line="149" w:lineRule="exact"/>
              <w:rPr>
                <w:sz w:val="20"/>
                <w:szCs w:val="20"/>
                <w:color w:val="auto"/>
              </w:rPr>
            </w:pPr>
            <w:r>
              <w:rPr>
                <w:rFonts w:ascii="Calibri" w:cs="Calibri" w:eastAsia="Calibri" w:hAnsi="Calibri"/>
                <w:sz w:val="16"/>
                <w:szCs w:val="16"/>
                <w:b w:val="1"/>
                <w:bCs w:val="1"/>
                <w:color w:val="auto"/>
              </w:rPr>
              <w:t>10.10</w:t>
            </w:r>
          </w:p>
        </w:tc>
        <w:tc>
          <w:tcPr>
            <w:tcW w:w="100" w:type="dxa"/>
            <w:vAlign w:val="bottom"/>
            <w:tcBorders>
              <w:top w:val="single" w:sz="8" w:color="91BBD3"/>
            </w:tcBorders>
          </w:tcPr>
          <w:p>
            <w:pPr>
              <w:spacing w:after="0"/>
              <w:rPr>
                <w:sz w:val="12"/>
                <w:szCs w:val="12"/>
                <w:color w:val="auto"/>
              </w:rPr>
            </w:pPr>
          </w:p>
        </w:tc>
        <w:tc>
          <w:tcPr>
            <w:tcW w:w="9120" w:type="dxa"/>
            <w:vAlign w:val="bottom"/>
            <w:tcBorders>
              <w:top w:val="single" w:sz="8" w:color="91BBD3"/>
              <w:right w:val="single" w:sz="8" w:color="91BBD3"/>
            </w:tcBorders>
            <w:gridSpan w:val="11"/>
          </w:tcPr>
          <w:p>
            <w:pPr>
              <w:spacing w:after="0" w:line="149" w:lineRule="exact"/>
              <w:rPr>
                <w:rFonts w:ascii="MS PGothic" w:cs="MS PGothic" w:eastAsia="MS PGothic" w:hAnsi="MS PGothic"/>
                <w:sz w:val="18"/>
                <w:szCs w:val="18"/>
                <w:color w:val="0563C1"/>
                <w:w w:val="96"/>
              </w:rPr>
            </w:pPr>
            <w:hyperlink r:id="rId745">
              <w:r>
                <w:rPr>
                  <w:rFonts w:ascii="MS PGothic" w:cs="MS PGothic" w:eastAsia="MS PGothic" w:hAnsi="MS PGothic"/>
                  <w:sz w:val="18"/>
                  <w:szCs w:val="18"/>
                  <w:color w:val="0563C1"/>
                  <w:w w:val="96"/>
                </w:rPr>
                <w:t>Tenth Amendment to Credit and Security Agreement, dated as of September 28, 2018, among Martn Marieta Funding LLC, as</w:t>
              </w:r>
            </w:hyperlink>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980" w:type="dxa"/>
            <w:vAlign w:val="bottom"/>
            <w:shd w:val="clear" w:color="auto" w:fill="0563C1"/>
          </w:tcPr>
          <w:p>
            <w:pPr>
              <w:spacing w:after="0" w:line="20" w:lineRule="exact"/>
              <w:rPr>
                <w:sz w:val="1"/>
                <w:szCs w:val="1"/>
                <w:color w:val="auto"/>
              </w:rPr>
            </w:pPr>
          </w:p>
        </w:tc>
        <w:tc>
          <w:tcPr>
            <w:tcW w:w="1180" w:type="dxa"/>
            <w:vAlign w:val="bottom"/>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10"/>
          </w:tcPr>
          <w:p>
            <w:pPr>
              <w:spacing w:after="0"/>
              <w:rPr>
                <w:rFonts w:ascii="MS PGothic" w:cs="MS PGothic" w:eastAsia="MS PGothic" w:hAnsi="MS PGothic"/>
                <w:sz w:val="18"/>
                <w:szCs w:val="18"/>
                <w:color w:val="0563C1"/>
                <w:w w:val="96"/>
              </w:rPr>
            </w:pPr>
            <w:hyperlink r:id="rId745">
              <w:r>
                <w:rPr>
                  <w:rFonts w:ascii="MS PGothic" w:cs="MS PGothic" w:eastAsia="MS PGothic" w:hAnsi="MS PGothic"/>
                  <w:sz w:val="18"/>
                  <w:szCs w:val="18"/>
                  <w:color w:val="0563C1"/>
                  <w:w w:val="96"/>
                </w:rPr>
                <w:t>borrower, Martn Marieta Materials, Inc., as servicer, and Truist Bank, as lender, together with the other lenders from tme to</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10"/>
          </w:tcPr>
          <w:p>
            <w:pPr>
              <w:spacing w:after="0"/>
              <w:rPr>
                <w:rFonts w:ascii="MS PGothic" w:cs="MS PGothic" w:eastAsia="MS PGothic" w:hAnsi="MS PGothic"/>
                <w:sz w:val="18"/>
                <w:szCs w:val="18"/>
                <w:color w:val="0563C1"/>
                <w:w w:val="96"/>
              </w:rPr>
            </w:pPr>
            <w:hyperlink r:id="rId745">
              <w:r>
                <w:rPr>
                  <w:rFonts w:ascii="MS PGothic" w:cs="MS PGothic" w:eastAsia="MS PGothic" w:hAnsi="MS PGothic"/>
                  <w:sz w:val="18"/>
                  <w:szCs w:val="18"/>
                  <w:color w:val="0563C1"/>
                  <w:w w:val="96"/>
                </w:rPr>
                <w:t>tme party thereto, and Truist Bank, as administratve agent for the lenders (incorporated by reference to Exhibit 10.1 to the</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rPr>
                <w:rFonts w:ascii="MS PGothic" w:cs="MS PGothic" w:eastAsia="MS PGothic" w:hAnsi="MS PGothic"/>
                <w:sz w:val="18"/>
                <w:szCs w:val="18"/>
                <w:color w:val="0563C1"/>
              </w:rPr>
            </w:pPr>
            <w:hyperlink r:id="rId745">
              <w:r>
                <w:rPr>
                  <w:rFonts w:ascii="MS PGothic" w:cs="MS PGothic" w:eastAsia="MS PGothic" w:hAnsi="MS PGothic"/>
                  <w:sz w:val="18"/>
                  <w:szCs w:val="18"/>
                  <w:color w:val="0563C1"/>
                </w:rPr>
                <w:t>Martn Marieta Materials, Inc. Current Report on Form 8-K fled on September 25, 2018)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500" w:type="dxa"/>
            <w:vAlign w:val="bottom"/>
            <w:tcBorders>
              <w:top w:val="single" w:sz="8" w:color="0563C1"/>
              <w:bottom w:val="single" w:sz="8" w:color="91BBD3"/>
            </w:tcBorders>
          </w:tcPr>
          <w:p>
            <w:pPr>
              <w:spacing w:after="0"/>
              <w:rPr>
                <w:sz w:val="4"/>
                <w:szCs w:val="4"/>
                <w:color w:val="auto"/>
              </w:rPr>
            </w:pPr>
          </w:p>
        </w:tc>
        <w:tc>
          <w:tcPr>
            <w:tcW w:w="880" w:type="dxa"/>
            <w:vAlign w:val="bottom"/>
            <w:tcBorders>
              <w:top w:val="single" w:sz="8" w:color="0563C1"/>
              <w:bottom w:val="single" w:sz="8" w:color="91BBD3"/>
            </w:tcBorders>
          </w:tcPr>
          <w:p>
            <w:pPr>
              <w:spacing w:after="0"/>
              <w:rPr>
                <w:sz w:val="4"/>
                <w:szCs w:val="4"/>
                <w:color w:val="auto"/>
              </w:rPr>
            </w:pPr>
          </w:p>
        </w:tc>
        <w:tc>
          <w:tcPr>
            <w:tcW w:w="960" w:type="dxa"/>
            <w:vAlign w:val="bottom"/>
            <w:tcBorders>
              <w:top w:val="single" w:sz="8" w:color="0563C1"/>
              <w:bottom w:val="single" w:sz="8" w:color="91BBD3"/>
            </w:tcBorders>
          </w:tcPr>
          <w:p>
            <w:pPr>
              <w:spacing w:after="0"/>
              <w:rPr>
                <w:sz w:val="4"/>
                <w:szCs w:val="4"/>
                <w:color w:val="auto"/>
              </w:rPr>
            </w:pPr>
          </w:p>
        </w:tc>
        <w:tc>
          <w:tcPr>
            <w:tcW w:w="460" w:type="dxa"/>
            <w:vAlign w:val="bottom"/>
            <w:tcBorders>
              <w:top w:val="single" w:sz="8" w:color="0563C1"/>
              <w:bottom w:val="single" w:sz="8" w:color="91BBD3"/>
            </w:tcBorders>
          </w:tcPr>
          <w:p>
            <w:pPr>
              <w:spacing w:after="0"/>
              <w:rPr>
                <w:sz w:val="4"/>
                <w:szCs w:val="4"/>
                <w:color w:val="auto"/>
              </w:rPr>
            </w:pPr>
          </w:p>
        </w:tc>
        <w:tc>
          <w:tcPr>
            <w:tcW w:w="900" w:type="dxa"/>
            <w:vAlign w:val="bottom"/>
            <w:tcBorders>
              <w:top w:val="single" w:sz="8" w:color="0563C1"/>
              <w:bottom w:val="single" w:sz="8" w:color="91BBD3"/>
            </w:tcBorders>
          </w:tcPr>
          <w:p>
            <w:pPr>
              <w:spacing w:after="0"/>
              <w:rPr>
                <w:sz w:val="4"/>
                <w:szCs w:val="4"/>
                <w:color w:val="auto"/>
              </w:rPr>
            </w:pPr>
          </w:p>
        </w:tc>
        <w:tc>
          <w:tcPr>
            <w:tcW w:w="40" w:type="dxa"/>
            <w:vAlign w:val="bottom"/>
            <w:tcBorders>
              <w:top w:val="single" w:sz="8" w:color="0563C1"/>
              <w:bottom w:val="single" w:sz="8" w:color="91BBD3"/>
            </w:tcBorders>
          </w:tcPr>
          <w:p>
            <w:pPr>
              <w:spacing w:after="0"/>
              <w:rPr>
                <w:sz w:val="4"/>
                <w:szCs w:val="4"/>
                <w:color w:val="auto"/>
              </w:rPr>
            </w:pPr>
          </w:p>
        </w:tc>
        <w:tc>
          <w:tcPr>
            <w:tcW w:w="1980" w:type="dxa"/>
            <w:vAlign w:val="bottom"/>
            <w:tcBorders>
              <w:top w:val="single" w:sz="8" w:color="0563C1"/>
              <w:bottom w:val="single" w:sz="8" w:color="91BBD3"/>
            </w:tcBorders>
          </w:tcPr>
          <w:p>
            <w:pPr>
              <w:spacing w:after="0"/>
              <w:rPr>
                <w:sz w:val="4"/>
                <w:szCs w:val="4"/>
                <w:color w:val="auto"/>
              </w:rPr>
            </w:pPr>
          </w:p>
        </w:tc>
        <w:tc>
          <w:tcPr>
            <w:tcW w:w="1180" w:type="dxa"/>
            <w:vAlign w:val="bottom"/>
            <w:tcBorders>
              <w:top w:val="single" w:sz="8" w:color="0563C1"/>
              <w:bottom w:val="single" w:sz="8" w:color="91BBD3"/>
            </w:tcBorders>
          </w:tcPr>
          <w:p>
            <w:pPr>
              <w:spacing w:after="0"/>
              <w:rPr>
                <w:sz w:val="4"/>
                <w:szCs w:val="4"/>
                <w:color w:val="auto"/>
              </w:rPr>
            </w:pPr>
          </w:p>
        </w:tc>
        <w:tc>
          <w:tcPr>
            <w:tcW w:w="1640" w:type="dxa"/>
            <w:vAlign w:val="bottom"/>
            <w:tcBorders>
              <w:top w:val="single" w:sz="8" w:color="0563C1"/>
              <w:bottom w:val="single" w:sz="8" w:color="91BBD3"/>
            </w:tcBorders>
          </w:tcPr>
          <w:p>
            <w:pPr>
              <w:spacing w:after="0"/>
              <w:rPr>
                <w:sz w:val="4"/>
                <w:szCs w:val="4"/>
                <w:color w:val="auto"/>
              </w:rPr>
            </w:pPr>
          </w:p>
        </w:tc>
        <w:tc>
          <w:tcPr>
            <w:tcW w:w="44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bottom w:val="single" w:sz="8" w:color="DAE8F0"/>
              <w:right w:val="single" w:sz="8" w:color="91BBD3"/>
            </w:tcBorders>
            <w:shd w:val="clear" w:color="auto" w:fill="DAE8F0"/>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10.11</w:t>
            </w:r>
          </w:p>
        </w:tc>
        <w:tc>
          <w:tcPr>
            <w:tcW w:w="100" w:type="dxa"/>
            <w:vAlign w:val="bottom"/>
            <w:tcBorders>
              <w:bottom w:val="single" w:sz="8" w:color="DAE8F0"/>
            </w:tcBorders>
            <w:shd w:val="clear" w:color="auto" w:fill="DAE8F0"/>
          </w:tcPr>
          <w:p>
            <w:pPr>
              <w:spacing w:after="0"/>
              <w:rPr>
                <w:sz w:val="14"/>
                <w:szCs w:val="14"/>
                <w:color w:val="auto"/>
              </w:rPr>
            </w:pPr>
          </w:p>
        </w:tc>
        <w:tc>
          <w:tcPr>
            <w:tcW w:w="8980" w:type="dxa"/>
            <w:vAlign w:val="bottom"/>
            <w:tcBorders>
              <w:bottom w:val="single" w:sz="8" w:color="0563C1"/>
            </w:tcBorders>
            <w:gridSpan w:val="10"/>
            <w:shd w:val="clear" w:color="auto" w:fill="DAE8F0"/>
          </w:tcPr>
          <w:p>
            <w:pPr>
              <w:spacing w:after="0" w:line="169" w:lineRule="exact"/>
              <w:rPr>
                <w:rFonts w:ascii="MS PGothic" w:cs="MS PGothic" w:eastAsia="MS PGothic" w:hAnsi="MS PGothic"/>
                <w:sz w:val="18"/>
                <w:szCs w:val="18"/>
                <w:color w:val="0563C1"/>
                <w:w w:val="99"/>
              </w:rPr>
            </w:pPr>
            <w:hyperlink r:id="rId746">
              <w:r>
                <w:rPr>
                  <w:rFonts w:ascii="MS PGothic" w:cs="MS PGothic" w:eastAsia="MS PGothic" w:hAnsi="MS PGothic"/>
                  <w:sz w:val="18"/>
                  <w:szCs w:val="18"/>
                  <w:color w:val="0563C1"/>
                  <w:w w:val="99"/>
                </w:rPr>
                <w:t>Eleventh Amendment to Credit and Security Agreement, dated as of September 24, 2019, among Martn Marieta Funding</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0"/>
            <w:shd w:val="clear" w:color="auto" w:fill="DAE8F0"/>
          </w:tcPr>
          <w:p>
            <w:pPr>
              <w:spacing w:after="0"/>
              <w:rPr>
                <w:rFonts w:ascii="MS PGothic" w:cs="MS PGothic" w:eastAsia="MS PGothic" w:hAnsi="MS PGothic"/>
                <w:sz w:val="18"/>
                <w:szCs w:val="18"/>
                <w:color w:val="0563C1"/>
                <w:w w:val="95"/>
              </w:rPr>
            </w:pPr>
            <w:hyperlink r:id="rId746">
              <w:r>
                <w:rPr>
                  <w:rFonts w:ascii="MS PGothic" w:cs="MS PGothic" w:eastAsia="MS PGothic" w:hAnsi="MS PGothic"/>
                  <w:sz w:val="18"/>
                  <w:szCs w:val="18"/>
                  <w:color w:val="0563C1"/>
                  <w:w w:val="95"/>
                </w:rPr>
                <w:t>LLC, as borrower, Martn Marieta Materials, Inc., as servicer, and Truist Bank, as lender, together with the other lenders from</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w w:val="97"/>
              </w:rPr>
            </w:pPr>
            <w:hyperlink r:id="rId746">
              <w:r>
                <w:rPr>
                  <w:rFonts w:ascii="MS PGothic" w:cs="MS PGothic" w:eastAsia="MS PGothic" w:hAnsi="MS PGothic"/>
                  <w:sz w:val="18"/>
                  <w:szCs w:val="18"/>
                  <w:color w:val="0563C1"/>
                  <w:w w:val="97"/>
                </w:rPr>
                <w:t>tme to tme party thereto, and Truist Bank, as administratve agent for the lenders (incorporated by reference to Exhibit 10.1</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980" w:type="dxa"/>
            <w:vAlign w:val="bottom"/>
            <w:shd w:val="clear" w:color="auto" w:fill="0563C1"/>
          </w:tcPr>
          <w:p>
            <w:pPr>
              <w:spacing w:after="0" w:line="20" w:lineRule="exact"/>
              <w:rPr>
                <w:sz w:val="1"/>
                <w:szCs w:val="1"/>
                <w:color w:val="auto"/>
              </w:rPr>
            </w:pPr>
          </w:p>
        </w:tc>
        <w:tc>
          <w:tcPr>
            <w:tcW w:w="1180" w:type="dxa"/>
            <w:vAlign w:val="bottom"/>
            <w:shd w:val="clear" w:color="auto" w:fill="0563C1"/>
          </w:tcPr>
          <w:p>
            <w:pPr>
              <w:spacing w:after="0" w:line="20" w:lineRule="exact"/>
              <w:rPr>
                <w:sz w:val="1"/>
                <w:szCs w:val="1"/>
                <w:color w:val="auto"/>
              </w:rPr>
            </w:pPr>
          </w:p>
        </w:tc>
        <w:tc>
          <w:tcPr>
            <w:tcW w:w="208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rPr>
            </w:pPr>
            <w:hyperlink r:id="rId746">
              <w:r>
                <w:rPr>
                  <w:rFonts w:ascii="MS PGothic" w:cs="MS PGothic" w:eastAsia="MS PGothic" w:hAnsi="MS PGothic"/>
                  <w:sz w:val="18"/>
                  <w:szCs w:val="18"/>
                  <w:color w:val="0563C1"/>
                </w:rPr>
                <w:t>to the Martn Marieta Materials, Inc. Current Report on Form 8-K fled on September 24, 2019) (Commission File No. 1-</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880" w:type="dxa"/>
            <w:vAlign w:val="bottom"/>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980" w:type="dxa"/>
            <w:vAlign w:val="bottom"/>
            <w:shd w:val="clear" w:color="auto" w:fill="0563C1"/>
          </w:tcPr>
          <w:p>
            <w:pPr>
              <w:spacing w:after="0" w:line="20" w:lineRule="exact"/>
              <w:rPr>
                <w:sz w:val="1"/>
                <w:szCs w:val="1"/>
                <w:color w:val="auto"/>
              </w:rPr>
            </w:pPr>
          </w:p>
        </w:tc>
        <w:tc>
          <w:tcPr>
            <w:tcW w:w="1180" w:type="dxa"/>
            <w:vAlign w:val="bottom"/>
            <w:shd w:val="clear" w:color="auto" w:fill="0563C1"/>
          </w:tcPr>
          <w:p>
            <w:pPr>
              <w:spacing w:after="0" w:line="20" w:lineRule="exact"/>
              <w:rPr>
                <w:sz w:val="1"/>
                <w:szCs w:val="1"/>
                <w:color w:val="auto"/>
              </w:rPr>
            </w:pPr>
          </w:p>
        </w:tc>
        <w:tc>
          <w:tcPr>
            <w:tcW w:w="164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0" w:type="dxa"/>
            <w:vAlign w:val="bottom"/>
            <w:tcBorders>
              <w:right w:val="single" w:sz="8" w:color="91BBD3"/>
            </w:tcBorders>
          </w:tcPr>
          <w:p>
            <w:pPr>
              <w:spacing w:after="0"/>
              <w:rPr>
                <w:sz w:val="21"/>
                <w:szCs w:val="21"/>
                <w:color w:val="auto"/>
              </w:rPr>
            </w:pPr>
          </w:p>
        </w:tc>
        <w:tc>
          <w:tcPr>
            <w:tcW w:w="1660" w:type="dxa"/>
            <w:vAlign w:val="bottom"/>
            <w:tcBorders>
              <w:right w:val="single" w:sz="8" w:color="91BBD3"/>
            </w:tcBorders>
            <w:shd w:val="clear" w:color="auto" w:fill="DAE8F0"/>
          </w:tcPr>
          <w:p>
            <w:pPr>
              <w:spacing w:after="0"/>
              <w:rPr>
                <w:sz w:val="21"/>
                <w:szCs w:val="21"/>
                <w:color w:val="auto"/>
              </w:rPr>
            </w:pPr>
          </w:p>
        </w:tc>
        <w:tc>
          <w:tcPr>
            <w:tcW w:w="1480" w:type="dxa"/>
            <w:vAlign w:val="bottom"/>
            <w:gridSpan w:val="3"/>
            <w:shd w:val="clear" w:color="auto" w:fill="DAE8F0"/>
          </w:tcPr>
          <w:p>
            <w:pPr>
              <w:ind w:left="100"/>
              <w:spacing w:after="0"/>
              <w:rPr>
                <w:rFonts w:ascii="MS PGothic" w:cs="MS PGothic" w:eastAsia="MS PGothic" w:hAnsi="MS PGothic"/>
                <w:sz w:val="18"/>
                <w:szCs w:val="18"/>
                <w:color w:val="0563C1"/>
              </w:rPr>
            </w:pPr>
            <w:hyperlink r:id="rId746">
              <w:r>
                <w:rPr>
                  <w:rFonts w:ascii="MS PGothic" w:cs="MS PGothic" w:eastAsia="MS PGothic" w:hAnsi="MS PGothic"/>
                  <w:sz w:val="18"/>
                  <w:szCs w:val="18"/>
                  <w:color w:val="0563C1"/>
                </w:rPr>
                <w:t>12744)</w:t>
              </w:r>
            </w:hyperlink>
          </w:p>
        </w:tc>
        <w:tc>
          <w:tcPr>
            <w:tcW w:w="960" w:type="dxa"/>
            <w:vAlign w:val="bottom"/>
            <w:shd w:val="clear" w:color="auto" w:fill="DAE8F0"/>
          </w:tcPr>
          <w:p>
            <w:pPr>
              <w:spacing w:after="0"/>
              <w:rPr>
                <w:sz w:val="21"/>
                <w:szCs w:val="21"/>
                <w:color w:val="auto"/>
              </w:rPr>
            </w:pPr>
          </w:p>
        </w:tc>
        <w:tc>
          <w:tcPr>
            <w:tcW w:w="460" w:type="dxa"/>
            <w:vAlign w:val="bottom"/>
            <w:shd w:val="clear" w:color="auto" w:fill="DAE8F0"/>
          </w:tcPr>
          <w:p>
            <w:pPr>
              <w:spacing w:after="0"/>
              <w:rPr>
                <w:sz w:val="21"/>
                <w:szCs w:val="21"/>
                <w:color w:val="auto"/>
              </w:rPr>
            </w:pPr>
          </w:p>
        </w:tc>
        <w:tc>
          <w:tcPr>
            <w:tcW w:w="900" w:type="dxa"/>
            <w:vAlign w:val="bottom"/>
            <w:shd w:val="clear" w:color="auto" w:fill="DAE8F0"/>
          </w:tcPr>
          <w:p>
            <w:pPr>
              <w:spacing w:after="0"/>
              <w:rPr>
                <w:sz w:val="21"/>
                <w:szCs w:val="21"/>
                <w:color w:val="auto"/>
              </w:rPr>
            </w:pPr>
          </w:p>
        </w:tc>
        <w:tc>
          <w:tcPr>
            <w:tcW w:w="40" w:type="dxa"/>
            <w:vAlign w:val="bottom"/>
            <w:shd w:val="clear" w:color="auto" w:fill="DAE8F0"/>
          </w:tcPr>
          <w:p>
            <w:pPr>
              <w:spacing w:after="0"/>
              <w:rPr>
                <w:sz w:val="21"/>
                <w:szCs w:val="21"/>
                <w:color w:val="auto"/>
              </w:rPr>
            </w:pPr>
          </w:p>
        </w:tc>
        <w:tc>
          <w:tcPr>
            <w:tcW w:w="1980" w:type="dxa"/>
            <w:vAlign w:val="bottom"/>
            <w:shd w:val="clear" w:color="auto" w:fill="DAE8F0"/>
          </w:tcPr>
          <w:p>
            <w:pPr>
              <w:spacing w:after="0"/>
              <w:rPr>
                <w:sz w:val="21"/>
                <w:szCs w:val="21"/>
                <w:color w:val="auto"/>
              </w:rPr>
            </w:pPr>
          </w:p>
        </w:tc>
        <w:tc>
          <w:tcPr>
            <w:tcW w:w="1180" w:type="dxa"/>
            <w:vAlign w:val="bottom"/>
            <w:shd w:val="clear" w:color="auto" w:fill="DAE8F0"/>
          </w:tcPr>
          <w:p>
            <w:pPr>
              <w:spacing w:after="0"/>
              <w:rPr>
                <w:sz w:val="21"/>
                <w:szCs w:val="21"/>
                <w:color w:val="auto"/>
              </w:rPr>
            </w:pPr>
          </w:p>
        </w:tc>
        <w:tc>
          <w:tcPr>
            <w:tcW w:w="1640" w:type="dxa"/>
            <w:vAlign w:val="bottom"/>
            <w:shd w:val="clear" w:color="auto" w:fill="DAE8F0"/>
          </w:tcPr>
          <w:p>
            <w:pPr>
              <w:spacing w:after="0"/>
              <w:rPr>
                <w:sz w:val="21"/>
                <w:szCs w:val="21"/>
                <w:color w:val="auto"/>
              </w:rPr>
            </w:pPr>
          </w:p>
        </w:tc>
        <w:tc>
          <w:tcPr>
            <w:tcW w:w="440" w:type="dxa"/>
            <w:vAlign w:val="bottom"/>
            <w:shd w:val="clear" w:color="auto" w:fill="DAE8F0"/>
          </w:tcPr>
          <w:p>
            <w:pPr>
              <w:spacing w:after="0"/>
              <w:rPr>
                <w:sz w:val="21"/>
                <w:szCs w:val="21"/>
                <w:color w:val="auto"/>
              </w:rPr>
            </w:pPr>
          </w:p>
        </w:tc>
        <w:tc>
          <w:tcPr>
            <w:tcW w:w="140" w:type="dxa"/>
            <w:vAlign w:val="bottom"/>
            <w:tcBorders>
              <w:left w:val="single" w:sz="8" w:color="DAE8F0"/>
              <w:right w:val="single" w:sz="8" w:color="91BBD3"/>
            </w:tcBorders>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500" w:type="dxa"/>
            <w:vAlign w:val="bottom"/>
            <w:tcBorders>
              <w:top w:val="single" w:sz="8" w:color="0563C1"/>
            </w:tcBorders>
            <w:shd w:val="clear" w:color="auto" w:fill="91BBD3"/>
          </w:tcPr>
          <w:p>
            <w:pPr>
              <w:spacing w:after="0" w:line="20" w:lineRule="exact"/>
              <w:rPr>
                <w:sz w:val="1"/>
                <w:szCs w:val="1"/>
                <w:color w:val="auto"/>
              </w:rPr>
            </w:pPr>
          </w:p>
        </w:tc>
        <w:tc>
          <w:tcPr>
            <w:tcW w:w="880" w:type="dxa"/>
            <w:vAlign w:val="bottom"/>
            <w:tcBorders>
              <w:top w:val="single" w:sz="8" w:color="DAE8F0"/>
            </w:tcBorders>
            <w:shd w:val="clear" w:color="auto" w:fill="91BBD3"/>
          </w:tcPr>
          <w:p>
            <w:pPr>
              <w:spacing w:after="0" w:line="20" w:lineRule="exact"/>
              <w:rPr>
                <w:sz w:val="1"/>
                <w:szCs w:val="1"/>
                <w:color w:val="auto"/>
              </w:rPr>
            </w:pPr>
          </w:p>
        </w:tc>
        <w:tc>
          <w:tcPr>
            <w:tcW w:w="960" w:type="dxa"/>
            <w:vAlign w:val="bottom"/>
            <w:tcBorders>
              <w:top w:val="single" w:sz="8" w:color="DAE8F0"/>
            </w:tcBorders>
            <w:shd w:val="clear" w:color="auto" w:fill="91BBD3"/>
          </w:tcPr>
          <w:p>
            <w:pPr>
              <w:spacing w:after="0" w:line="20" w:lineRule="exact"/>
              <w:rPr>
                <w:sz w:val="1"/>
                <w:szCs w:val="1"/>
                <w:color w:val="auto"/>
              </w:rPr>
            </w:pPr>
          </w:p>
        </w:tc>
        <w:tc>
          <w:tcPr>
            <w:tcW w:w="460" w:type="dxa"/>
            <w:vAlign w:val="bottom"/>
            <w:tcBorders>
              <w:top w:val="single" w:sz="8" w:color="DAE8F0"/>
            </w:tcBorders>
            <w:shd w:val="clear" w:color="auto" w:fill="91BBD3"/>
          </w:tcPr>
          <w:p>
            <w:pPr>
              <w:spacing w:after="0" w:line="20" w:lineRule="exact"/>
              <w:rPr>
                <w:sz w:val="1"/>
                <w:szCs w:val="1"/>
                <w:color w:val="auto"/>
              </w:rPr>
            </w:pPr>
          </w:p>
        </w:tc>
        <w:tc>
          <w:tcPr>
            <w:tcW w:w="90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1980" w:type="dxa"/>
            <w:vAlign w:val="bottom"/>
            <w:tcBorders>
              <w:top w:val="single" w:sz="8" w:color="DAE8F0"/>
            </w:tcBorders>
            <w:shd w:val="clear" w:color="auto" w:fill="91BBD3"/>
          </w:tcPr>
          <w:p>
            <w:pPr>
              <w:spacing w:after="0" w:line="20" w:lineRule="exact"/>
              <w:rPr>
                <w:sz w:val="1"/>
                <w:szCs w:val="1"/>
                <w:color w:val="auto"/>
              </w:rPr>
            </w:pPr>
          </w:p>
        </w:tc>
        <w:tc>
          <w:tcPr>
            <w:tcW w:w="1180" w:type="dxa"/>
            <w:vAlign w:val="bottom"/>
            <w:tcBorders>
              <w:top w:val="single" w:sz="8" w:color="DAE8F0"/>
            </w:tcBorders>
            <w:shd w:val="clear" w:color="auto" w:fill="91BBD3"/>
          </w:tcPr>
          <w:p>
            <w:pPr>
              <w:spacing w:after="0" w:line="20" w:lineRule="exact"/>
              <w:rPr>
                <w:sz w:val="1"/>
                <w:szCs w:val="1"/>
                <w:color w:val="auto"/>
              </w:rPr>
            </w:pPr>
          </w:p>
        </w:tc>
        <w:tc>
          <w:tcPr>
            <w:tcW w:w="1640" w:type="dxa"/>
            <w:vAlign w:val="bottom"/>
            <w:tcBorders>
              <w:top w:val="single" w:sz="8" w:color="DAE8F0"/>
            </w:tcBorders>
            <w:shd w:val="clear" w:color="auto" w:fill="91BBD3"/>
          </w:tcPr>
          <w:p>
            <w:pPr>
              <w:spacing w:after="0" w:line="20" w:lineRule="exact"/>
              <w:rPr>
                <w:sz w:val="1"/>
                <w:szCs w:val="1"/>
                <w:color w:val="auto"/>
              </w:rPr>
            </w:pPr>
          </w:p>
        </w:tc>
        <w:tc>
          <w:tcPr>
            <w:tcW w:w="44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right w:val="single" w:sz="8" w:color="91BBD3"/>
            </w:tcBorders>
            <w:vMerge w:val="continue"/>
          </w:tcPr>
          <w:p>
            <w:pPr>
              <w:spacing w:after="0"/>
              <w:rPr>
                <w:sz w:val="14"/>
                <w:szCs w:val="14"/>
                <w:color w:val="auto"/>
              </w:rPr>
            </w:pPr>
          </w:p>
        </w:tc>
        <w:tc>
          <w:tcPr>
            <w:tcW w:w="1660" w:type="dxa"/>
            <w:vAlign w:val="bottom"/>
            <w:tcBorders>
              <w:right w:val="single" w:sz="8" w:color="91BBD3"/>
            </w:tcBorders>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10.12</w:t>
            </w:r>
          </w:p>
        </w:tc>
        <w:tc>
          <w:tcPr>
            <w:tcW w:w="100" w:type="dxa"/>
            <w:vAlign w:val="bottom"/>
          </w:tcPr>
          <w:p>
            <w:pPr>
              <w:spacing w:after="0"/>
              <w:rPr>
                <w:sz w:val="14"/>
                <w:szCs w:val="14"/>
                <w:color w:val="auto"/>
              </w:rPr>
            </w:pPr>
          </w:p>
        </w:tc>
        <w:tc>
          <w:tcPr>
            <w:tcW w:w="8980" w:type="dxa"/>
            <w:vAlign w:val="bottom"/>
            <w:tcBorders>
              <w:bottom w:val="single" w:sz="8" w:color="0563C1"/>
            </w:tcBorders>
            <w:gridSpan w:val="10"/>
          </w:tcPr>
          <w:p>
            <w:pPr>
              <w:spacing w:after="0" w:line="169" w:lineRule="exact"/>
              <w:rPr>
                <w:rFonts w:ascii="MS PGothic" w:cs="MS PGothic" w:eastAsia="MS PGothic" w:hAnsi="MS PGothic"/>
                <w:sz w:val="18"/>
                <w:szCs w:val="18"/>
                <w:color w:val="0563C1"/>
                <w:w w:val="96"/>
              </w:rPr>
            </w:pPr>
            <w:hyperlink r:id="rId747">
              <w:r>
                <w:rPr>
                  <w:rFonts w:ascii="MS PGothic" w:cs="MS PGothic" w:eastAsia="MS PGothic" w:hAnsi="MS PGothic"/>
                  <w:sz w:val="18"/>
                  <w:szCs w:val="18"/>
                  <w:color w:val="0563C1"/>
                  <w:w w:val="96"/>
                </w:rPr>
                <w:t>Twelfh Amendment to Credit and Security Agreement, dated as of September 23, 2020, among Martn Marieta Funding LLC,</w:t>
              </w:r>
            </w:hyperlink>
          </w:p>
        </w:tc>
        <w:tc>
          <w:tcPr>
            <w:tcW w:w="140" w:type="dxa"/>
            <w:vAlign w:val="bottom"/>
            <w:tcBorders>
              <w:right w:val="single" w:sz="8" w:color="91BBD3"/>
            </w:tcBorders>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rPr>
                <w:rFonts w:ascii="MS PGothic" w:cs="MS PGothic" w:eastAsia="MS PGothic" w:hAnsi="MS PGothic"/>
                <w:sz w:val="18"/>
                <w:szCs w:val="18"/>
                <w:color w:val="0563C1"/>
                <w:w w:val="99"/>
              </w:rPr>
            </w:pPr>
            <w:hyperlink r:id="rId747">
              <w:r>
                <w:rPr>
                  <w:rFonts w:ascii="MS PGothic" w:cs="MS PGothic" w:eastAsia="MS PGothic" w:hAnsi="MS PGothic"/>
                  <w:sz w:val="18"/>
                  <w:szCs w:val="18"/>
                  <w:color w:val="0563C1"/>
                  <w:w w:val="99"/>
                </w:rPr>
                <w:t>as borrower, Martn Marieta Materials, Inc., as servicer, and Truist Bank, successor by merger to SunTrust Bank, as lender</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980" w:type="dxa"/>
            <w:vAlign w:val="bottom"/>
            <w:shd w:val="clear" w:color="auto" w:fill="0563C1"/>
          </w:tcPr>
          <w:p>
            <w:pPr>
              <w:spacing w:after="0" w:line="20" w:lineRule="exact"/>
              <w:rPr>
                <w:sz w:val="1"/>
                <w:szCs w:val="1"/>
                <w:color w:val="auto"/>
              </w:rPr>
            </w:pPr>
          </w:p>
        </w:tc>
        <w:tc>
          <w:tcPr>
            <w:tcW w:w="1180" w:type="dxa"/>
            <w:vAlign w:val="bottom"/>
            <w:shd w:val="clear" w:color="auto" w:fill="0563C1"/>
          </w:tcPr>
          <w:p>
            <w:pPr>
              <w:spacing w:after="0" w:line="20" w:lineRule="exact"/>
              <w:rPr>
                <w:sz w:val="1"/>
                <w:szCs w:val="1"/>
                <w:color w:val="auto"/>
              </w:rPr>
            </w:pPr>
          </w:p>
        </w:tc>
        <w:tc>
          <w:tcPr>
            <w:tcW w:w="2080" w:type="dxa"/>
            <w:vAlign w:val="bottom"/>
            <w:gridSpan w:val="2"/>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rPr>
                <w:rFonts w:ascii="MS PGothic" w:cs="MS PGothic" w:eastAsia="MS PGothic" w:hAnsi="MS PGothic"/>
                <w:sz w:val="18"/>
                <w:szCs w:val="18"/>
                <w:color w:val="0563C1"/>
                <w:w w:val="97"/>
              </w:rPr>
            </w:pPr>
            <w:hyperlink r:id="rId747">
              <w:r>
                <w:rPr>
                  <w:rFonts w:ascii="MS PGothic" w:cs="MS PGothic" w:eastAsia="MS PGothic" w:hAnsi="MS PGothic"/>
                  <w:sz w:val="18"/>
                  <w:szCs w:val="18"/>
                  <w:color w:val="0563C1"/>
                  <w:w w:val="97"/>
                </w:rPr>
                <w:t>together with the other lenders from tme to tme party thereto, and Truist Bank, successor by merger to Sun Trust Bank, as</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980" w:type="dxa"/>
            <w:vAlign w:val="bottom"/>
            <w:shd w:val="clear" w:color="auto" w:fill="0563C1"/>
          </w:tcPr>
          <w:p>
            <w:pPr>
              <w:spacing w:after="0" w:line="20" w:lineRule="exact"/>
              <w:rPr>
                <w:sz w:val="1"/>
                <w:szCs w:val="1"/>
                <w:color w:val="auto"/>
              </w:rPr>
            </w:pPr>
          </w:p>
        </w:tc>
        <w:tc>
          <w:tcPr>
            <w:tcW w:w="1180" w:type="dxa"/>
            <w:vAlign w:val="bottom"/>
            <w:shd w:val="clear" w:color="auto" w:fill="0563C1"/>
          </w:tcPr>
          <w:p>
            <w:pPr>
              <w:spacing w:after="0" w:line="20" w:lineRule="exact"/>
              <w:rPr>
                <w:sz w:val="1"/>
                <w:szCs w:val="1"/>
                <w:color w:val="auto"/>
              </w:rPr>
            </w:pPr>
          </w:p>
        </w:tc>
        <w:tc>
          <w:tcPr>
            <w:tcW w:w="2080" w:type="dxa"/>
            <w:vAlign w:val="bottom"/>
            <w:gridSpan w:val="2"/>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rPr>
                <w:rFonts w:ascii="MS PGothic" w:cs="MS PGothic" w:eastAsia="MS PGothic" w:hAnsi="MS PGothic"/>
                <w:sz w:val="18"/>
                <w:szCs w:val="18"/>
                <w:color w:val="0563C1"/>
                <w:w w:val="98"/>
              </w:rPr>
            </w:pPr>
            <w:hyperlink r:id="rId747">
              <w:r>
                <w:rPr>
                  <w:rFonts w:ascii="MS PGothic" w:cs="MS PGothic" w:eastAsia="MS PGothic" w:hAnsi="MS PGothic"/>
                  <w:sz w:val="18"/>
                  <w:szCs w:val="18"/>
                  <w:color w:val="0563C1"/>
                  <w:w w:val="98"/>
                </w:rPr>
                <w:t>administratve agent for the lenders (incorporated by reference to Exhibit 10.01 to the Martn Marieta Materials, Inc. Current</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top w:val="single" w:sz="8" w:color="0563C1"/>
            </w:tcBorders>
            <w:gridSpan w:val="10"/>
          </w:tcPr>
          <w:p>
            <w:pPr>
              <w:spacing w:after="0"/>
              <w:rPr>
                <w:rFonts w:ascii="MS PGothic" w:cs="MS PGothic" w:eastAsia="MS PGothic" w:hAnsi="MS PGothic"/>
                <w:sz w:val="18"/>
                <w:szCs w:val="18"/>
                <w:color w:val="0563C1"/>
              </w:rPr>
            </w:pPr>
            <w:hyperlink r:id="rId747">
              <w:r>
                <w:rPr>
                  <w:rFonts w:ascii="MS PGothic" w:cs="MS PGothic" w:eastAsia="MS PGothic" w:hAnsi="MS PGothic"/>
                  <w:sz w:val="18"/>
                  <w:szCs w:val="18"/>
                  <w:color w:val="0563C1"/>
                </w:rPr>
                <w:t>Report on Form 8-K fled on September 23, 2020) (Commission File No. 1-12744)</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500" w:type="dxa"/>
            <w:vAlign w:val="bottom"/>
            <w:tcBorders>
              <w:top w:val="single" w:sz="8" w:color="0563C1"/>
              <w:bottom w:val="single" w:sz="8" w:color="91BBD3"/>
            </w:tcBorders>
          </w:tcPr>
          <w:p>
            <w:pPr>
              <w:spacing w:after="0"/>
              <w:rPr>
                <w:sz w:val="4"/>
                <w:szCs w:val="4"/>
                <w:color w:val="auto"/>
              </w:rPr>
            </w:pPr>
          </w:p>
        </w:tc>
        <w:tc>
          <w:tcPr>
            <w:tcW w:w="880" w:type="dxa"/>
            <w:vAlign w:val="bottom"/>
            <w:tcBorders>
              <w:top w:val="single" w:sz="8" w:color="0563C1"/>
              <w:bottom w:val="single" w:sz="8" w:color="91BBD3"/>
            </w:tcBorders>
          </w:tcPr>
          <w:p>
            <w:pPr>
              <w:spacing w:after="0"/>
              <w:rPr>
                <w:sz w:val="4"/>
                <w:szCs w:val="4"/>
                <w:color w:val="auto"/>
              </w:rPr>
            </w:pPr>
          </w:p>
        </w:tc>
        <w:tc>
          <w:tcPr>
            <w:tcW w:w="960" w:type="dxa"/>
            <w:vAlign w:val="bottom"/>
            <w:tcBorders>
              <w:top w:val="single" w:sz="8" w:color="0563C1"/>
              <w:bottom w:val="single" w:sz="8" w:color="91BBD3"/>
            </w:tcBorders>
          </w:tcPr>
          <w:p>
            <w:pPr>
              <w:spacing w:after="0"/>
              <w:rPr>
                <w:sz w:val="4"/>
                <w:szCs w:val="4"/>
                <w:color w:val="auto"/>
              </w:rPr>
            </w:pPr>
          </w:p>
        </w:tc>
        <w:tc>
          <w:tcPr>
            <w:tcW w:w="460" w:type="dxa"/>
            <w:vAlign w:val="bottom"/>
            <w:tcBorders>
              <w:top w:val="single" w:sz="8" w:color="0563C1"/>
              <w:bottom w:val="single" w:sz="8" w:color="91BBD3"/>
            </w:tcBorders>
          </w:tcPr>
          <w:p>
            <w:pPr>
              <w:spacing w:after="0"/>
              <w:rPr>
                <w:sz w:val="4"/>
                <w:szCs w:val="4"/>
                <w:color w:val="auto"/>
              </w:rPr>
            </w:pPr>
          </w:p>
        </w:tc>
        <w:tc>
          <w:tcPr>
            <w:tcW w:w="900" w:type="dxa"/>
            <w:vAlign w:val="bottom"/>
            <w:tcBorders>
              <w:top w:val="single" w:sz="8" w:color="0563C1"/>
              <w:bottom w:val="single" w:sz="8" w:color="91BBD3"/>
            </w:tcBorders>
          </w:tcPr>
          <w:p>
            <w:pPr>
              <w:spacing w:after="0"/>
              <w:rPr>
                <w:sz w:val="4"/>
                <w:szCs w:val="4"/>
                <w:color w:val="auto"/>
              </w:rPr>
            </w:pPr>
          </w:p>
        </w:tc>
        <w:tc>
          <w:tcPr>
            <w:tcW w:w="40" w:type="dxa"/>
            <w:vAlign w:val="bottom"/>
            <w:tcBorders>
              <w:top w:val="single" w:sz="8" w:color="0563C1"/>
              <w:bottom w:val="single" w:sz="8" w:color="91BBD3"/>
            </w:tcBorders>
          </w:tcPr>
          <w:p>
            <w:pPr>
              <w:spacing w:after="0"/>
              <w:rPr>
                <w:sz w:val="4"/>
                <w:szCs w:val="4"/>
                <w:color w:val="auto"/>
              </w:rPr>
            </w:pPr>
          </w:p>
        </w:tc>
        <w:tc>
          <w:tcPr>
            <w:tcW w:w="1980" w:type="dxa"/>
            <w:vAlign w:val="bottom"/>
            <w:tcBorders>
              <w:top w:val="single" w:sz="8" w:color="0563C1"/>
              <w:bottom w:val="single" w:sz="8" w:color="91BBD3"/>
            </w:tcBorders>
          </w:tcPr>
          <w:p>
            <w:pPr>
              <w:spacing w:after="0"/>
              <w:rPr>
                <w:sz w:val="4"/>
                <w:szCs w:val="4"/>
                <w:color w:val="auto"/>
              </w:rPr>
            </w:pPr>
          </w:p>
        </w:tc>
        <w:tc>
          <w:tcPr>
            <w:tcW w:w="1180" w:type="dxa"/>
            <w:vAlign w:val="bottom"/>
            <w:tcBorders>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44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shd w:val="clear" w:color="auto" w:fill="DAE8F0"/>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10.13</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1"/>
            <w:shd w:val="clear" w:color="auto" w:fill="DAE8F0"/>
          </w:tcPr>
          <w:p>
            <w:pPr>
              <w:spacing w:after="0" w:line="169" w:lineRule="exact"/>
              <w:rPr>
                <w:rFonts w:ascii="MS PGothic" w:cs="MS PGothic" w:eastAsia="MS PGothic" w:hAnsi="MS PGothic"/>
                <w:sz w:val="18"/>
                <w:szCs w:val="18"/>
                <w:color w:val="0563C1"/>
                <w:w w:val="99"/>
              </w:rPr>
            </w:pPr>
            <w:hyperlink r:id="rId748">
              <w:r>
                <w:rPr>
                  <w:rFonts w:ascii="MS PGothic" w:cs="MS PGothic" w:eastAsia="MS PGothic" w:hAnsi="MS PGothic"/>
                  <w:sz w:val="18"/>
                  <w:szCs w:val="18"/>
                  <w:color w:val="0563C1"/>
                  <w:w w:val="99"/>
                </w:rPr>
                <w:t>Thirteenth Amendment to Credit and Security Agreement, dated as of September 22, 2021, among Martn Marieta Funding</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160" w:type="dxa"/>
            <w:vAlign w:val="bottom"/>
            <w:gridSpan w:val="2"/>
            <w:shd w:val="clear" w:color="auto" w:fill="0563C1"/>
          </w:tcPr>
          <w:p>
            <w:pPr>
              <w:spacing w:after="0" w:line="20" w:lineRule="exact"/>
              <w:rPr>
                <w:sz w:val="1"/>
                <w:szCs w:val="1"/>
                <w:color w:val="auto"/>
              </w:rPr>
            </w:pPr>
          </w:p>
        </w:tc>
        <w:tc>
          <w:tcPr>
            <w:tcW w:w="208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w w:val="95"/>
              </w:rPr>
            </w:pPr>
            <w:hyperlink r:id="rId748">
              <w:r>
                <w:rPr>
                  <w:rFonts w:ascii="MS PGothic" w:cs="MS PGothic" w:eastAsia="MS PGothic" w:hAnsi="MS PGothic"/>
                  <w:sz w:val="18"/>
                  <w:szCs w:val="18"/>
                  <w:color w:val="0563C1"/>
                  <w:w w:val="95"/>
                </w:rPr>
                <w:t>LLC, as borrower, Martn Marieta Materials, Inc., as servicer, and Truist Bank, successor by merger to SunTrust Bank, as lender</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160" w:type="dxa"/>
            <w:vAlign w:val="bottom"/>
            <w:gridSpan w:val="2"/>
            <w:shd w:val="clear" w:color="auto" w:fill="0563C1"/>
          </w:tcPr>
          <w:p>
            <w:pPr>
              <w:spacing w:after="0" w:line="20" w:lineRule="exact"/>
              <w:rPr>
                <w:sz w:val="1"/>
                <w:szCs w:val="1"/>
                <w:color w:val="auto"/>
              </w:rPr>
            </w:pPr>
          </w:p>
        </w:tc>
        <w:tc>
          <w:tcPr>
            <w:tcW w:w="208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w w:val="97"/>
              </w:rPr>
            </w:pPr>
            <w:hyperlink r:id="rId748">
              <w:r>
                <w:rPr>
                  <w:rFonts w:ascii="MS PGothic" w:cs="MS PGothic" w:eastAsia="MS PGothic" w:hAnsi="MS PGothic"/>
                  <w:sz w:val="18"/>
                  <w:szCs w:val="18"/>
                  <w:color w:val="0563C1"/>
                  <w:w w:val="97"/>
                </w:rPr>
                <w:t>together with the other lenders from tme to tme party thereto, and Truist Bank, successor by merger to Sun Trust Bank, as</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160" w:type="dxa"/>
            <w:vAlign w:val="bottom"/>
            <w:gridSpan w:val="2"/>
            <w:shd w:val="clear" w:color="auto" w:fill="0563C1"/>
          </w:tcPr>
          <w:p>
            <w:pPr>
              <w:spacing w:after="0" w:line="20" w:lineRule="exact"/>
              <w:rPr>
                <w:sz w:val="1"/>
                <w:szCs w:val="1"/>
                <w:color w:val="auto"/>
              </w:rPr>
            </w:pPr>
          </w:p>
        </w:tc>
        <w:tc>
          <w:tcPr>
            <w:tcW w:w="208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w w:val="98"/>
              </w:rPr>
            </w:pPr>
            <w:hyperlink r:id="rId748">
              <w:r>
                <w:rPr>
                  <w:rFonts w:ascii="MS PGothic" w:cs="MS PGothic" w:eastAsia="MS PGothic" w:hAnsi="MS PGothic"/>
                  <w:sz w:val="18"/>
                  <w:szCs w:val="18"/>
                  <w:color w:val="0563C1"/>
                  <w:w w:val="98"/>
                </w:rPr>
                <w:t>administratve agent for the lenders (incorporated by reference to Exhibit 10.01 to the Martn Marieta Materials, Inc. Current</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0" w:type="dxa"/>
            <w:vAlign w:val="bottom"/>
            <w:tcBorders>
              <w:right w:val="single" w:sz="8" w:color="91BBD3"/>
            </w:tcBorders>
          </w:tcPr>
          <w:p>
            <w:pPr>
              <w:spacing w:after="0"/>
              <w:rPr>
                <w:sz w:val="21"/>
                <w:szCs w:val="21"/>
                <w:color w:val="auto"/>
              </w:rPr>
            </w:pPr>
          </w:p>
        </w:tc>
        <w:tc>
          <w:tcPr>
            <w:tcW w:w="1660" w:type="dxa"/>
            <w:vAlign w:val="bottom"/>
            <w:tcBorders>
              <w:top w:val="single" w:sz="8" w:color="DAE8F0"/>
              <w:right w:val="single" w:sz="8" w:color="91BBD3"/>
            </w:tcBorders>
            <w:shd w:val="clear" w:color="auto" w:fill="DAE8F0"/>
          </w:tcPr>
          <w:p>
            <w:pPr>
              <w:spacing w:after="0"/>
              <w:rPr>
                <w:sz w:val="21"/>
                <w:szCs w:val="21"/>
                <w:color w:val="auto"/>
              </w:rPr>
            </w:pPr>
          </w:p>
        </w:tc>
        <w:tc>
          <w:tcPr>
            <w:tcW w:w="100" w:type="dxa"/>
            <w:vAlign w:val="bottom"/>
            <w:tcBorders>
              <w:top w:val="single" w:sz="8" w:color="DAE8F0"/>
            </w:tcBorders>
            <w:shd w:val="clear" w:color="auto" w:fill="DAE8F0"/>
          </w:tcPr>
          <w:p>
            <w:pPr>
              <w:spacing w:after="0"/>
              <w:rPr>
                <w:sz w:val="21"/>
                <w:szCs w:val="21"/>
                <w:color w:val="auto"/>
              </w:rPr>
            </w:pPr>
          </w:p>
        </w:tc>
        <w:tc>
          <w:tcPr>
            <w:tcW w:w="8980" w:type="dxa"/>
            <w:vAlign w:val="bottom"/>
            <w:tcBorders>
              <w:top w:val="single" w:sz="8" w:color="0563C1"/>
            </w:tcBorders>
            <w:gridSpan w:val="10"/>
            <w:shd w:val="clear" w:color="auto" w:fill="DAE8F0"/>
          </w:tcPr>
          <w:p>
            <w:pPr>
              <w:spacing w:after="0"/>
              <w:rPr>
                <w:rFonts w:ascii="MS PGothic" w:cs="MS PGothic" w:eastAsia="MS PGothic" w:hAnsi="MS PGothic"/>
                <w:sz w:val="18"/>
                <w:szCs w:val="18"/>
                <w:color w:val="0563C1"/>
              </w:rPr>
            </w:pPr>
            <w:hyperlink r:id="rId748">
              <w:r>
                <w:rPr>
                  <w:rFonts w:ascii="MS PGothic" w:cs="MS PGothic" w:eastAsia="MS PGothic" w:hAnsi="MS PGothic"/>
                  <w:sz w:val="18"/>
                  <w:szCs w:val="18"/>
                  <w:color w:val="0563C1"/>
                </w:rPr>
                <w:t>Report on Form 8-K fled on September 23, 2021) (Commission File No. 1-12744)</w:t>
              </w:r>
            </w:hyperlink>
          </w:p>
        </w:tc>
        <w:tc>
          <w:tcPr>
            <w:tcW w:w="140" w:type="dxa"/>
            <w:vAlign w:val="bottom"/>
            <w:tcBorders>
              <w:top w:val="single" w:sz="8" w:color="DAE8F0"/>
              <w:left w:val="single" w:sz="8" w:color="DAE8F0"/>
              <w:right w:val="single" w:sz="8" w:color="91BBD3"/>
            </w:tcBorders>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500" w:type="dxa"/>
            <w:vAlign w:val="bottom"/>
            <w:tcBorders>
              <w:top w:val="single" w:sz="8" w:color="0563C1"/>
            </w:tcBorders>
            <w:shd w:val="clear" w:color="auto" w:fill="91BBD3"/>
          </w:tcPr>
          <w:p>
            <w:pPr>
              <w:spacing w:after="0" w:line="20" w:lineRule="exact"/>
              <w:rPr>
                <w:sz w:val="1"/>
                <w:szCs w:val="1"/>
                <w:color w:val="auto"/>
              </w:rPr>
            </w:pPr>
          </w:p>
        </w:tc>
        <w:tc>
          <w:tcPr>
            <w:tcW w:w="880" w:type="dxa"/>
            <w:vAlign w:val="bottom"/>
            <w:tcBorders>
              <w:top w:val="single" w:sz="8" w:color="0563C1"/>
            </w:tcBorders>
            <w:shd w:val="clear" w:color="auto" w:fill="91BBD3"/>
          </w:tcPr>
          <w:p>
            <w:pPr>
              <w:spacing w:after="0" w:line="20" w:lineRule="exact"/>
              <w:rPr>
                <w:sz w:val="1"/>
                <w:szCs w:val="1"/>
                <w:color w:val="auto"/>
              </w:rPr>
            </w:pPr>
          </w:p>
        </w:tc>
        <w:tc>
          <w:tcPr>
            <w:tcW w:w="960" w:type="dxa"/>
            <w:vAlign w:val="bottom"/>
            <w:tcBorders>
              <w:top w:val="single" w:sz="8" w:color="0563C1"/>
            </w:tcBorders>
            <w:shd w:val="clear" w:color="auto" w:fill="91BBD3"/>
          </w:tcPr>
          <w:p>
            <w:pPr>
              <w:spacing w:after="0" w:line="20" w:lineRule="exact"/>
              <w:rPr>
                <w:sz w:val="1"/>
                <w:szCs w:val="1"/>
                <w:color w:val="auto"/>
              </w:rPr>
            </w:pPr>
          </w:p>
        </w:tc>
        <w:tc>
          <w:tcPr>
            <w:tcW w:w="460" w:type="dxa"/>
            <w:vAlign w:val="bottom"/>
            <w:tcBorders>
              <w:top w:val="single" w:sz="8" w:color="0563C1"/>
            </w:tcBorders>
            <w:shd w:val="clear" w:color="auto" w:fill="91BBD3"/>
          </w:tcPr>
          <w:p>
            <w:pPr>
              <w:spacing w:after="0" w:line="20" w:lineRule="exact"/>
              <w:rPr>
                <w:sz w:val="1"/>
                <w:szCs w:val="1"/>
                <w:color w:val="auto"/>
              </w:rPr>
            </w:pPr>
          </w:p>
        </w:tc>
        <w:tc>
          <w:tcPr>
            <w:tcW w:w="900" w:type="dxa"/>
            <w:vAlign w:val="bottom"/>
            <w:tcBorders>
              <w:top w:val="single" w:sz="8" w:color="0563C1"/>
            </w:tcBorders>
            <w:shd w:val="clear" w:color="auto" w:fill="91BBD3"/>
          </w:tcPr>
          <w:p>
            <w:pPr>
              <w:spacing w:after="0" w:line="20" w:lineRule="exact"/>
              <w:rPr>
                <w:sz w:val="1"/>
                <w:szCs w:val="1"/>
                <w:color w:val="auto"/>
              </w:rPr>
            </w:pPr>
          </w:p>
        </w:tc>
        <w:tc>
          <w:tcPr>
            <w:tcW w:w="40" w:type="dxa"/>
            <w:vAlign w:val="bottom"/>
            <w:tcBorders>
              <w:top w:val="single" w:sz="8" w:color="0563C1"/>
            </w:tcBorders>
            <w:shd w:val="clear" w:color="auto" w:fill="91BBD3"/>
          </w:tcPr>
          <w:p>
            <w:pPr>
              <w:spacing w:after="0" w:line="20" w:lineRule="exact"/>
              <w:rPr>
                <w:sz w:val="1"/>
                <w:szCs w:val="1"/>
                <w:color w:val="auto"/>
              </w:rPr>
            </w:pPr>
          </w:p>
        </w:tc>
        <w:tc>
          <w:tcPr>
            <w:tcW w:w="1980" w:type="dxa"/>
            <w:vAlign w:val="bottom"/>
            <w:tcBorders>
              <w:top w:val="single" w:sz="8" w:color="0563C1"/>
            </w:tcBorders>
            <w:shd w:val="clear" w:color="auto" w:fill="91BBD3"/>
          </w:tcPr>
          <w:p>
            <w:pPr>
              <w:spacing w:after="0" w:line="20" w:lineRule="exact"/>
              <w:rPr>
                <w:sz w:val="1"/>
                <w:szCs w:val="1"/>
                <w:color w:val="auto"/>
              </w:rPr>
            </w:pPr>
          </w:p>
        </w:tc>
        <w:tc>
          <w:tcPr>
            <w:tcW w:w="1180" w:type="dxa"/>
            <w:vAlign w:val="bottom"/>
            <w:tcBorders>
              <w:top w:val="single" w:sz="8" w:color="DAE8F0"/>
            </w:tcBorders>
            <w:shd w:val="clear" w:color="auto" w:fill="91BBD3"/>
          </w:tcPr>
          <w:p>
            <w:pPr>
              <w:spacing w:after="0" w:line="20" w:lineRule="exact"/>
              <w:rPr>
                <w:sz w:val="1"/>
                <w:szCs w:val="1"/>
                <w:color w:val="auto"/>
              </w:rPr>
            </w:pPr>
          </w:p>
        </w:tc>
        <w:tc>
          <w:tcPr>
            <w:tcW w:w="1640" w:type="dxa"/>
            <w:vAlign w:val="bottom"/>
            <w:tcBorders>
              <w:top w:val="single" w:sz="8" w:color="DAE8F0"/>
            </w:tcBorders>
            <w:shd w:val="clear" w:color="auto" w:fill="91BBD3"/>
          </w:tcPr>
          <w:p>
            <w:pPr>
              <w:spacing w:after="0" w:line="20" w:lineRule="exact"/>
              <w:rPr>
                <w:sz w:val="1"/>
                <w:szCs w:val="1"/>
                <w:color w:val="auto"/>
              </w:rPr>
            </w:pPr>
          </w:p>
        </w:tc>
        <w:tc>
          <w:tcPr>
            <w:tcW w:w="44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right w:val="single" w:sz="8" w:color="91BBD3"/>
            </w:tcBorders>
            <w:vMerge w:val="continue"/>
          </w:tcPr>
          <w:p>
            <w:pPr>
              <w:spacing w:after="0"/>
              <w:rPr>
                <w:sz w:val="14"/>
                <w:szCs w:val="14"/>
                <w:color w:val="auto"/>
              </w:rPr>
            </w:pPr>
          </w:p>
        </w:tc>
        <w:tc>
          <w:tcPr>
            <w:tcW w:w="1660" w:type="dxa"/>
            <w:vAlign w:val="bottom"/>
            <w:tcBorders>
              <w:right w:val="single" w:sz="8" w:color="91BBD3"/>
            </w:tcBorders>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10.14</w:t>
            </w:r>
          </w:p>
        </w:tc>
        <w:tc>
          <w:tcPr>
            <w:tcW w:w="100" w:type="dxa"/>
            <w:vAlign w:val="bottom"/>
          </w:tcPr>
          <w:p>
            <w:pPr>
              <w:spacing w:after="0"/>
              <w:rPr>
                <w:sz w:val="14"/>
                <w:szCs w:val="14"/>
                <w:color w:val="auto"/>
              </w:rPr>
            </w:pPr>
          </w:p>
        </w:tc>
        <w:tc>
          <w:tcPr>
            <w:tcW w:w="8980" w:type="dxa"/>
            <w:vAlign w:val="bottom"/>
            <w:tcBorders>
              <w:bottom w:val="single" w:sz="8" w:color="0563C1"/>
            </w:tcBorders>
            <w:gridSpan w:val="10"/>
          </w:tcPr>
          <w:p>
            <w:pPr>
              <w:spacing w:after="0" w:line="169" w:lineRule="exact"/>
              <w:rPr>
                <w:rFonts w:ascii="MS PGothic" w:cs="MS PGothic" w:eastAsia="MS PGothic" w:hAnsi="MS PGothic"/>
                <w:sz w:val="18"/>
                <w:szCs w:val="18"/>
                <w:color w:val="0563C1"/>
              </w:rPr>
            </w:pPr>
            <w:hyperlink r:id="rId749">
              <w:r>
                <w:rPr>
                  <w:rFonts w:ascii="MS PGothic" w:cs="MS PGothic" w:eastAsia="MS PGothic" w:hAnsi="MS PGothic"/>
                  <w:sz w:val="18"/>
                  <w:szCs w:val="18"/>
                  <w:color w:val="0563C1"/>
                </w:rPr>
                <w:t>Fourteenth Amendment to Credit Agreement, dated as of September 21, 2022, among Martn Marieta Funding LLC, as</w:t>
              </w:r>
            </w:hyperlink>
          </w:p>
        </w:tc>
        <w:tc>
          <w:tcPr>
            <w:tcW w:w="140" w:type="dxa"/>
            <w:vAlign w:val="bottom"/>
            <w:tcBorders>
              <w:right w:val="single" w:sz="8" w:color="91BBD3"/>
            </w:tcBorders>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rPr>
                <w:rFonts w:ascii="MS PGothic" w:cs="MS PGothic" w:eastAsia="MS PGothic" w:hAnsi="MS PGothic"/>
                <w:sz w:val="18"/>
                <w:szCs w:val="18"/>
                <w:color w:val="0563C1"/>
              </w:rPr>
            </w:pPr>
            <w:hyperlink r:id="rId749">
              <w:r>
                <w:rPr>
                  <w:rFonts w:ascii="MS PGothic" w:cs="MS PGothic" w:eastAsia="MS PGothic" w:hAnsi="MS PGothic"/>
                  <w:sz w:val="18"/>
                  <w:szCs w:val="18"/>
                  <w:color w:val="0563C1"/>
                </w:rPr>
                <w:t>borrower, Martn Marieta Materials, Inc., as servicer, and Truist Bank, successor by merger to SunTrust Bank, as lender</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160" w:type="dxa"/>
            <w:vAlign w:val="bottom"/>
            <w:gridSpan w:val="2"/>
            <w:shd w:val="clear" w:color="auto" w:fill="0563C1"/>
          </w:tcPr>
          <w:p>
            <w:pPr>
              <w:spacing w:after="0" w:line="20" w:lineRule="exact"/>
              <w:rPr>
                <w:sz w:val="1"/>
                <w:szCs w:val="1"/>
                <w:color w:val="auto"/>
              </w:rPr>
            </w:pPr>
          </w:p>
        </w:tc>
        <w:tc>
          <w:tcPr>
            <w:tcW w:w="2080" w:type="dxa"/>
            <w:vAlign w:val="bottom"/>
            <w:gridSpan w:val="2"/>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rPr>
                <w:rFonts w:ascii="MS PGothic" w:cs="MS PGothic" w:eastAsia="MS PGothic" w:hAnsi="MS PGothic"/>
                <w:sz w:val="18"/>
                <w:szCs w:val="18"/>
                <w:color w:val="0563C1"/>
                <w:w w:val="97"/>
              </w:rPr>
            </w:pPr>
            <w:hyperlink r:id="rId749">
              <w:r>
                <w:rPr>
                  <w:rFonts w:ascii="MS PGothic" w:cs="MS PGothic" w:eastAsia="MS PGothic" w:hAnsi="MS PGothic"/>
                  <w:sz w:val="18"/>
                  <w:szCs w:val="18"/>
                  <w:color w:val="0563C1"/>
                  <w:w w:val="97"/>
                </w:rPr>
                <w:t>together with the other lenders from tme to tme party thereto, and Truist Bank, successor by merger to Sun Trust Bank, as</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160" w:type="dxa"/>
            <w:vAlign w:val="bottom"/>
            <w:gridSpan w:val="2"/>
            <w:shd w:val="clear" w:color="auto" w:fill="0563C1"/>
          </w:tcPr>
          <w:p>
            <w:pPr>
              <w:spacing w:after="0" w:line="20" w:lineRule="exact"/>
              <w:rPr>
                <w:sz w:val="1"/>
                <w:szCs w:val="1"/>
                <w:color w:val="auto"/>
              </w:rPr>
            </w:pPr>
          </w:p>
        </w:tc>
        <w:tc>
          <w:tcPr>
            <w:tcW w:w="2080" w:type="dxa"/>
            <w:vAlign w:val="bottom"/>
            <w:gridSpan w:val="2"/>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rPr>
                <w:rFonts w:ascii="MS PGothic" w:cs="MS PGothic" w:eastAsia="MS PGothic" w:hAnsi="MS PGothic"/>
                <w:sz w:val="18"/>
                <w:szCs w:val="18"/>
                <w:color w:val="0563C1"/>
              </w:rPr>
            </w:pPr>
            <w:hyperlink r:id="rId749">
              <w:r>
                <w:rPr>
                  <w:rFonts w:ascii="MS PGothic" w:cs="MS PGothic" w:eastAsia="MS PGothic" w:hAnsi="MS PGothic"/>
                  <w:sz w:val="18"/>
                  <w:szCs w:val="18"/>
                  <w:color w:val="0563C1"/>
                </w:rPr>
                <w:t>administratve agent for the lenders (including a conformed copy of the Credit Agreement atached as Exhibit A thereto)</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90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3160" w:type="dxa"/>
            <w:vAlign w:val="bottom"/>
            <w:gridSpan w:val="2"/>
            <w:shd w:val="clear" w:color="auto" w:fill="0563C1"/>
          </w:tcPr>
          <w:p>
            <w:pPr>
              <w:spacing w:after="0" w:line="20" w:lineRule="exact"/>
              <w:rPr>
                <w:sz w:val="1"/>
                <w:szCs w:val="1"/>
                <w:color w:val="auto"/>
              </w:rPr>
            </w:pPr>
          </w:p>
        </w:tc>
        <w:tc>
          <w:tcPr>
            <w:tcW w:w="2080" w:type="dxa"/>
            <w:vAlign w:val="bottom"/>
            <w:gridSpan w:val="2"/>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rPr>
                <w:rFonts w:ascii="MS PGothic" w:cs="MS PGothic" w:eastAsia="MS PGothic" w:hAnsi="MS PGothic"/>
                <w:sz w:val="18"/>
                <w:szCs w:val="18"/>
                <w:color w:val="0563C1"/>
              </w:rPr>
            </w:pPr>
            <w:hyperlink r:id="rId749">
              <w:r>
                <w:rPr>
                  <w:rFonts w:ascii="MS PGothic" w:cs="MS PGothic" w:eastAsia="MS PGothic" w:hAnsi="MS PGothic"/>
                  <w:sz w:val="18"/>
                  <w:szCs w:val="18"/>
                  <w:color w:val="0563C1"/>
                </w:rPr>
                <w:t>(incorporated by reference to Exhibit 10.01 to the Martn Marieta Materials, Inc. Current Report on Form 8-K fled on</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top w:val="single" w:sz="8" w:color="0563C1"/>
            </w:tcBorders>
            <w:gridSpan w:val="10"/>
          </w:tcPr>
          <w:p>
            <w:pPr>
              <w:spacing w:after="0"/>
              <w:rPr>
                <w:rFonts w:ascii="MS PGothic" w:cs="MS PGothic" w:eastAsia="MS PGothic" w:hAnsi="MS PGothic"/>
                <w:sz w:val="18"/>
                <w:szCs w:val="18"/>
                <w:color w:val="0563C1"/>
              </w:rPr>
            </w:pPr>
            <w:hyperlink r:id="rId749">
              <w:r>
                <w:rPr>
                  <w:rFonts w:ascii="MS PGothic" w:cs="MS PGothic" w:eastAsia="MS PGothic" w:hAnsi="MS PGothic"/>
                  <w:sz w:val="18"/>
                  <w:szCs w:val="18"/>
                  <w:color w:val="0563C1"/>
                </w:rPr>
                <w:t>September 21, 2022) (Commission File No. 1-12744)</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500" w:type="dxa"/>
            <w:vAlign w:val="bottom"/>
            <w:tcBorders>
              <w:top w:val="single" w:sz="8" w:color="0000EE"/>
              <w:bottom w:val="single" w:sz="8" w:color="91BBD3"/>
            </w:tcBorders>
          </w:tcPr>
          <w:p>
            <w:pPr>
              <w:spacing w:after="0"/>
              <w:rPr>
                <w:sz w:val="4"/>
                <w:szCs w:val="4"/>
                <w:color w:val="auto"/>
              </w:rPr>
            </w:pPr>
          </w:p>
        </w:tc>
        <w:tc>
          <w:tcPr>
            <w:tcW w:w="880" w:type="dxa"/>
            <w:vAlign w:val="bottom"/>
            <w:tcBorders>
              <w:top w:val="single" w:sz="8" w:color="0000EE"/>
              <w:bottom w:val="single" w:sz="8" w:color="91BBD3"/>
            </w:tcBorders>
          </w:tcPr>
          <w:p>
            <w:pPr>
              <w:spacing w:after="0"/>
              <w:rPr>
                <w:sz w:val="4"/>
                <w:szCs w:val="4"/>
                <w:color w:val="auto"/>
              </w:rPr>
            </w:pPr>
          </w:p>
        </w:tc>
        <w:tc>
          <w:tcPr>
            <w:tcW w:w="960" w:type="dxa"/>
            <w:vAlign w:val="bottom"/>
            <w:tcBorders>
              <w:top w:val="single" w:sz="8" w:color="0000EE"/>
              <w:bottom w:val="single" w:sz="8" w:color="91BBD3"/>
            </w:tcBorders>
          </w:tcPr>
          <w:p>
            <w:pPr>
              <w:spacing w:after="0"/>
              <w:rPr>
                <w:sz w:val="4"/>
                <w:szCs w:val="4"/>
                <w:color w:val="auto"/>
              </w:rPr>
            </w:pPr>
          </w:p>
        </w:tc>
        <w:tc>
          <w:tcPr>
            <w:tcW w:w="460" w:type="dxa"/>
            <w:vAlign w:val="bottom"/>
            <w:tcBorders>
              <w:top w:val="single" w:sz="8" w:color="0000EE"/>
              <w:bottom w:val="single" w:sz="8" w:color="91BBD3"/>
            </w:tcBorders>
          </w:tcPr>
          <w:p>
            <w:pPr>
              <w:spacing w:after="0"/>
              <w:rPr>
                <w:sz w:val="4"/>
                <w:szCs w:val="4"/>
                <w:color w:val="auto"/>
              </w:rPr>
            </w:pPr>
          </w:p>
        </w:tc>
        <w:tc>
          <w:tcPr>
            <w:tcW w:w="900" w:type="dxa"/>
            <w:vAlign w:val="bottom"/>
            <w:tcBorders>
              <w:top w:val="single" w:sz="8" w:color="0000EE"/>
              <w:bottom w:val="single" w:sz="8" w:color="91BBD3"/>
            </w:tcBorders>
          </w:tcPr>
          <w:p>
            <w:pPr>
              <w:spacing w:after="0"/>
              <w:rPr>
                <w:sz w:val="4"/>
                <w:szCs w:val="4"/>
                <w:color w:val="auto"/>
              </w:rPr>
            </w:pPr>
          </w:p>
        </w:tc>
        <w:tc>
          <w:tcPr>
            <w:tcW w:w="40" w:type="dxa"/>
            <w:vAlign w:val="bottom"/>
            <w:tcBorders>
              <w:top w:val="single" w:sz="8" w:color="0000EE"/>
              <w:bottom w:val="single" w:sz="8" w:color="91BBD3"/>
            </w:tcBorders>
          </w:tcPr>
          <w:p>
            <w:pPr>
              <w:spacing w:after="0"/>
              <w:rPr>
                <w:sz w:val="4"/>
                <w:szCs w:val="4"/>
                <w:color w:val="auto"/>
              </w:rPr>
            </w:pPr>
          </w:p>
        </w:tc>
        <w:tc>
          <w:tcPr>
            <w:tcW w:w="1980" w:type="dxa"/>
            <w:vAlign w:val="bottom"/>
            <w:tcBorders>
              <w:bottom w:val="single" w:sz="8" w:color="91BBD3"/>
            </w:tcBorders>
          </w:tcPr>
          <w:p>
            <w:pPr>
              <w:spacing w:after="0"/>
              <w:rPr>
                <w:sz w:val="4"/>
                <w:szCs w:val="4"/>
                <w:color w:val="auto"/>
              </w:rPr>
            </w:pPr>
          </w:p>
        </w:tc>
        <w:tc>
          <w:tcPr>
            <w:tcW w:w="1180" w:type="dxa"/>
            <w:vAlign w:val="bottom"/>
            <w:tcBorders>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44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shd w:val="clear" w:color="auto" w:fill="DAE8F0"/>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10.15</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1"/>
            <w:shd w:val="clear" w:color="auto" w:fill="DAE8F0"/>
          </w:tcPr>
          <w:p>
            <w:pPr>
              <w:spacing w:after="0" w:line="169" w:lineRule="exact"/>
              <w:rPr>
                <w:rFonts w:ascii="MS PGothic" w:cs="MS PGothic" w:eastAsia="MS PGothic" w:hAnsi="MS PGothic"/>
                <w:sz w:val="18"/>
                <w:szCs w:val="18"/>
                <w:color w:val="0563C1"/>
              </w:rPr>
            </w:pPr>
            <w:hyperlink r:id="rId750">
              <w:r>
                <w:rPr>
                  <w:rFonts w:ascii="MS PGothic" w:cs="MS PGothic" w:eastAsia="MS PGothic" w:hAnsi="MS PGothic"/>
                  <w:sz w:val="18"/>
                  <w:szCs w:val="18"/>
                  <w:color w:val="0563C1"/>
                </w:rPr>
                <w:t>Fifeenth Amendment to Credit Agreement, dated as of September 20, 2023, among Martn Marieta Funding LLC, as</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100" w:type="dxa"/>
            <w:vAlign w:val="bottom"/>
            <w:gridSpan w:val="4"/>
            <w:shd w:val="clear" w:color="auto" w:fill="0563C1"/>
          </w:tcPr>
          <w:p>
            <w:pPr>
              <w:spacing w:after="0" w:line="20" w:lineRule="exact"/>
              <w:rPr>
                <w:sz w:val="1"/>
                <w:szCs w:val="1"/>
                <w:color w:val="auto"/>
              </w:rPr>
            </w:pPr>
          </w:p>
        </w:tc>
        <w:tc>
          <w:tcPr>
            <w:tcW w:w="208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rPr>
            </w:pPr>
            <w:hyperlink r:id="rId750">
              <w:r>
                <w:rPr>
                  <w:rFonts w:ascii="MS PGothic" w:cs="MS PGothic" w:eastAsia="MS PGothic" w:hAnsi="MS PGothic"/>
                  <w:sz w:val="18"/>
                  <w:szCs w:val="18"/>
                  <w:color w:val="0563C1"/>
                </w:rPr>
                <w:t>borrower, Martn Marieta Materials, Inc., as servicer, and Truist Bank, successor by merger to SunTrust Bank, as lender</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100" w:type="dxa"/>
            <w:vAlign w:val="bottom"/>
            <w:gridSpan w:val="4"/>
            <w:shd w:val="clear" w:color="auto" w:fill="0563C1"/>
          </w:tcPr>
          <w:p>
            <w:pPr>
              <w:spacing w:after="0" w:line="20" w:lineRule="exact"/>
              <w:rPr>
                <w:sz w:val="1"/>
                <w:szCs w:val="1"/>
                <w:color w:val="auto"/>
              </w:rPr>
            </w:pPr>
          </w:p>
        </w:tc>
        <w:tc>
          <w:tcPr>
            <w:tcW w:w="208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w w:val="97"/>
              </w:rPr>
            </w:pPr>
            <w:hyperlink r:id="rId750">
              <w:r>
                <w:rPr>
                  <w:rFonts w:ascii="MS PGothic" w:cs="MS PGothic" w:eastAsia="MS PGothic" w:hAnsi="MS PGothic"/>
                  <w:sz w:val="18"/>
                  <w:szCs w:val="18"/>
                  <w:color w:val="0563C1"/>
                  <w:w w:val="97"/>
                </w:rPr>
                <w:t>together with the other lenders from tme to tme party thereto, and Truist Bank, successor by merger to Sun Trust Bank, as</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100" w:type="dxa"/>
            <w:vAlign w:val="bottom"/>
            <w:gridSpan w:val="4"/>
            <w:shd w:val="clear" w:color="auto" w:fill="0563C1"/>
          </w:tcPr>
          <w:p>
            <w:pPr>
              <w:spacing w:after="0" w:line="20" w:lineRule="exact"/>
              <w:rPr>
                <w:sz w:val="1"/>
                <w:szCs w:val="1"/>
                <w:color w:val="auto"/>
              </w:rPr>
            </w:pPr>
          </w:p>
        </w:tc>
        <w:tc>
          <w:tcPr>
            <w:tcW w:w="208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rPr>
            </w:pPr>
            <w:hyperlink r:id="rId750">
              <w:r>
                <w:rPr>
                  <w:rFonts w:ascii="MS PGothic" w:cs="MS PGothic" w:eastAsia="MS PGothic" w:hAnsi="MS PGothic"/>
                  <w:sz w:val="18"/>
                  <w:szCs w:val="18"/>
                  <w:color w:val="0563C1"/>
                </w:rPr>
                <w:t>administratve agent for the lenders (including a conformed copy of the Credit Agreement atached as Exhibit A thereto)</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100" w:type="dxa"/>
            <w:vAlign w:val="bottom"/>
            <w:gridSpan w:val="4"/>
            <w:shd w:val="clear" w:color="auto" w:fill="0563C1"/>
          </w:tcPr>
          <w:p>
            <w:pPr>
              <w:spacing w:after="0" w:line="20" w:lineRule="exact"/>
              <w:rPr>
                <w:sz w:val="1"/>
                <w:szCs w:val="1"/>
                <w:color w:val="auto"/>
              </w:rPr>
            </w:pPr>
          </w:p>
        </w:tc>
        <w:tc>
          <w:tcPr>
            <w:tcW w:w="2080" w:type="dxa"/>
            <w:vAlign w:val="bottom"/>
            <w:gridSpan w:val="2"/>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rPr>
            </w:pPr>
            <w:hyperlink r:id="rId750">
              <w:r>
                <w:rPr>
                  <w:rFonts w:ascii="MS PGothic" w:cs="MS PGothic" w:eastAsia="MS PGothic" w:hAnsi="MS PGothic"/>
                  <w:sz w:val="18"/>
                  <w:szCs w:val="18"/>
                  <w:color w:val="0563C1"/>
                </w:rPr>
                <w:t>(incorporated by reference to Exhibit 10.1 to the Martn Marieta Materials, Inc., Current Report on Form 8-K fled on</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0" w:type="dxa"/>
            <w:vAlign w:val="bottom"/>
            <w:tcBorders>
              <w:right w:val="single" w:sz="8" w:color="91BBD3"/>
            </w:tcBorders>
          </w:tcPr>
          <w:p>
            <w:pPr>
              <w:spacing w:after="0"/>
              <w:rPr>
                <w:sz w:val="21"/>
                <w:szCs w:val="21"/>
                <w:color w:val="auto"/>
              </w:rPr>
            </w:pPr>
          </w:p>
        </w:tc>
        <w:tc>
          <w:tcPr>
            <w:tcW w:w="1660" w:type="dxa"/>
            <w:vAlign w:val="bottom"/>
            <w:tcBorders>
              <w:top w:val="single" w:sz="8" w:color="DAE8F0"/>
              <w:right w:val="single" w:sz="8" w:color="91BBD3"/>
            </w:tcBorders>
            <w:shd w:val="clear" w:color="auto" w:fill="DAE8F0"/>
          </w:tcPr>
          <w:p>
            <w:pPr>
              <w:spacing w:after="0"/>
              <w:rPr>
                <w:sz w:val="21"/>
                <w:szCs w:val="21"/>
                <w:color w:val="auto"/>
              </w:rPr>
            </w:pPr>
          </w:p>
        </w:tc>
        <w:tc>
          <w:tcPr>
            <w:tcW w:w="100" w:type="dxa"/>
            <w:vAlign w:val="bottom"/>
            <w:tcBorders>
              <w:top w:val="single" w:sz="8" w:color="DAE8F0"/>
            </w:tcBorders>
            <w:shd w:val="clear" w:color="auto" w:fill="DAE8F0"/>
          </w:tcPr>
          <w:p>
            <w:pPr>
              <w:spacing w:after="0"/>
              <w:rPr>
                <w:sz w:val="21"/>
                <w:szCs w:val="21"/>
                <w:color w:val="auto"/>
              </w:rPr>
            </w:pPr>
          </w:p>
        </w:tc>
        <w:tc>
          <w:tcPr>
            <w:tcW w:w="8980" w:type="dxa"/>
            <w:vAlign w:val="bottom"/>
            <w:tcBorders>
              <w:top w:val="single" w:sz="8" w:color="0563C1"/>
            </w:tcBorders>
            <w:gridSpan w:val="10"/>
            <w:shd w:val="clear" w:color="auto" w:fill="DAE8F0"/>
          </w:tcPr>
          <w:p>
            <w:pPr>
              <w:spacing w:after="0"/>
              <w:rPr>
                <w:rFonts w:ascii="MS PGothic" w:cs="MS PGothic" w:eastAsia="MS PGothic" w:hAnsi="MS PGothic"/>
                <w:sz w:val="18"/>
                <w:szCs w:val="18"/>
                <w:color w:val="0563C1"/>
              </w:rPr>
            </w:pPr>
            <w:hyperlink r:id="rId750">
              <w:r>
                <w:rPr>
                  <w:rFonts w:ascii="MS PGothic" w:cs="MS PGothic" w:eastAsia="MS PGothic" w:hAnsi="MS PGothic"/>
                  <w:sz w:val="18"/>
                  <w:szCs w:val="18"/>
                  <w:color w:val="0563C1"/>
                </w:rPr>
                <w:t>September 20, 2023) (Commission File No. 1-12744)</w:t>
              </w:r>
            </w:hyperlink>
          </w:p>
        </w:tc>
        <w:tc>
          <w:tcPr>
            <w:tcW w:w="140" w:type="dxa"/>
            <w:vAlign w:val="bottom"/>
            <w:tcBorders>
              <w:top w:val="single" w:sz="8" w:color="DAE8F0"/>
              <w:left w:val="single" w:sz="8" w:color="DAE8F0"/>
              <w:right w:val="single" w:sz="8" w:color="91BBD3"/>
            </w:tcBorders>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500" w:type="dxa"/>
            <w:vAlign w:val="bottom"/>
            <w:tcBorders>
              <w:top w:val="single" w:sz="8" w:color="0563C1"/>
            </w:tcBorders>
            <w:shd w:val="clear" w:color="auto" w:fill="91BBD3"/>
          </w:tcPr>
          <w:p>
            <w:pPr>
              <w:spacing w:after="0" w:line="20" w:lineRule="exact"/>
              <w:rPr>
                <w:sz w:val="1"/>
                <w:szCs w:val="1"/>
                <w:color w:val="auto"/>
              </w:rPr>
            </w:pPr>
          </w:p>
        </w:tc>
        <w:tc>
          <w:tcPr>
            <w:tcW w:w="880" w:type="dxa"/>
            <w:vAlign w:val="bottom"/>
            <w:tcBorders>
              <w:top w:val="single" w:sz="8" w:color="0563C1"/>
            </w:tcBorders>
            <w:shd w:val="clear" w:color="auto" w:fill="91BBD3"/>
          </w:tcPr>
          <w:p>
            <w:pPr>
              <w:spacing w:after="0" w:line="20" w:lineRule="exact"/>
              <w:rPr>
                <w:sz w:val="1"/>
                <w:szCs w:val="1"/>
                <w:color w:val="auto"/>
              </w:rPr>
            </w:pPr>
          </w:p>
        </w:tc>
        <w:tc>
          <w:tcPr>
            <w:tcW w:w="960" w:type="dxa"/>
            <w:vAlign w:val="bottom"/>
            <w:tcBorders>
              <w:top w:val="single" w:sz="8" w:color="0563C1"/>
            </w:tcBorders>
            <w:shd w:val="clear" w:color="auto" w:fill="91BBD3"/>
          </w:tcPr>
          <w:p>
            <w:pPr>
              <w:spacing w:after="0" w:line="20" w:lineRule="exact"/>
              <w:rPr>
                <w:sz w:val="1"/>
                <w:szCs w:val="1"/>
                <w:color w:val="auto"/>
              </w:rPr>
            </w:pPr>
          </w:p>
        </w:tc>
        <w:tc>
          <w:tcPr>
            <w:tcW w:w="460" w:type="dxa"/>
            <w:vAlign w:val="bottom"/>
            <w:tcBorders>
              <w:top w:val="single" w:sz="8" w:color="0563C1"/>
            </w:tcBorders>
            <w:shd w:val="clear" w:color="auto" w:fill="91BBD3"/>
          </w:tcPr>
          <w:p>
            <w:pPr>
              <w:spacing w:after="0" w:line="20" w:lineRule="exact"/>
              <w:rPr>
                <w:sz w:val="1"/>
                <w:szCs w:val="1"/>
                <w:color w:val="auto"/>
              </w:rPr>
            </w:pPr>
          </w:p>
        </w:tc>
        <w:tc>
          <w:tcPr>
            <w:tcW w:w="900" w:type="dxa"/>
            <w:vAlign w:val="bottom"/>
            <w:tcBorders>
              <w:top w:val="single" w:sz="8" w:color="0563C1"/>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1980" w:type="dxa"/>
            <w:vAlign w:val="bottom"/>
            <w:tcBorders>
              <w:top w:val="single" w:sz="8" w:color="DAE8F0"/>
            </w:tcBorders>
            <w:shd w:val="clear" w:color="auto" w:fill="91BBD3"/>
          </w:tcPr>
          <w:p>
            <w:pPr>
              <w:spacing w:after="0" w:line="20" w:lineRule="exact"/>
              <w:rPr>
                <w:sz w:val="1"/>
                <w:szCs w:val="1"/>
                <w:color w:val="auto"/>
              </w:rPr>
            </w:pPr>
          </w:p>
        </w:tc>
        <w:tc>
          <w:tcPr>
            <w:tcW w:w="1180" w:type="dxa"/>
            <w:vAlign w:val="bottom"/>
            <w:tcBorders>
              <w:top w:val="single" w:sz="8" w:color="DAE8F0"/>
            </w:tcBorders>
            <w:shd w:val="clear" w:color="auto" w:fill="91BBD3"/>
          </w:tcPr>
          <w:p>
            <w:pPr>
              <w:spacing w:after="0" w:line="20" w:lineRule="exact"/>
              <w:rPr>
                <w:sz w:val="1"/>
                <w:szCs w:val="1"/>
                <w:color w:val="auto"/>
              </w:rPr>
            </w:pPr>
          </w:p>
        </w:tc>
        <w:tc>
          <w:tcPr>
            <w:tcW w:w="1640" w:type="dxa"/>
            <w:vAlign w:val="bottom"/>
            <w:tcBorders>
              <w:top w:val="single" w:sz="8" w:color="DAE8F0"/>
            </w:tcBorders>
            <w:shd w:val="clear" w:color="auto" w:fill="91BBD3"/>
          </w:tcPr>
          <w:p>
            <w:pPr>
              <w:spacing w:after="0" w:line="20" w:lineRule="exact"/>
              <w:rPr>
                <w:sz w:val="1"/>
                <w:szCs w:val="1"/>
                <w:color w:val="auto"/>
              </w:rPr>
            </w:pPr>
          </w:p>
        </w:tc>
        <w:tc>
          <w:tcPr>
            <w:tcW w:w="44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right w:val="single" w:sz="8" w:color="91BBD3"/>
            </w:tcBorders>
            <w:vMerge w:val="continue"/>
          </w:tcPr>
          <w:p>
            <w:pPr>
              <w:spacing w:after="0"/>
              <w:rPr>
                <w:sz w:val="14"/>
                <w:szCs w:val="14"/>
                <w:color w:val="auto"/>
              </w:rPr>
            </w:pPr>
          </w:p>
        </w:tc>
        <w:tc>
          <w:tcPr>
            <w:tcW w:w="1660" w:type="dxa"/>
            <w:vAlign w:val="bottom"/>
            <w:tcBorders>
              <w:right w:val="single" w:sz="8" w:color="91BBD3"/>
            </w:tcBorders>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10.16</w:t>
            </w:r>
          </w:p>
        </w:tc>
        <w:tc>
          <w:tcPr>
            <w:tcW w:w="100" w:type="dxa"/>
            <w:vAlign w:val="bottom"/>
          </w:tcPr>
          <w:p>
            <w:pPr>
              <w:spacing w:after="0"/>
              <w:rPr>
                <w:sz w:val="14"/>
                <w:szCs w:val="14"/>
                <w:color w:val="auto"/>
              </w:rPr>
            </w:pPr>
          </w:p>
        </w:tc>
        <w:tc>
          <w:tcPr>
            <w:tcW w:w="9120" w:type="dxa"/>
            <w:vAlign w:val="bottom"/>
            <w:tcBorders>
              <w:right w:val="single" w:sz="8" w:color="91BBD3"/>
            </w:tcBorders>
            <w:gridSpan w:val="11"/>
          </w:tcPr>
          <w:p>
            <w:pPr>
              <w:spacing w:after="0" w:line="169" w:lineRule="exact"/>
              <w:rPr>
                <w:rFonts w:ascii="MS PGothic" w:cs="MS PGothic" w:eastAsia="MS PGothic" w:hAnsi="MS PGothic"/>
                <w:sz w:val="18"/>
                <w:szCs w:val="18"/>
                <w:color w:val="0563C1"/>
              </w:rPr>
            </w:pPr>
            <w:hyperlink r:id="rId751">
              <w:r>
                <w:rPr>
                  <w:rFonts w:ascii="MS PGothic" w:cs="MS PGothic" w:eastAsia="MS PGothic" w:hAnsi="MS PGothic"/>
                  <w:sz w:val="18"/>
                  <w:szCs w:val="18"/>
                  <w:color w:val="0563C1"/>
                </w:rPr>
                <w:t>Purchase and Contributon Agreement dated as of April 19, 2013, between Martn Marieta Materials, Inc., as seller and as</w:t>
              </w:r>
            </w:hyperlink>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4100" w:type="dxa"/>
            <w:vAlign w:val="bottom"/>
            <w:gridSpan w:val="4"/>
            <w:shd w:val="clear" w:color="auto" w:fill="0563C1"/>
          </w:tcPr>
          <w:p>
            <w:pPr>
              <w:spacing w:after="0" w:line="20" w:lineRule="exact"/>
              <w:rPr>
                <w:sz w:val="1"/>
                <w:szCs w:val="1"/>
                <w:color w:val="auto"/>
              </w:rPr>
            </w:pPr>
          </w:p>
        </w:tc>
        <w:tc>
          <w:tcPr>
            <w:tcW w:w="2080" w:type="dxa"/>
            <w:vAlign w:val="bottom"/>
            <w:gridSpan w:val="2"/>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rPr>
                <w:rFonts w:ascii="MS PGothic" w:cs="MS PGothic" w:eastAsia="MS PGothic" w:hAnsi="MS PGothic"/>
                <w:sz w:val="18"/>
                <w:szCs w:val="18"/>
                <w:color w:val="0563C1"/>
              </w:rPr>
            </w:pPr>
            <w:hyperlink r:id="rId751">
              <w:r>
                <w:rPr>
                  <w:rFonts w:ascii="MS PGothic" w:cs="MS PGothic" w:eastAsia="MS PGothic" w:hAnsi="MS PGothic"/>
                  <w:sz w:val="18"/>
                  <w:szCs w:val="18"/>
                  <w:color w:val="0563C1"/>
                </w:rPr>
                <w:t>servicer, and Martn Marieta Funding LLC, as buyer (incorporated by reference to Exhibit 10.02 to the Martn Marieta</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top w:val="single" w:sz="8" w:color="0563C1"/>
            </w:tcBorders>
            <w:gridSpan w:val="10"/>
          </w:tcPr>
          <w:p>
            <w:pPr>
              <w:spacing w:after="0"/>
              <w:rPr>
                <w:rFonts w:ascii="MS PGothic" w:cs="MS PGothic" w:eastAsia="MS PGothic" w:hAnsi="MS PGothic"/>
                <w:sz w:val="18"/>
                <w:szCs w:val="18"/>
                <w:color w:val="0563C1"/>
              </w:rPr>
            </w:pPr>
            <w:hyperlink r:id="rId751">
              <w:r>
                <w:rPr>
                  <w:rFonts w:ascii="MS PGothic" w:cs="MS PGothic" w:eastAsia="MS PGothic" w:hAnsi="MS PGothic"/>
                  <w:sz w:val="18"/>
                  <w:szCs w:val="18"/>
                  <w:color w:val="0563C1"/>
                </w:rPr>
                <w:t>Materials, Inc. Current Report on Form 8-K fled on April 24, 2013) (Commission File No. 1-12744)</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500" w:type="dxa"/>
            <w:vAlign w:val="bottom"/>
            <w:tcBorders>
              <w:top w:val="single" w:sz="8" w:color="0563C1"/>
              <w:bottom w:val="single" w:sz="8" w:color="91BBD3"/>
            </w:tcBorders>
          </w:tcPr>
          <w:p>
            <w:pPr>
              <w:spacing w:after="0"/>
              <w:rPr>
                <w:sz w:val="4"/>
                <w:szCs w:val="4"/>
                <w:color w:val="auto"/>
              </w:rPr>
            </w:pPr>
          </w:p>
        </w:tc>
        <w:tc>
          <w:tcPr>
            <w:tcW w:w="880" w:type="dxa"/>
            <w:vAlign w:val="bottom"/>
            <w:tcBorders>
              <w:top w:val="single" w:sz="8" w:color="0563C1"/>
              <w:bottom w:val="single" w:sz="8" w:color="91BBD3"/>
            </w:tcBorders>
          </w:tcPr>
          <w:p>
            <w:pPr>
              <w:spacing w:after="0"/>
              <w:rPr>
                <w:sz w:val="4"/>
                <w:szCs w:val="4"/>
                <w:color w:val="auto"/>
              </w:rPr>
            </w:pPr>
          </w:p>
        </w:tc>
        <w:tc>
          <w:tcPr>
            <w:tcW w:w="960" w:type="dxa"/>
            <w:vAlign w:val="bottom"/>
            <w:tcBorders>
              <w:top w:val="single" w:sz="8" w:color="0563C1"/>
              <w:bottom w:val="single" w:sz="8" w:color="91BBD3"/>
            </w:tcBorders>
          </w:tcPr>
          <w:p>
            <w:pPr>
              <w:spacing w:after="0"/>
              <w:rPr>
                <w:sz w:val="4"/>
                <w:szCs w:val="4"/>
                <w:color w:val="auto"/>
              </w:rPr>
            </w:pPr>
          </w:p>
        </w:tc>
        <w:tc>
          <w:tcPr>
            <w:tcW w:w="460" w:type="dxa"/>
            <w:vAlign w:val="bottom"/>
            <w:tcBorders>
              <w:top w:val="single" w:sz="8" w:color="0563C1"/>
              <w:bottom w:val="single" w:sz="8" w:color="91BBD3"/>
            </w:tcBorders>
          </w:tcPr>
          <w:p>
            <w:pPr>
              <w:spacing w:after="0"/>
              <w:rPr>
                <w:sz w:val="4"/>
                <w:szCs w:val="4"/>
                <w:color w:val="auto"/>
              </w:rPr>
            </w:pPr>
          </w:p>
        </w:tc>
        <w:tc>
          <w:tcPr>
            <w:tcW w:w="900" w:type="dxa"/>
            <w:vAlign w:val="bottom"/>
            <w:tcBorders>
              <w:top w:val="single" w:sz="8" w:color="0563C1"/>
              <w:bottom w:val="single" w:sz="8" w:color="91BBD3"/>
            </w:tcBorders>
          </w:tcPr>
          <w:p>
            <w:pPr>
              <w:spacing w:after="0"/>
              <w:rPr>
                <w:sz w:val="4"/>
                <w:szCs w:val="4"/>
                <w:color w:val="auto"/>
              </w:rPr>
            </w:pPr>
          </w:p>
        </w:tc>
        <w:tc>
          <w:tcPr>
            <w:tcW w:w="40" w:type="dxa"/>
            <w:vAlign w:val="bottom"/>
            <w:tcBorders>
              <w:top w:val="single" w:sz="8" w:color="0563C1"/>
              <w:bottom w:val="single" w:sz="8" w:color="91BBD3"/>
            </w:tcBorders>
          </w:tcPr>
          <w:p>
            <w:pPr>
              <w:spacing w:after="0"/>
              <w:rPr>
                <w:sz w:val="4"/>
                <w:szCs w:val="4"/>
                <w:color w:val="auto"/>
              </w:rPr>
            </w:pPr>
          </w:p>
        </w:tc>
        <w:tc>
          <w:tcPr>
            <w:tcW w:w="1980" w:type="dxa"/>
            <w:vAlign w:val="bottom"/>
            <w:tcBorders>
              <w:top w:val="single" w:sz="8" w:color="0563C1"/>
              <w:bottom w:val="single" w:sz="8" w:color="91BBD3"/>
            </w:tcBorders>
          </w:tcPr>
          <w:p>
            <w:pPr>
              <w:spacing w:after="0"/>
              <w:rPr>
                <w:sz w:val="4"/>
                <w:szCs w:val="4"/>
                <w:color w:val="auto"/>
              </w:rPr>
            </w:pPr>
          </w:p>
        </w:tc>
        <w:tc>
          <w:tcPr>
            <w:tcW w:w="1180" w:type="dxa"/>
            <w:vAlign w:val="bottom"/>
            <w:tcBorders>
              <w:top w:val="single" w:sz="8" w:color="0563C1"/>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44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shd w:val="clear" w:color="auto" w:fill="DAE8F0"/>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10.17</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1"/>
            <w:shd w:val="clear" w:color="auto" w:fill="DAE8F0"/>
          </w:tcPr>
          <w:p>
            <w:pPr>
              <w:spacing w:after="0" w:line="169" w:lineRule="exact"/>
              <w:rPr>
                <w:rFonts w:ascii="MS PGothic" w:cs="MS PGothic" w:eastAsia="MS PGothic" w:hAnsi="MS PGothic"/>
                <w:sz w:val="18"/>
                <w:szCs w:val="18"/>
                <w:color w:val="0563C1"/>
              </w:rPr>
            </w:pPr>
            <w:hyperlink r:id="rId752">
              <w:r>
                <w:rPr>
                  <w:rFonts w:ascii="MS PGothic" w:cs="MS PGothic" w:eastAsia="MS PGothic" w:hAnsi="MS PGothic"/>
                  <w:sz w:val="18"/>
                  <w:szCs w:val="18"/>
                  <w:color w:val="0563C1"/>
                </w:rPr>
                <w:t>Form of Martn Marieta Materials, Inc. Third Amended and Restated Employment Protecton Agreement (incorporated by</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460" w:type="dxa"/>
            <w:vAlign w:val="bottom"/>
            <w:shd w:val="clear" w:color="auto" w:fill="0563C1"/>
          </w:tcPr>
          <w:p>
            <w:pPr>
              <w:spacing w:after="0" w:line="20" w:lineRule="exact"/>
              <w:rPr>
                <w:sz w:val="1"/>
                <w:szCs w:val="1"/>
                <w:color w:val="auto"/>
              </w:rPr>
            </w:pPr>
          </w:p>
        </w:tc>
        <w:tc>
          <w:tcPr>
            <w:tcW w:w="6180" w:type="dxa"/>
            <w:vAlign w:val="bottom"/>
            <w:gridSpan w:val="6"/>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rPr>
            </w:pPr>
            <w:hyperlink r:id="rId752">
              <w:r>
                <w:rPr>
                  <w:rFonts w:ascii="MS PGothic" w:cs="MS PGothic" w:eastAsia="MS PGothic" w:hAnsi="MS PGothic"/>
                  <w:sz w:val="18"/>
                  <w:szCs w:val="18"/>
                  <w:color w:val="0563C1"/>
                </w:rPr>
                <w:t>reference to Exhibit 10.01 to the Martn Marieta Materials, Inc. Current Report on Form 8‑K, fled on August 19, 2008)</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0" w:type="dxa"/>
            <w:vAlign w:val="bottom"/>
            <w:tcBorders>
              <w:right w:val="single" w:sz="8" w:color="91BBD3"/>
            </w:tcBorders>
          </w:tcPr>
          <w:p>
            <w:pPr>
              <w:spacing w:after="0"/>
              <w:rPr>
                <w:sz w:val="21"/>
                <w:szCs w:val="21"/>
                <w:color w:val="auto"/>
              </w:rPr>
            </w:pPr>
          </w:p>
        </w:tc>
        <w:tc>
          <w:tcPr>
            <w:tcW w:w="1660" w:type="dxa"/>
            <w:vAlign w:val="bottom"/>
            <w:tcBorders>
              <w:top w:val="single" w:sz="8" w:color="DAE8F0"/>
              <w:right w:val="single" w:sz="8" w:color="91BBD3"/>
            </w:tcBorders>
            <w:shd w:val="clear" w:color="auto" w:fill="DAE8F0"/>
          </w:tcPr>
          <w:p>
            <w:pPr>
              <w:spacing w:after="0"/>
              <w:rPr>
                <w:sz w:val="21"/>
                <w:szCs w:val="21"/>
                <w:color w:val="auto"/>
              </w:rPr>
            </w:pPr>
          </w:p>
        </w:tc>
        <w:tc>
          <w:tcPr>
            <w:tcW w:w="100" w:type="dxa"/>
            <w:vAlign w:val="bottom"/>
            <w:tcBorders>
              <w:top w:val="single" w:sz="8" w:color="DAE8F0"/>
            </w:tcBorders>
            <w:shd w:val="clear" w:color="auto" w:fill="DAE8F0"/>
          </w:tcPr>
          <w:p>
            <w:pPr>
              <w:spacing w:after="0"/>
              <w:rPr>
                <w:sz w:val="21"/>
                <w:szCs w:val="21"/>
                <w:color w:val="auto"/>
              </w:rPr>
            </w:pPr>
          </w:p>
        </w:tc>
        <w:tc>
          <w:tcPr>
            <w:tcW w:w="8980" w:type="dxa"/>
            <w:vAlign w:val="bottom"/>
            <w:tcBorders>
              <w:top w:val="single" w:sz="8" w:color="0563C1"/>
            </w:tcBorders>
            <w:gridSpan w:val="10"/>
            <w:shd w:val="clear" w:color="auto" w:fill="DAE8F0"/>
          </w:tcPr>
          <w:p>
            <w:pPr>
              <w:spacing w:after="0"/>
              <w:rPr>
                <w:rFonts w:ascii="MS PGothic" w:cs="MS PGothic" w:eastAsia="MS PGothic" w:hAnsi="MS PGothic"/>
                <w:sz w:val="18"/>
                <w:szCs w:val="18"/>
                <w:color w:val="0563C1"/>
              </w:rPr>
            </w:pPr>
            <w:hyperlink r:id="rId752">
              <w:r>
                <w:rPr>
                  <w:rFonts w:ascii="MS PGothic" w:cs="MS PGothic" w:eastAsia="MS PGothic" w:hAnsi="MS PGothic"/>
                  <w:sz w:val="18"/>
                  <w:szCs w:val="18"/>
                  <w:color w:val="0563C1"/>
                </w:rPr>
                <w:t>(Commission File No. 1-12744)**</w:t>
              </w:r>
            </w:hyperlink>
          </w:p>
        </w:tc>
        <w:tc>
          <w:tcPr>
            <w:tcW w:w="140" w:type="dxa"/>
            <w:vAlign w:val="bottom"/>
            <w:tcBorders>
              <w:top w:val="single" w:sz="8" w:color="DAE8F0"/>
              <w:left w:val="single" w:sz="8" w:color="DAE8F0"/>
              <w:right w:val="single" w:sz="8" w:color="91BBD3"/>
            </w:tcBorders>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500" w:type="dxa"/>
            <w:vAlign w:val="bottom"/>
            <w:tcBorders>
              <w:top w:val="single" w:sz="8" w:color="0563C1"/>
            </w:tcBorders>
            <w:shd w:val="clear" w:color="auto" w:fill="91BBD3"/>
          </w:tcPr>
          <w:p>
            <w:pPr>
              <w:spacing w:after="0" w:line="20" w:lineRule="exact"/>
              <w:rPr>
                <w:sz w:val="1"/>
                <w:szCs w:val="1"/>
                <w:color w:val="auto"/>
              </w:rPr>
            </w:pPr>
          </w:p>
        </w:tc>
        <w:tc>
          <w:tcPr>
            <w:tcW w:w="880" w:type="dxa"/>
            <w:vAlign w:val="bottom"/>
            <w:tcBorders>
              <w:top w:val="single" w:sz="8" w:color="0563C1"/>
            </w:tcBorders>
            <w:shd w:val="clear" w:color="auto" w:fill="91BBD3"/>
          </w:tcPr>
          <w:p>
            <w:pPr>
              <w:spacing w:after="0" w:line="20" w:lineRule="exact"/>
              <w:rPr>
                <w:sz w:val="1"/>
                <w:szCs w:val="1"/>
                <w:color w:val="auto"/>
              </w:rPr>
            </w:pPr>
          </w:p>
        </w:tc>
        <w:tc>
          <w:tcPr>
            <w:tcW w:w="960" w:type="dxa"/>
            <w:vAlign w:val="bottom"/>
            <w:tcBorders>
              <w:top w:val="single" w:sz="8" w:color="0563C1"/>
            </w:tcBorders>
            <w:shd w:val="clear" w:color="auto" w:fill="91BBD3"/>
          </w:tcPr>
          <w:p>
            <w:pPr>
              <w:spacing w:after="0" w:line="20" w:lineRule="exact"/>
              <w:rPr>
                <w:sz w:val="1"/>
                <w:szCs w:val="1"/>
                <w:color w:val="auto"/>
              </w:rPr>
            </w:pPr>
          </w:p>
        </w:tc>
        <w:tc>
          <w:tcPr>
            <w:tcW w:w="460" w:type="dxa"/>
            <w:vAlign w:val="bottom"/>
            <w:tcBorders>
              <w:top w:val="single" w:sz="8" w:color="DAE8F0"/>
            </w:tcBorders>
            <w:shd w:val="clear" w:color="auto" w:fill="91BBD3"/>
          </w:tcPr>
          <w:p>
            <w:pPr>
              <w:spacing w:after="0" w:line="20" w:lineRule="exact"/>
              <w:rPr>
                <w:sz w:val="1"/>
                <w:szCs w:val="1"/>
                <w:color w:val="auto"/>
              </w:rPr>
            </w:pPr>
          </w:p>
        </w:tc>
        <w:tc>
          <w:tcPr>
            <w:tcW w:w="90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1980" w:type="dxa"/>
            <w:vAlign w:val="bottom"/>
            <w:tcBorders>
              <w:top w:val="single" w:sz="8" w:color="DAE8F0"/>
            </w:tcBorders>
            <w:shd w:val="clear" w:color="auto" w:fill="91BBD3"/>
          </w:tcPr>
          <w:p>
            <w:pPr>
              <w:spacing w:after="0" w:line="20" w:lineRule="exact"/>
              <w:rPr>
                <w:sz w:val="1"/>
                <w:szCs w:val="1"/>
                <w:color w:val="auto"/>
              </w:rPr>
            </w:pPr>
          </w:p>
        </w:tc>
        <w:tc>
          <w:tcPr>
            <w:tcW w:w="1180" w:type="dxa"/>
            <w:vAlign w:val="bottom"/>
            <w:tcBorders>
              <w:top w:val="single" w:sz="8" w:color="DAE8F0"/>
            </w:tcBorders>
            <w:shd w:val="clear" w:color="auto" w:fill="91BBD3"/>
          </w:tcPr>
          <w:p>
            <w:pPr>
              <w:spacing w:after="0" w:line="20" w:lineRule="exact"/>
              <w:rPr>
                <w:sz w:val="1"/>
                <w:szCs w:val="1"/>
                <w:color w:val="auto"/>
              </w:rPr>
            </w:pPr>
          </w:p>
        </w:tc>
        <w:tc>
          <w:tcPr>
            <w:tcW w:w="1640" w:type="dxa"/>
            <w:vAlign w:val="bottom"/>
            <w:tcBorders>
              <w:top w:val="single" w:sz="8" w:color="DAE8F0"/>
            </w:tcBorders>
            <w:shd w:val="clear" w:color="auto" w:fill="91BBD3"/>
          </w:tcPr>
          <w:p>
            <w:pPr>
              <w:spacing w:after="0" w:line="20" w:lineRule="exact"/>
              <w:rPr>
                <w:sz w:val="1"/>
                <w:szCs w:val="1"/>
                <w:color w:val="auto"/>
              </w:rPr>
            </w:pPr>
          </w:p>
        </w:tc>
        <w:tc>
          <w:tcPr>
            <w:tcW w:w="44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right w:val="single" w:sz="8" w:color="91BBD3"/>
            </w:tcBorders>
            <w:vMerge w:val="continue"/>
          </w:tcPr>
          <w:p>
            <w:pPr>
              <w:spacing w:after="0"/>
              <w:rPr>
                <w:sz w:val="14"/>
                <w:szCs w:val="14"/>
                <w:color w:val="auto"/>
              </w:rPr>
            </w:pPr>
          </w:p>
        </w:tc>
        <w:tc>
          <w:tcPr>
            <w:tcW w:w="1660" w:type="dxa"/>
            <w:vAlign w:val="bottom"/>
            <w:tcBorders>
              <w:right w:val="single" w:sz="8" w:color="91BBD3"/>
            </w:tcBorders>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10.18</w:t>
            </w:r>
          </w:p>
        </w:tc>
        <w:tc>
          <w:tcPr>
            <w:tcW w:w="100" w:type="dxa"/>
            <w:vAlign w:val="bottom"/>
          </w:tcPr>
          <w:p>
            <w:pPr>
              <w:spacing w:after="0"/>
              <w:rPr>
                <w:sz w:val="14"/>
                <w:szCs w:val="14"/>
                <w:color w:val="auto"/>
              </w:rPr>
            </w:pPr>
          </w:p>
        </w:tc>
        <w:tc>
          <w:tcPr>
            <w:tcW w:w="9120" w:type="dxa"/>
            <w:vAlign w:val="bottom"/>
            <w:tcBorders>
              <w:right w:val="single" w:sz="8" w:color="91BBD3"/>
            </w:tcBorders>
            <w:gridSpan w:val="11"/>
          </w:tcPr>
          <w:p>
            <w:pPr>
              <w:spacing w:after="0" w:line="169" w:lineRule="exact"/>
              <w:rPr>
                <w:rFonts w:ascii="MS PGothic" w:cs="MS PGothic" w:eastAsia="MS PGothic" w:hAnsi="MS PGothic"/>
                <w:sz w:val="18"/>
                <w:szCs w:val="18"/>
                <w:color w:val="0563C1"/>
                <w:w w:val="97"/>
              </w:rPr>
            </w:pPr>
            <w:hyperlink r:id="rId753">
              <w:r>
                <w:rPr>
                  <w:rFonts w:ascii="MS PGothic" w:cs="MS PGothic" w:eastAsia="MS PGothic" w:hAnsi="MS PGothic"/>
                  <w:sz w:val="18"/>
                  <w:szCs w:val="18"/>
                  <w:color w:val="0563C1"/>
                  <w:w w:val="97"/>
                </w:rPr>
                <w:t>Amended and Restated Martn Marieta Materials, Inc. Common Stock Purchase Plan for Directors (incorporated by reference</w:t>
              </w:r>
            </w:hyperlink>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shd w:val="clear" w:color="auto" w:fill="0563C1"/>
          </w:tcPr>
          <w:p>
            <w:pPr>
              <w:spacing w:after="0" w:line="20" w:lineRule="exact"/>
              <w:rPr>
                <w:sz w:val="1"/>
                <w:szCs w:val="1"/>
                <w:color w:val="auto"/>
              </w:rPr>
            </w:pPr>
          </w:p>
        </w:tc>
        <w:tc>
          <w:tcPr>
            <w:tcW w:w="1420" w:type="dxa"/>
            <w:vAlign w:val="bottom"/>
            <w:gridSpan w:val="2"/>
            <w:shd w:val="clear" w:color="auto" w:fill="0563C1"/>
          </w:tcPr>
          <w:p>
            <w:pPr>
              <w:spacing w:after="0" w:line="20" w:lineRule="exact"/>
              <w:rPr>
                <w:sz w:val="1"/>
                <w:szCs w:val="1"/>
                <w:color w:val="auto"/>
              </w:rPr>
            </w:pPr>
          </w:p>
        </w:tc>
        <w:tc>
          <w:tcPr>
            <w:tcW w:w="6180" w:type="dxa"/>
            <w:vAlign w:val="bottom"/>
            <w:gridSpan w:val="6"/>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10"/>
          </w:tcPr>
          <w:p>
            <w:pPr>
              <w:spacing w:after="0"/>
              <w:rPr>
                <w:rFonts w:ascii="MS PGothic" w:cs="MS PGothic" w:eastAsia="MS PGothic" w:hAnsi="MS PGothic"/>
                <w:sz w:val="18"/>
                <w:szCs w:val="18"/>
                <w:color w:val="0563C1"/>
                <w:w w:val="98"/>
              </w:rPr>
            </w:pPr>
            <w:hyperlink r:id="rId753">
              <w:r>
                <w:rPr>
                  <w:rFonts w:ascii="MS PGothic" w:cs="MS PGothic" w:eastAsia="MS PGothic" w:hAnsi="MS PGothic"/>
                  <w:sz w:val="18"/>
                  <w:szCs w:val="18"/>
                  <w:color w:val="0563C1"/>
                  <w:w w:val="98"/>
                </w:rPr>
                <w:t>to Exhibit 10.05 to the Martn Marieta Materials, Inc. Annual Report on Form 10-K for the fscal year ended December 31,</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rPr>
                <w:rFonts w:ascii="MS PGothic" w:cs="MS PGothic" w:eastAsia="MS PGothic" w:hAnsi="MS PGothic"/>
                <w:sz w:val="18"/>
                <w:szCs w:val="18"/>
                <w:color w:val="0563C1"/>
              </w:rPr>
            </w:pPr>
            <w:hyperlink r:id="rId753">
              <w:r>
                <w:rPr>
                  <w:rFonts w:ascii="MS PGothic" w:cs="MS PGothic" w:eastAsia="MS PGothic" w:hAnsi="MS PGothic"/>
                  <w:sz w:val="18"/>
                  <w:szCs w:val="18"/>
                  <w:color w:val="0563C1"/>
                </w:rPr>
                <w:t>2013)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500" w:type="dxa"/>
            <w:vAlign w:val="bottom"/>
            <w:tcBorders>
              <w:top w:val="single" w:sz="8" w:color="0563C1"/>
              <w:bottom w:val="single" w:sz="8" w:color="91BBD3"/>
            </w:tcBorders>
          </w:tcPr>
          <w:p>
            <w:pPr>
              <w:spacing w:after="0"/>
              <w:rPr>
                <w:sz w:val="4"/>
                <w:szCs w:val="4"/>
                <w:color w:val="auto"/>
              </w:rPr>
            </w:pPr>
          </w:p>
        </w:tc>
        <w:tc>
          <w:tcPr>
            <w:tcW w:w="880" w:type="dxa"/>
            <w:vAlign w:val="bottom"/>
            <w:tcBorders>
              <w:top w:val="single" w:sz="8" w:color="0563C1"/>
              <w:bottom w:val="single" w:sz="8" w:color="91BBD3"/>
            </w:tcBorders>
          </w:tcPr>
          <w:p>
            <w:pPr>
              <w:spacing w:after="0"/>
              <w:rPr>
                <w:sz w:val="4"/>
                <w:szCs w:val="4"/>
                <w:color w:val="auto"/>
              </w:rPr>
            </w:pPr>
          </w:p>
        </w:tc>
        <w:tc>
          <w:tcPr>
            <w:tcW w:w="960" w:type="dxa"/>
            <w:vAlign w:val="bottom"/>
            <w:tcBorders>
              <w:top w:val="single" w:sz="8" w:color="0563C1"/>
              <w:bottom w:val="single" w:sz="8" w:color="91BBD3"/>
            </w:tcBorders>
          </w:tcPr>
          <w:p>
            <w:pPr>
              <w:spacing w:after="0"/>
              <w:rPr>
                <w:sz w:val="4"/>
                <w:szCs w:val="4"/>
                <w:color w:val="auto"/>
              </w:rPr>
            </w:pPr>
          </w:p>
        </w:tc>
        <w:tc>
          <w:tcPr>
            <w:tcW w:w="460" w:type="dxa"/>
            <w:vAlign w:val="bottom"/>
            <w:tcBorders>
              <w:top w:val="single" w:sz="8" w:color="0563C1"/>
              <w:bottom w:val="single" w:sz="8" w:color="91BBD3"/>
            </w:tcBorders>
          </w:tcPr>
          <w:p>
            <w:pPr>
              <w:spacing w:after="0"/>
              <w:rPr>
                <w:sz w:val="4"/>
                <w:szCs w:val="4"/>
                <w:color w:val="auto"/>
              </w:rPr>
            </w:pPr>
          </w:p>
        </w:tc>
        <w:tc>
          <w:tcPr>
            <w:tcW w:w="900" w:type="dxa"/>
            <w:vAlign w:val="bottom"/>
            <w:tcBorders>
              <w:bottom w:val="single" w:sz="8" w:color="91BBD3"/>
            </w:tcBorders>
          </w:tcPr>
          <w:p>
            <w:pPr>
              <w:spacing w:after="0"/>
              <w:rPr>
                <w:sz w:val="4"/>
                <w:szCs w:val="4"/>
                <w:color w:val="auto"/>
              </w:rPr>
            </w:pPr>
          </w:p>
        </w:tc>
        <w:tc>
          <w:tcPr>
            <w:tcW w:w="40" w:type="dxa"/>
            <w:vAlign w:val="bottom"/>
            <w:tcBorders>
              <w:bottom w:val="single" w:sz="8" w:color="91BBD3"/>
            </w:tcBorders>
          </w:tcPr>
          <w:p>
            <w:pPr>
              <w:spacing w:after="0"/>
              <w:rPr>
                <w:sz w:val="4"/>
                <w:szCs w:val="4"/>
                <w:color w:val="auto"/>
              </w:rPr>
            </w:pPr>
          </w:p>
        </w:tc>
        <w:tc>
          <w:tcPr>
            <w:tcW w:w="1980" w:type="dxa"/>
            <w:vAlign w:val="bottom"/>
            <w:tcBorders>
              <w:bottom w:val="single" w:sz="8" w:color="91BBD3"/>
            </w:tcBorders>
          </w:tcPr>
          <w:p>
            <w:pPr>
              <w:spacing w:after="0"/>
              <w:rPr>
                <w:sz w:val="4"/>
                <w:szCs w:val="4"/>
                <w:color w:val="auto"/>
              </w:rPr>
            </w:pPr>
          </w:p>
        </w:tc>
        <w:tc>
          <w:tcPr>
            <w:tcW w:w="1180" w:type="dxa"/>
            <w:vAlign w:val="bottom"/>
            <w:tcBorders>
              <w:bottom w:val="single" w:sz="8" w:color="91BBD3"/>
            </w:tcBorders>
          </w:tcPr>
          <w:p>
            <w:pPr>
              <w:spacing w:after="0"/>
              <w:rPr>
                <w:sz w:val="4"/>
                <w:szCs w:val="4"/>
                <w:color w:val="auto"/>
              </w:rPr>
            </w:pPr>
          </w:p>
        </w:tc>
        <w:tc>
          <w:tcPr>
            <w:tcW w:w="1640" w:type="dxa"/>
            <w:vAlign w:val="bottom"/>
            <w:tcBorders>
              <w:bottom w:val="single" w:sz="8" w:color="91BBD3"/>
            </w:tcBorders>
          </w:tcPr>
          <w:p>
            <w:pPr>
              <w:spacing w:after="0"/>
              <w:rPr>
                <w:sz w:val="4"/>
                <w:szCs w:val="4"/>
                <w:color w:val="auto"/>
              </w:rPr>
            </w:pPr>
          </w:p>
        </w:tc>
        <w:tc>
          <w:tcPr>
            <w:tcW w:w="44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bottom w:val="single" w:sz="8" w:color="DAE8F0"/>
              <w:right w:val="single" w:sz="8" w:color="91BBD3"/>
            </w:tcBorders>
            <w:shd w:val="clear" w:color="auto" w:fill="DAE8F0"/>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10.19</w:t>
            </w:r>
          </w:p>
        </w:tc>
        <w:tc>
          <w:tcPr>
            <w:tcW w:w="100" w:type="dxa"/>
            <w:vAlign w:val="bottom"/>
            <w:tcBorders>
              <w:bottom w:val="single" w:sz="8" w:color="DAE8F0"/>
            </w:tcBorders>
            <w:shd w:val="clear" w:color="auto" w:fill="DAE8F0"/>
          </w:tcPr>
          <w:p>
            <w:pPr>
              <w:spacing w:after="0"/>
              <w:rPr>
                <w:sz w:val="14"/>
                <w:szCs w:val="14"/>
                <w:color w:val="auto"/>
              </w:rPr>
            </w:pPr>
          </w:p>
        </w:tc>
        <w:tc>
          <w:tcPr>
            <w:tcW w:w="8980" w:type="dxa"/>
            <w:vAlign w:val="bottom"/>
            <w:tcBorders>
              <w:bottom w:val="single" w:sz="8" w:color="0563C1"/>
            </w:tcBorders>
            <w:gridSpan w:val="10"/>
            <w:shd w:val="clear" w:color="auto" w:fill="DAE8F0"/>
          </w:tcPr>
          <w:p>
            <w:pPr>
              <w:spacing w:after="0" w:line="169" w:lineRule="exact"/>
              <w:rPr>
                <w:rFonts w:ascii="MS PGothic" w:cs="MS PGothic" w:eastAsia="MS PGothic" w:hAnsi="MS PGothic"/>
                <w:sz w:val="18"/>
                <w:szCs w:val="18"/>
                <w:color w:val="0563C1"/>
                <w:w w:val="96"/>
              </w:rPr>
            </w:pPr>
            <w:hyperlink r:id="rId754">
              <w:r>
                <w:rPr>
                  <w:rFonts w:ascii="MS PGothic" w:cs="MS PGothic" w:eastAsia="MS PGothic" w:hAnsi="MS PGothic"/>
                  <w:sz w:val="18"/>
                  <w:szCs w:val="18"/>
                  <w:color w:val="0563C1"/>
                  <w:w w:val="96"/>
                </w:rPr>
                <w:t>Martn Marieta Materials, Inc. Amended and Restated Executve Incentve Plan (incorporated by reference to Exhibit 10.05 to</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0"/>
            <w:shd w:val="clear" w:color="auto" w:fill="DAE8F0"/>
          </w:tcPr>
          <w:p>
            <w:pPr>
              <w:spacing w:after="0"/>
              <w:rPr>
                <w:rFonts w:ascii="MS PGothic" w:cs="MS PGothic" w:eastAsia="MS PGothic" w:hAnsi="MS PGothic"/>
                <w:sz w:val="18"/>
                <w:szCs w:val="18"/>
                <w:color w:val="0563C1"/>
                <w:w w:val="98"/>
              </w:rPr>
            </w:pPr>
            <w:hyperlink r:id="rId754">
              <w:r>
                <w:rPr>
                  <w:rFonts w:ascii="MS PGothic" w:cs="MS PGothic" w:eastAsia="MS PGothic" w:hAnsi="MS PGothic"/>
                  <w:sz w:val="18"/>
                  <w:szCs w:val="18"/>
                  <w:color w:val="0563C1"/>
                  <w:w w:val="98"/>
                </w:rPr>
                <w:t>the Martn Marieta Materials, Inc. Annual Report on Form 10-K for the fscal year ended December 31, 2008) (Commission</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0" w:type="dxa"/>
            <w:vAlign w:val="bottom"/>
            <w:tcBorders>
              <w:right w:val="single" w:sz="8" w:color="91BBD3"/>
            </w:tcBorders>
          </w:tcPr>
          <w:p>
            <w:pPr>
              <w:spacing w:after="0"/>
              <w:rPr>
                <w:sz w:val="21"/>
                <w:szCs w:val="21"/>
                <w:color w:val="auto"/>
              </w:rPr>
            </w:pPr>
          </w:p>
        </w:tc>
        <w:tc>
          <w:tcPr>
            <w:tcW w:w="1660" w:type="dxa"/>
            <w:vAlign w:val="bottom"/>
            <w:tcBorders>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rPr>
            </w:pPr>
            <w:hyperlink r:id="rId754">
              <w:r>
                <w:rPr>
                  <w:rFonts w:ascii="MS PGothic" w:cs="MS PGothic" w:eastAsia="MS PGothic" w:hAnsi="MS PGothic"/>
                  <w:sz w:val="18"/>
                  <w:szCs w:val="18"/>
                  <w:color w:val="0563C1"/>
                </w:rPr>
                <w:t>File No. 1-12744)**</w:t>
              </w:r>
            </w:hyperlink>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500" w:type="dxa"/>
            <w:vAlign w:val="bottom"/>
            <w:tcBorders>
              <w:top w:val="single" w:sz="8" w:color="0563C1"/>
            </w:tcBorders>
            <w:shd w:val="clear" w:color="auto" w:fill="91BBD3"/>
          </w:tcPr>
          <w:p>
            <w:pPr>
              <w:spacing w:after="0" w:line="20" w:lineRule="exact"/>
              <w:rPr>
                <w:sz w:val="1"/>
                <w:szCs w:val="1"/>
                <w:color w:val="auto"/>
              </w:rPr>
            </w:pPr>
          </w:p>
        </w:tc>
        <w:tc>
          <w:tcPr>
            <w:tcW w:w="880" w:type="dxa"/>
            <w:vAlign w:val="bottom"/>
            <w:tcBorders>
              <w:top w:val="single" w:sz="8" w:color="0563C1"/>
            </w:tcBorders>
            <w:shd w:val="clear" w:color="auto" w:fill="91BBD3"/>
          </w:tcPr>
          <w:p>
            <w:pPr>
              <w:spacing w:after="0" w:line="20" w:lineRule="exact"/>
              <w:rPr>
                <w:sz w:val="1"/>
                <w:szCs w:val="1"/>
                <w:color w:val="auto"/>
              </w:rPr>
            </w:pPr>
          </w:p>
        </w:tc>
        <w:tc>
          <w:tcPr>
            <w:tcW w:w="960" w:type="dxa"/>
            <w:vAlign w:val="bottom"/>
            <w:tcBorders>
              <w:top w:val="single" w:sz="8" w:color="DAE8F0"/>
            </w:tcBorders>
            <w:shd w:val="clear" w:color="auto" w:fill="91BBD3"/>
          </w:tcPr>
          <w:p>
            <w:pPr>
              <w:spacing w:after="0" w:line="20" w:lineRule="exact"/>
              <w:rPr>
                <w:sz w:val="1"/>
                <w:szCs w:val="1"/>
                <w:color w:val="auto"/>
              </w:rPr>
            </w:pPr>
          </w:p>
        </w:tc>
        <w:tc>
          <w:tcPr>
            <w:tcW w:w="460" w:type="dxa"/>
            <w:vAlign w:val="bottom"/>
            <w:tcBorders>
              <w:top w:val="single" w:sz="8" w:color="DAE8F0"/>
            </w:tcBorders>
            <w:shd w:val="clear" w:color="auto" w:fill="91BBD3"/>
          </w:tcPr>
          <w:p>
            <w:pPr>
              <w:spacing w:after="0" w:line="20" w:lineRule="exact"/>
              <w:rPr>
                <w:sz w:val="1"/>
                <w:szCs w:val="1"/>
                <w:color w:val="auto"/>
              </w:rPr>
            </w:pPr>
          </w:p>
        </w:tc>
        <w:tc>
          <w:tcPr>
            <w:tcW w:w="90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tcBorders>
            <w:shd w:val="clear" w:color="auto" w:fill="91BBD3"/>
          </w:tcPr>
          <w:p>
            <w:pPr>
              <w:spacing w:after="0" w:line="20" w:lineRule="exact"/>
              <w:rPr>
                <w:sz w:val="1"/>
                <w:szCs w:val="1"/>
                <w:color w:val="auto"/>
              </w:rPr>
            </w:pPr>
          </w:p>
        </w:tc>
        <w:tc>
          <w:tcPr>
            <w:tcW w:w="1980" w:type="dxa"/>
            <w:vAlign w:val="bottom"/>
            <w:tcBorders>
              <w:top w:val="single" w:sz="8" w:color="DAE8F0"/>
            </w:tcBorders>
            <w:shd w:val="clear" w:color="auto" w:fill="91BBD3"/>
          </w:tcPr>
          <w:p>
            <w:pPr>
              <w:spacing w:after="0" w:line="20" w:lineRule="exact"/>
              <w:rPr>
                <w:sz w:val="1"/>
                <w:szCs w:val="1"/>
                <w:color w:val="auto"/>
              </w:rPr>
            </w:pPr>
          </w:p>
        </w:tc>
        <w:tc>
          <w:tcPr>
            <w:tcW w:w="1180" w:type="dxa"/>
            <w:vAlign w:val="bottom"/>
            <w:tcBorders>
              <w:top w:val="single" w:sz="8" w:color="DAE8F0"/>
            </w:tcBorders>
            <w:shd w:val="clear" w:color="auto" w:fill="91BBD3"/>
          </w:tcPr>
          <w:p>
            <w:pPr>
              <w:spacing w:after="0" w:line="20" w:lineRule="exact"/>
              <w:rPr>
                <w:sz w:val="1"/>
                <w:szCs w:val="1"/>
                <w:color w:val="auto"/>
              </w:rPr>
            </w:pPr>
          </w:p>
        </w:tc>
        <w:tc>
          <w:tcPr>
            <w:tcW w:w="1640" w:type="dxa"/>
            <w:vAlign w:val="bottom"/>
            <w:tcBorders>
              <w:top w:val="single" w:sz="8" w:color="DAE8F0"/>
            </w:tcBorders>
            <w:shd w:val="clear" w:color="auto" w:fill="91BBD3"/>
          </w:tcPr>
          <w:p>
            <w:pPr>
              <w:spacing w:after="0" w:line="20" w:lineRule="exact"/>
              <w:rPr>
                <w:sz w:val="1"/>
                <w:szCs w:val="1"/>
                <w:color w:val="auto"/>
              </w:rPr>
            </w:pPr>
          </w:p>
        </w:tc>
        <w:tc>
          <w:tcPr>
            <w:tcW w:w="44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1860" w:type="dxa"/>
            <w:vAlign w:val="bottom"/>
            <w:gridSpan w:val="2"/>
          </w:tcPr>
          <w:p>
            <w:pPr>
              <w:jc w:val="right"/>
              <w:ind w:right="471"/>
              <w:spacing w:after="0"/>
              <w:rPr>
                <w:sz w:val="20"/>
                <w:szCs w:val="20"/>
                <w:color w:val="auto"/>
              </w:rPr>
            </w:pPr>
            <w:r>
              <w:rPr>
                <w:rFonts w:ascii="MS PGothic" w:cs="MS PGothic" w:eastAsia="MS PGothic" w:hAnsi="MS PGothic"/>
                <w:sz w:val="18"/>
                <w:szCs w:val="18"/>
                <w:color w:val="auto"/>
                <w:w w:val="97"/>
              </w:rPr>
              <w:t xml:space="preserve">Form 10-K </w:t>
            </w:r>
            <w:r>
              <w:rPr>
                <w:rFonts w:ascii="Arial" w:cs="Arial" w:eastAsia="Arial" w:hAnsi="Arial"/>
                <w:sz w:val="23"/>
                <w:szCs w:val="23"/>
                <w:color w:val="0070C0"/>
                <w:w w:val="97"/>
              </w:rPr>
              <w:t>♦</w:t>
            </w:r>
            <w:r>
              <w:rPr>
                <w:rFonts w:ascii="MS PGothic" w:cs="MS PGothic" w:eastAsia="MS PGothic" w:hAnsi="MS PGothic"/>
                <w:sz w:val="18"/>
                <w:szCs w:val="18"/>
                <w:color w:val="auto"/>
                <w:w w:val="97"/>
              </w:rPr>
              <w:t xml:space="preserve"> 117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2"/>
        </w:trPr>
        <w:tc>
          <w:tcPr>
            <w:tcW w:w="2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-814070</wp:posOffset>
            </wp:positionV>
            <wp:extent cx="325755" cy="1968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7">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308"/>
        </w:trPr>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40" w:type="dxa"/>
            <w:vAlign w:val="bottom"/>
            <w:gridSpan w:val="5"/>
          </w:tcPr>
          <w:p>
            <w:pPr>
              <w:ind w:left="20"/>
              <w:spacing w:after="0"/>
              <w:rPr>
                <w:sz w:val="20"/>
                <w:szCs w:val="20"/>
                <w:color w:val="auto"/>
              </w:rPr>
            </w:pPr>
            <w:r>
              <w:rPr>
                <w:rFonts w:ascii="MS PGothic" w:cs="MS PGothic" w:eastAsia="MS PGothic" w:hAnsi="MS PGothic"/>
                <w:sz w:val="18"/>
                <w:szCs w:val="18"/>
                <w:color w:val="auto"/>
                <w:w w:val="93"/>
              </w:rPr>
              <w:t xml:space="preserve">Part IV </w:t>
            </w:r>
            <w:r>
              <w:rPr>
                <w:rFonts w:ascii="Arial" w:cs="Arial" w:eastAsia="Arial" w:hAnsi="Arial"/>
                <w:sz w:val="23"/>
                <w:szCs w:val="23"/>
                <w:color w:val="0070C0"/>
                <w:w w:val="93"/>
              </w:rPr>
              <w:t>♦</w:t>
            </w:r>
            <w:r>
              <w:rPr>
                <w:rFonts w:ascii="MS PGothic" w:cs="MS PGothic" w:eastAsia="MS PGothic" w:hAnsi="MS PGothic"/>
                <w:sz w:val="18"/>
                <w:szCs w:val="18"/>
                <w:color w:val="auto"/>
                <w:w w:val="93"/>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200" w:type="dxa"/>
            <w:vAlign w:val="bottom"/>
          </w:tcPr>
          <w:p>
            <w:pPr>
              <w:spacing w:after="0"/>
              <w:rPr>
                <w:sz w:val="14"/>
                <w:szCs w:val="14"/>
                <w:color w:val="auto"/>
              </w:rPr>
            </w:pPr>
          </w:p>
        </w:tc>
        <w:tc>
          <w:tcPr>
            <w:tcW w:w="166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660" w:type="dxa"/>
            <w:vAlign w:val="bottom"/>
            <w:tcBorders>
              <w:bottom w:val="single" w:sz="8" w:color="007DC6"/>
            </w:tcBorders>
          </w:tcPr>
          <w:p>
            <w:pPr>
              <w:spacing w:after="0"/>
              <w:rPr>
                <w:sz w:val="14"/>
                <w:szCs w:val="14"/>
                <w:color w:val="auto"/>
              </w:rPr>
            </w:pPr>
          </w:p>
        </w:tc>
        <w:tc>
          <w:tcPr>
            <w:tcW w:w="440" w:type="dxa"/>
            <w:vAlign w:val="bottom"/>
            <w:tcBorders>
              <w:bottom w:val="single" w:sz="8" w:color="007DC6"/>
            </w:tcBorders>
          </w:tcPr>
          <w:p>
            <w:pPr>
              <w:spacing w:after="0"/>
              <w:rPr>
                <w:sz w:val="14"/>
                <w:szCs w:val="14"/>
                <w:color w:val="auto"/>
              </w:rPr>
            </w:pPr>
          </w:p>
        </w:tc>
        <w:tc>
          <w:tcPr>
            <w:tcW w:w="1240" w:type="dxa"/>
            <w:vAlign w:val="bottom"/>
            <w:tcBorders>
              <w:bottom w:val="single" w:sz="8" w:color="007DC6"/>
            </w:tcBorders>
          </w:tcPr>
          <w:p>
            <w:pPr>
              <w:spacing w:after="0"/>
              <w:rPr>
                <w:sz w:val="14"/>
                <w:szCs w:val="14"/>
                <w:color w:val="auto"/>
              </w:rPr>
            </w:pPr>
          </w:p>
        </w:tc>
        <w:tc>
          <w:tcPr>
            <w:tcW w:w="720" w:type="dxa"/>
            <w:vAlign w:val="bottom"/>
            <w:tcBorders>
              <w:bottom w:val="single" w:sz="8" w:color="007DC6"/>
            </w:tcBorders>
          </w:tcPr>
          <w:p>
            <w:pPr>
              <w:spacing w:after="0"/>
              <w:rPr>
                <w:sz w:val="14"/>
                <w:szCs w:val="14"/>
                <w:color w:val="auto"/>
              </w:rPr>
            </w:pPr>
          </w:p>
        </w:tc>
        <w:tc>
          <w:tcPr>
            <w:tcW w:w="1000" w:type="dxa"/>
            <w:vAlign w:val="bottom"/>
            <w:tcBorders>
              <w:bottom w:val="single" w:sz="8" w:color="007DC6"/>
            </w:tcBorders>
          </w:tcPr>
          <w:p>
            <w:pPr>
              <w:spacing w:after="0"/>
              <w:rPr>
                <w:sz w:val="14"/>
                <w:szCs w:val="14"/>
                <w:color w:val="auto"/>
              </w:rPr>
            </w:pPr>
          </w:p>
        </w:tc>
        <w:tc>
          <w:tcPr>
            <w:tcW w:w="620" w:type="dxa"/>
            <w:vAlign w:val="bottom"/>
            <w:tcBorders>
              <w:bottom w:val="single" w:sz="8" w:color="007DC6"/>
            </w:tcBorders>
          </w:tcPr>
          <w:p>
            <w:pPr>
              <w:spacing w:after="0"/>
              <w:rPr>
                <w:sz w:val="14"/>
                <w:szCs w:val="14"/>
                <w:color w:val="auto"/>
              </w:rPr>
            </w:pPr>
          </w:p>
        </w:tc>
        <w:tc>
          <w:tcPr>
            <w:tcW w:w="60" w:type="dxa"/>
            <w:vAlign w:val="bottom"/>
            <w:tcBorders>
              <w:bottom w:val="single" w:sz="8" w:color="007DC6"/>
            </w:tcBorders>
          </w:tcPr>
          <w:p>
            <w:pPr>
              <w:spacing w:after="0"/>
              <w:rPr>
                <w:sz w:val="14"/>
                <w:szCs w:val="14"/>
                <w:color w:val="auto"/>
              </w:rPr>
            </w:pPr>
          </w:p>
        </w:tc>
        <w:tc>
          <w:tcPr>
            <w:tcW w:w="1220" w:type="dxa"/>
            <w:vAlign w:val="bottom"/>
            <w:tcBorders>
              <w:bottom w:val="single" w:sz="8" w:color="007DC6"/>
            </w:tcBorders>
          </w:tcPr>
          <w:p>
            <w:pPr>
              <w:spacing w:after="0"/>
              <w:rPr>
                <w:sz w:val="14"/>
                <w:szCs w:val="14"/>
                <w:color w:val="auto"/>
              </w:rPr>
            </w:pPr>
          </w:p>
        </w:tc>
        <w:tc>
          <w:tcPr>
            <w:tcW w:w="740" w:type="dxa"/>
            <w:vAlign w:val="bottom"/>
            <w:tcBorders>
              <w:bottom w:val="single" w:sz="8" w:color="007DC6"/>
            </w:tcBorders>
          </w:tcPr>
          <w:p>
            <w:pPr>
              <w:spacing w:after="0"/>
              <w:rPr>
                <w:sz w:val="14"/>
                <w:szCs w:val="14"/>
                <w:color w:val="auto"/>
              </w:rPr>
            </w:pPr>
          </w:p>
        </w:tc>
        <w:tc>
          <w:tcPr>
            <w:tcW w:w="2280" w:type="dxa"/>
            <w:vAlign w:val="bottom"/>
            <w:tcBorders>
              <w:bottom w:val="single" w:sz="8" w:color="007DC6"/>
            </w:tcBorders>
          </w:tcPr>
          <w:p>
            <w:pPr>
              <w:spacing w:after="0"/>
              <w:rPr>
                <w:sz w:val="14"/>
                <w:szCs w:val="14"/>
                <w:color w:val="auto"/>
              </w:rPr>
            </w:pPr>
          </w:p>
        </w:tc>
        <w:tc>
          <w:tcPr>
            <w:tcW w:w="140" w:type="dxa"/>
            <w:vAlign w:val="bottom"/>
            <w:tcBorders>
              <w:bottom w:val="single" w:sz="8" w:color="007DC6"/>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1"/>
        </w:trPr>
        <w:tc>
          <w:tcPr>
            <w:tcW w:w="200" w:type="dxa"/>
            <w:vAlign w:val="bottom"/>
            <w:tcBorders>
              <w:right w:val="single" w:sz="8" w:color="91BBD3"/>
            </w:tcBorders>
          </w:tcPr>
          <w:p>
            <w:pPr>
              <w:spacing w:after="0"/>
              <w:rPr>
                <w:sz w:val="24"/>
                <w:szCs w:val="24"/>
                <w:color w:val="auto"/>
              </w:rPr>
            </w:pPr>
          </w:p>
        </w:tc>
        <w:tc>
          <w:tcPr>
            <w:tcW w:w="1660" w:type="dxa"/>
            <w:vAlign w:val="bottom"/>
            <w:tcBorders>
              <w:bottom w:val="single" w:sz="8" w:color="007DC6"/>
              <w:right w:val="single" w:sz="8" w:color="91BBD3"/>
            </w:tcBorders>
            <w:shd w:val="clear" w:color="auto" w:fill="007DC6"/>
          </w:tcPr>
          <w:p>
            <w:pPr>
              <w:jc w:val="right"/>
              <w:ind w:right="351"/>
              <w:spacing w:after="0"/>
              <w:rPr>
                <w:sz w:val="20"/>
                <w:szCs w:val="20"/>
                <w:color w:val="auto"/>
              </w:rPr>
            </w:pPr>
            <w:r>
              <w:rPr>
                <w:rFonts w:ascii="Calibri" w:cs="Calibri" w:eastAsia="Calibri" w:hAnsi="Calibri"/>
                <w:sz w:val="18"/>
                <w:szCs w:val="18"/>
                <w:b w:val="1"/>
                <w:bCs w:val="1"/>
                <w:color w:val="FFFFFF"/>
              </w:rPr>
              <w:t>Exhibit No.</w:t>
            </w:r>
          </w:p>
        </w:tc>
        <w:tc>
          <w:tcPr>
            <w:tcW w:w="100" w:type="dxa"/>
            <w:vAlign w:val="bottom"/>
            <w:tcBorders>
              <w:bottom w:val="single" w:sz="8" w:color="007DC6"/>
            </w:tcBorders>
            <w:shd w:val="clear" w:color="auto" w:fill="007DC6"/>
          </w:tcPr>
          <w:p>
            <w:pPr>
              <w:spacing w:after="0"/>
              <w:rPr>
                <w:sz w:val="24"/>
                <w:szCs w:val="24"/>
                <w:color w:val="auto"/>
              </w:rPr>
            </w:pPr>
          </w:p>
        </w:tc>
        <w:tc>
          <w:tcPr>
            <w:tcW w:w="660" w:type="dxa"/>
            <w:vAlign w:val="bottom"/>
            <w:tcBorders>
              <w:bottom w:val="single" w:sz="8" w:color="007DC6"/>
            </w:tcBorders>
            <w:shd w:val="clear" w:color="auto" w:fill="007DC6"/>
          </w:tcPr>
          <w:p>
            <w:pPr>
              <w:spacing w:after="0"/>
              <w:rPr>
                <w:sz w:val="24"/>
                <w:szCs w:val="24"/>
                <w:color w:val="auto"/>
              </w:rPr>
            </w:pPr>
          </w:p>
        </w:tc>
        <w:tc>
          <w:tcPr>
            <w:tcW w:w="440" w:type="dxa"/>
            <w:vAlign w:val="bottom"/>
            <w:tcBorders>
              <w:bottom w:val="single" w:sz="8" w:color="007DC6"/>
            </w:tcBorders>
            <w:shd w:val="clear" w:color="auto" w:fill="007DC6"/>
          </w:tcPr>
          <w:p>
            <w:pPr>
              <w:spacing w:after="0"/>
              <w:rPr>
                <w:sz w:val="24"/>
                <w:szCs w:val="24"/>
                <w:color w:val="auto"/>
              </w:rPr>
            </w:pPr>
          </w:p>
        </w:tc>
        <w:tc>
          <w:tcPr>
            <w:tcW w:w="1240" w:type="dxa"/>
            <w:vAlign w:val="bottom"/>
            <w:tcBorders>
              <w:bottom w:val="single" w:sz="8" w:color="007DC6"/>
            </w:tcBorders>
            <w:shd w:val="clear" w:color="auto" w:fill="007DC6"/>
          </w:tcPr>
          <w:p>
            <w:pPr>
              <w:spacing w:after="0"/>
              <w:rPr>
                <w:sz w:val="24"/>
                <w:szCs w:val="24"/>
                <w:color w:val="auto"/>
              </w:rPr>
            </w:pPr>
          </w:p>
        </w:tc>
        <w:tc>
          <w:tcPr>
            <w:tcW w:w="720" w:type="dxa"/>
            <w:vAlign w:val="bottom"/>
            <w:tcBorders>
              <w:bottom w:val="single" w:sz="8" w:color="007DC6"/>
            </w:tcBorders>
            <w:shd w:val="clear" w:color="auto" w:fill="007DC6"/>
          </w:tcPr>
          <w:p>
            <w:pPr>
              <w:spacing w:after="0"/>
              <w:rPr>
                <w:sz w:val="24"/>
                <w:szCs w:val="24"/>
                <w:color w:val="auto"/>
              </w:rPr>
            </w:pPr>
          </w:p>
        </w:tc>
        <w:tc>
          <w:tcPr>
            <w:tcW w:w="1000" w:type="dxa"/>
            <w:vAlign w:val="bottom"/>
            <w:tcBorders>
              <w:bottom w:val="single" w:sz="8" w:color="007DC6"/>
            </w:tcBorders>
            <w:shd w:val="clear" w:color="auto" w:fill="007DC6"/>
          </w:tcPr>
          <w:p>
            <w:pPr>
              <w:spacing w:after="0"/>
              <w:rPr>
                <w:sz w:val="24"/>
                <w:szCs w:val="24"/>
                <w:color w:val="auto"/>
              </w:rPr>
            </w:pPr>
          </w:p>
        </w:tc>
        <w:tc>
          <w:tcPr>
            <w:tcW w:w="620" w:type="dxa"/>
            <w:vAlign w:val="bottom"/>
            <w:tcBorders>
              <w:bottom w:val="single" w:sz="8" w:color="007DC6"/>
            </w:tcBorders>
            <w:shd w:val="clear" w:color="auto" w:fill="007DC6"/>
          </w:tcPr>
          <w:p>
            <w:pPr>
              <w:spacing w:after="0"/>
              <w:rPr>
                <w:sz w:val="24"/>
                <w:szCs w:val="24"/>
                <w:color w:val="auto"/>
              </w:rPr>
            </w:pPr>
          </w:p>
        </w:tc>
        <w:tc>
          <w:tcPr>
            <w:tcW w:w="60" w:type="dxa"/>
            <w:vAlign w:val="bottom"/>
            <w:tcBorders>
              <w:bottom w:val="single" w:sz="8" w:color="007DC6"/>
            </w:tcBorders>
            <w:shd w:val="clear" w:color="auto" w:fill="007DC6"/>
          </w:tcPr>
          <w:p>
            <w:pPr>
              <w:spacing w:after="0"/>
              <w:rPr>
                <w:sz w:val="24"/>
                <w:szCs w:val="24"/>
                <w:color w:val="auto"/>
              </w:rPr>
            </w:pPr>
          </w:p>
        </w:tc>
        <w:tc>
          <w:tcPr>
            <w:tcW w:w="1220" w:type="dxa"/>
            <w:vAlign w:val="bottom"/>
            <w:tcBorders>
              <w:bottom w:val="single" w:sz="8" w:color="007DC6"/>
            </w:tcBorders>
            <w:shd w:val="clear" w:color="auto" w:fill="007DC6"/>
          </w:tcPr>
          <w:p>
            <w:pPr>
              <w:spacing w:after="0"/>
              <w:rPr>
                <w:sz w:val="24"/>
                <w:szCs w:val="24"/>
                <w:color w:val="auto"/>
              </w:rPr>
            </w:pPr>
          </w:p>
        </w:tc>
        <w:tc>
          <w:tcPr>
            <w:tcW w:w="740" w:type="dxa"/>
            <w:vAlign w:val="bottom"/>
            <w:tcBorders>
              <w:bottom w:val="single" w:sz="8" w:color="007DC6"/>
            </w:tcBorders>
            <w:shd w:val="clear" w:color="auto" w:fill="007DC6"/>
          </w:tcPr>
          <w:p>
            <w:pPr>
              <w:spacing w:after="0"/>
              <w:rPr>
                <w:sz w:val="24"/>
                <w:szCs w:val="24"/>
                <w:color w:val="auto"/>
              </w:rPr>
            </w:pPr>
          </w:p>
        </w:tc>
        <w:tc>
          <w:tcPr>
            <w:tcW w:w="2280" w:type="dxa"/>
            <w:vAlign w:val="bottom"/>
            <w:tcBorders>
              <w:bottom w:val="single" w:sz="8" w:color="007DC6"/>
            </w:tcBorders>
            <w:shd w:val="clear" w:color="auto" w:fill="007DC6"/>
          </w:tcPr>
          <w:p>
            <w:pPr>
              <w:spacing w:after="0"/>
              <w:rPr>
                <w:sz w:val="24"/>
                <w:szCs w:val="24"/>
                <w:color w:val="auto"/>
              </w:rPr>
            </w:pPr>
          </w:p>
        </w:tc>
        <w:tc>
          <w:tcPr>
            <w:tcW w:w="140" w:type="dxa"/>
            <w:vAlign w:val="bottom"/>
            <w:tcBorders>
              <w:left w:val="single" w:sz="8" w:color="007DC6"/>
              <w:bottom w:val="single" w:sz="8" w:color="007DC6"/>
              <w:right w:val="single" w:sz="8" w:color="91BBD3"/>
            </w:tcBorders>
            <w:shd w:val="clear" w:color="auto" w:fill="007DC6"/>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0" w:type="dxa"/>
            <w:vAlign w:val="bottom"/>
            <w:tcBorders>
              <w:right w:val="single" w:sz="8" w:color="91BBD3"/>
            </w:tcBorders>
          </w:tcPr>
          <w:p>
            <w:pPr>
              <w:spacing w:after="0"/>
              <w:rPr>
                <w:sz w:val="12"/>
                <w:szCs w:val="12"/>
                <w:color w:val="auto"/>
              </w:rPr>
            </w:pPr>
          </w:p>
        </w:tc>
        <w:tc>
          <w:tcPr>
            <w:tcW w:w="1660" w:type="dxa"/>
            <w:vAlign w:val="bottom"/>
            <w:tcBorders>
              <w:top w:val="single" w:sz="8" w:color="91BBD3"/>
              <w:right w:val="single" w:sz="8" w:color="91BBD3"/>
            </w:tcBorders>
          </w:tcPr>
          <w:p>
            <w:pPr>
              <w:jc w:val="right"/>
              <w:ind w:right="1071"/>
              <w:spacing w:after="0" w:line="149" w:lineRule="exact"/>
              <w:rPr>
                <w:sz w:val="20"/>
                <w:szCs w:val="20"/>
                <w:color w:val="auto"/>
              </w:rPr>
            </w:pPr>
            <w:r>
              <w:rPr>
                <w:rFonts w:ascii="Calibri" w:cs="Calibri" w:eastAsia="Calibri" w:hAnsi="Calibri"/>
                <w:sz w:val="16"/>
                <w:szCs w:val="16"/>
                <w:b w:val="1"/>
                <w:bCs w:val="1"/>
                <w:color w:val="auto"/>
              </w:rPr>
              <w:t>10.20</w:t>
            </w:r>
          </w:p>
        </w:tc>
        <w:tc>
          <w:tcPr>
            <w:tcW w:w="100" w:type="dxa"/>
            <w:vAlign w:val="bottom"/>
            <w:tcBorders>
              <w:top w:val="single" w:sz="8" w:color="91BBD3"/>
            </w:tcBorders>
          </w:tcPr>
          <w:p>
            <w:pPr>
              <w:spacing w:after="0"/>
              <w:rPr>
                <w:sz w:val="12"/>
                <w:szCs w:val="12"/>
                <w:color w:val="auto"/>
              </w:rPr>
            </w:pPr>
          </w:p>
        </w:tc>
        <w:tc>
          <w:tcPr>
            <w:tcW w:w="8980" w:type="dxa"/>
            <w:vAlign w:val="bottom"/>
            <w:tcBorders>
              <w:top w:val="single" w:sz="8" w:color="91BBD3"/>
              <w:bottom w:val="single" w:sz="8" w:color="0563C1"/>
            </w:tcBorders>
            <w:gridSpan w:val="10"/>
          </w:tcPr>
          <w:p>
            <w:pPr>
              <w:spacing w:after="0" w:line="149" w:lineRule="exact"/>
              <w:rPr>
                <w:rFonts w:ascii="MS PGothic" w:cs="MS PGothic" w:eastAsia="MS PGothic" w:hAnsi="MS PGothic"/>
                <w:sz w:val="18"/>
                <w:szCs w:val="18"/>
                <w:color w:val="0563C1"/>
                <w:w w:val="99"/>
              </w:rPr>
            </w:pPr>
            <w:hyperlink r:id="rId758">
              <w:r>
                <w:rPr>
                  <w:rFonts w:ascii="MS PGothic" w:cs="MS PGothic" w:eastAsia="MS PGothic" w:hAnsi="MS PGothic"/>
                  <w:sz w:val="18"/>
                  <w:szCs w:val="18"/>
                  <w:color w:val="0563C1"/>
                  <w:w w:val="99"/>
                </w:rPr>
                <w:t>Martn Marieta Materials, Inc. Incentve Stock Plan, as Amended (incorporated by reference to Exhibit 10.06 to the Martn</w:t>
              </w:r>
            </w:hyperlink>
          </w:p>
        </w:tc>
        <w:tc>
          <w:tcPr>
            <w:tcW w:w="140" w:type="dxa"/>
            <w:vAlign w:val="bottom"/>
            <w:tcBorders>
              <w:top w:val="single" w:sz="8" w:color="91BBD3"/>
              <w:right w:val="single" w:sz="8" w:color="91BBD3"/>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10"/>
          </w:tcPr>
          <w:p>
            <w:pPr>
              <w:spacing w:after="0"/>
              <w:rPr>
                <w:rFonts w:ascii="MS PGothic" w:cs="MS PGothic" w:eastAsia="MS PGothic" w:hAnsi="MS PGothic"/>
                <w:sz w:val="18"/>
                <w:szCs w:val="18"/>
                <w:color w:val="0563C1"/>
                <w:w w:val="97"/>
              </w:rPr>
            </w:pPr>
            <w:hyperlink r:id="rId758">
              <w:r>
                <w:rPr>
                  <w:rFonts w:ascii="MS PGothic" w:cs="MS PGothic" w:eastAsia="MS PGothic" w:hAnsi="MS PGothic"/>
                  <w:sz w:val="18"/>
                  <w:szCs w:val="18"/>
                  <w:color w:val="0563C1"/>
                  <w:w w:val="97"/>
                </w:rPr>
                <w:t>Marieta Materials, Inc. Annual Report on Form 10-K for the fscal year ended December 31, 2008) (Commission File No. 1-</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200" w:type="dxa"/>
            <w:vAlign w:val="bottom"/>
            <w:gridSpan w:val="3"/>
          </w:tcPr>
          <w:p>
            <w:pPr>
              <w:ind w:left="100"/>
              <w:spacing w:after="0"/>
              <w:rPr>
                <w:rFonts w:ascii="MS PGothic" w:cs="MS PGothic" w:eastAsia="MS PGothic" w:hAnsi="MS PGothic"/>
                <w:sz w:val="18"/>
                <w:szCs w:val="18"/>
                <w:color w:val="0563C1"/>
              </w:rPr>
            </w:pPr>
            <w:hyperlink r:id="rId758">
              <w:r>
                <w:rPr>
                  <w:rFonts w:ascii="MS PGothic" w:cs="MS PGothic" w:eastAsia="MS PGothic" w:hAnsi="MS PGothic"/>
                  <w:sz w:val="18"/>
                  <w:szCs w:val="18"/>
                  <w:color w:val="0563C1"/>
                </w:rPr>
                <w:t>12744)</w:t>
              </w:r>
              <w:r>
                <w:rPr>
                  <w:rFonts w:ascii="MS PGothic" w:cs="MS PGothic" w:eastAsia="MS PGothic" w:hAnsi="MS PGothic"/>
                  <w:sz w:val="18"/>
                  <w:szCs w:val="18"/>
                  <w:u w:val="single" w:color="auto"/>
                  <w:color w:val="0563C1"/>
                </w:rPr>
                <w:t>**</w:t>
              </w:r>
            </w:hyperlink>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660" w:type="dxa"/>
            <w:vAlign w:val="bottom"/>
            <w:tcBorders>
              <w:top w:val="single" w:sz="8" w:color="0563C1"/>
              <w:bottom w:val="single" w:sz="8" w:color="91BBD3"/>
            </w:tcBorders>
          </w:tcPr>
          <w:p>
            <w:pPr>
              <w:spacing w:after="0"/>
              <w:rPr>
                <w:sz w:val="4"/>
                <w:szCs w:val="4"/>
                <w:color w:val="auto"/>
              </w:rPr>
            </w:pPr>
          </w:p>
        </w:tc>
        <w:tc>
          <w:tcPr>
            <w:tcW w:w="440" w:type="dxa"/>
            <w:vAlign w:val="bottom"/>
            <w:tcBorders>
              <w:bottom w:val="single" w:sz="8" w:color="91BBD3"/>
            </w:tcBorders>
          </w:tcPr>
          <w:p>
            <w:pPr>
              <w:spacing w:after="0"/>
              <w:rPr>
                <w:sz w:val="4"/>
                <w:szCs w:val="4"/>
                <w:color w:val="auto"/>
              </w:rPr>
            </w:pPr>
          </w:p>
        </w:tc>
        <w:tc>
          <w:tcPr>
            <w:tcW w:w="1240" w:type="dxa"/>
            <w:vAlign w:val="bottom"/>
            <w:tcBorders>
              <w:bottom w:val="single" w:sz="8" w:color="91BBD3"/>
            </w:tcBorders>
          </w:tcPr>
          <w:p>
            <w:pPr>
              <w:spacing w:after="0"/>
              <w:rPr>
                <w:sz w:val="4"/>
                <w:szCs w:val="4"/>
                <w:color w:val="auto"/>
              </w:rPr>
            </w:pPr>
          </w:p>
        </w:tc>
        <w:tc>
          <w:tcPr>
            <w:tcW w:w="720" w:type="dxa"/>
            <w:vAlign w:val="bottom"/>
            <w:tcBorders>
              <w:bottom w:val="single" w:sz="8" w:color="91BBD3"/>
            </w:tcBorders>
          </w:tcPr>
          <w:p>
            <w:pPr>
              <w:spacing w:after="0"/>
              <w:rPr>
                <w:sz w:val="4"/>
                <w:szCs w:val="4"/>
                <w:color w:val="auto"/>
              </w:rPr>
            </w:pPr>
          </w:p>
        </w:tc>
        <w:tc>
          <w:tcPr>
            <w:tcW w:w="1000" w:type="dxa"/>
            <w:vAlign w:val="bottom"/>
            <w:tcBorders>
              <w:bottom w:val="single" w:sz="8" w:color="91BBD3"/>
            </w:tcBorders>
          </w:tcPr>
          <w:p>
            <w:pPr>
              <w:spacing w:after="0"/>
              <w:rPr>
                <w:sz w:val="4"/>
                <w:szCs w:val="4"/>
                <w:color w:val="auto"/>
              </w:rPr>
            </w:pPr>
          </w:p>
        </w:tc>
        <w:tc>
          <w:tcPr>
            <w:tcW w:w="620" w:type="dxa"/>
            <w:vAlign w:val="bottom"/>
            <w:tcBorders>
              <w:bottom w:val="single" w:sz="8" w:color="91BBD3"/>
            </w:tcBorders>
          </w:tcPr>
          <w:p>
            <w:pPr>
              <w:spacing w:after="0"/>
              <w:rPr>
                <w:sz w:val="4"/>
                <w:szCs w:val="4"/>
                <w:color w:val="auto"/>
              </w:rPr>
            </w:pPr>
          </w:p>
        </w:tc>
        <w:tc>
          <w:tcPr>
            <w:tcW w:w="60" w:type="dxa"/>
            <w:vAlign w:val="bottom"/>
            <w:tcBorders>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740" w:type="dxa"/>
            <w:vAlign w:val="bottom"/>
            <w:tcBorders>
              <w:bottom w:val="single" w:sz="8" w:color="91BBD3"/>
            </w:tcBorders>
          </w:tcPr>
          <w:p>
            <w:pPr>
              <w:spacing w:after="0"/>
              <w:rPr>
                <w:sz w:val="4"/>
                <w:szCs w:val="4"/>
                <w:color w:val="auto"/>
              </w:rPr>
            </w:pPr>
          </w:p>
        </w:tc>
        <w:tc>
          <w:tcPr>
            <w:tcW w:w="228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bottom w:val="single" w:sz="8" w:color="DAE8F0"/>
              <w:right w:val="single" w:sz="8" w:color="91BBD3"/>
            </w:tcBorders>
            <w:shd w:val="clear" w:color="auto" w:fill="DAE8F0"/>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10.21</w:t>
            </w:r>
          </w:p>
        </w:tc>
        <w:tc>
          <w:tcPr>
            <w:tcW w:w="100" w:type="dxa"/>
            <w:vAlign w:val="bottom"/>
            <w:tcBorders>
              <w:bottom w:val="single" w:sz="8" w:color="DAE8F0"/>
            </w:tcBorders>
            <w:shd w:val="clear" w:color="auto" w:fill="DAE8F0"/>
          </w:tcPr>
          <w:p>
            <w:pPr>
              <w:spacing w:after="0"/>
              <w:rPr>
                <w:sz w:val="14"/>
                <w:szCs w:val="14"/>
                <w:color w:val="auto"/>
              </w:rPr>
            </w:pPr>
          </w:p>
        </w:tc>
        <w:tc>
          <w:tcPr>
            <w:tcW w:w="8980" w:type="dxa"/>
            <w:vAlign w:val="bottom"/>
            <w:tcBorders>
              <w:bottom w:val="single" w:sz="8" w:color="0563C1"/>
            </w:tcBorders>
            <w:gridSpan w:val="10"/>
            <w:shd w:val="clear" w:color="auto" w:fill="DAE8F0"/>
          </w:tcPr>
          <w:p>
            <w:pPr>
              <w:spacing w:after="0" w:line="169" w:lineRule="exact"/>
              <w:rPr>
                <w:rFonts w:ascii="MS PGothic" w:cs="MS PGothic" w:eastAsia="MS PGothic" w:hAnsi="MS PGothic"/>
                <w:sz w:val="18"/>
                <w:szCs w:val="18"/>
                <w:color w:val="0563C1"/>
                <w:w w:val="96"/>
              </w:rPr>
            </w:pPr>
            <w:hyperlink r:id="rId759">
              <w:r>
                <w:rPr>
                  <w:rFonts w:ascii="MS PGothic" w:cs="MS PGothic" w:eastAsia="MS PGothic" w:hAnsi="MS PGothic"/>
                  <w:sz w:val="18"/>
                  <w:szCs w:val="18"/>
                  <w:color w:val="0563C1"/>
                  <w:w w:val="96"/>
                </w:rPr>
                <w:t>Martn Marieta Amended and Restated Stock-Based Award Plan last amended and restated February 18, 2016 (incorporated</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0"/>
            <w:shd w:val="clear" w:color="auto" w:fill="DAE8F0"/>
          </w:tcPr>
          <w:p>
            <w:pPr>
              <w:spacing w:after="0"/>
              <w:rPr>
                <w:rFonts w:ascii="MS PGothic" w:cs="MS PGothic" w:eastAsia="MS PGothic" w:hAnsi="MS PGothic"/>
                <w:sz w:val="18"/>
                <w:szCs w:val="18"/>
                <w:color w:val="0563C1"/>
                <w:w w:val="95"/>
              </w:rPr>
            </w:pPr>
            <w:hyperlink r:id="rId759">
              <w:r>
                <w:rPr>
                  <w:rFonts w:ascii="MS PGothic" w:cs="MS PGothic" w:eastAsia="MS PGothic" w:hAnsi="MS PGothic"/>
                  <w:sz w:val="18"/>
                  <w:szCs w:val="18"/>
                  <w:color w:val="0563C1"/>
                  <w:w w:val="95"/>
                </w:rPr>
                <w:t>by reference to Exhibit 10.01 to the Martn Marieta Materials, Inc. Quarterly Report on Form 10‑Q for the quarter ended June</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0" w:type="dxa"/>
            <w:vAlign w:val="bottom"/>
            <w:tcBorders>
              <w:right w:val="single" w:sz="8" w:color="91BBD3"/>
            </w:tcBorders>
          </w:tcPr>
          <w:p>
            <w:pPr>
              <w:spacing w:after="0"/>
              <w:rPr>
                <w:sz w:val="21"/>
                <w:szCs w:val="21"/>
                <w:color w:val="auto"/>
              </w:rPr>
            </w:pPr>
          </w:p>
        </w:tc>
        <w:tc>
          <w:tcPr>
            <w:tcW w:w="1660" w:type="dxa"/>
            <w:vAlign w:val="bottom"/>
            <w:tcBorders>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rPr>
            </w:pPr>
            <w:hyperlink r:id="rId759">
              <w:r>
                <w:rPr>
                  <w:rFonts w:ascii="MS PGothic" w:cs="MS PGothic" w:eastAsia="MS PGothic" w:hAnsi="MS PGothic"/>
                  <w:sz w:val="18"/>
                  <w:szCs w:val="18"/>
                  <w:color w:val="0563C1"/>
                </w:rPr>
                <w:t>30, 2016) (Commission File No. 1-12744)**</w:t>
              </w:r>
            </w:hyperlink>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6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1240" w:type="dxa"/>
            <w:vAlign w:val="bottom"/>
            <w:tcBorders>
              <w:top w:val="single" w:sz="8" w:color="0563C1"/>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100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DAE8F0"/>
            </w:tcBorders>
            <w:shd w:val="clear" w:color="auto" w:fill="91BBD3"/>
          </w:tcPr>
          <w:p>
            <w:pPr>
              <w:spacing w:after="0" w:line="20" w:lineRule="exact"/>
              <w:rPr>
                <w:sz w:val="1"/>
                <w:szCs w:val="1"/>
                <w:color w:val="auto"/>
              </w:rPr>
            </w:pPr>
          </w:p>
        </w:tc>
        <w:tc>
          <w:tcPr>
            <w:tcW w:w="60" w:type="dxa"/>
            <w:vAlign w:val="bottom"/>
            <w:tcBorders>
              <w:top w:val="single" w:sz="8" w:color="DAE8F0"/>
            </w:tcBorders>
            <w:shd w:val="clear" w:color="auto" w:fill="91BBD3"/>
          </w:tcPr>
          <w:p>
            <w:pPr>
              <w:spacing w:after="0" w:line="20" w:lineRule="exact"/>
              <w:rPr>
                <w:sz w:val="1"/>
                <w:szCs w:val="1"/>
                <w:color w:val="auto"/>
              </w:rPr>
            </w:pPr>
          </w:p>
        </w:tc>
        <w:tc>
          <w:tcPr>
            <w:tcW w:w="1220" w:type="dxa"/>
            <w:vAlign w:val="bottom"/>
            <w:tcBorders>
              <w:top w:val="single" w:sz="8" w:color="DAE8F0"/>
            </w:tcBorders>
            <w:shd w:val="clear" w:color="auto" w:fill="91BBD3"/>
          </w:tcPr>
          <w:p>
            <w:pPr>
              <w:spacing w:after="0" w:line="20" w:lineRule="exact"/>
              <w:rPr>
                <w:sz w:val="1"/>
                <w:szCs w:val="1"/>
                <w:color w:val="auto"/>
              </w:rPr>
            </w:pPr>
          </w:p>
        </w:tc>
        <w:tc>
          <w:tcPr>
            <w:tcW w:w="740" w:type="dxa"/>
            <w:vAlign w:val="bottom"/>
            <w:tcBorders>
              <w:top w:val="single" w:sz="8" w:color="DAE8F0"/>
            </w:tcBorders>
            <w:shd w:val="clear" w:color="auto" w:fill="91BBD3"/>
          </w:tcPr>
          <w:p>
            <w:pPr>
              <w:spacing w:after="0" w:line="20" w:lineRule="exact"/>
              <w:rPr>
                <w:sz w:val="1"/>
                <w:szCs w:val="1"/>
                <w:color w:val="auto"/>
              </w:rPr>
            </w:pPr>
          </w:p>
        </w:tc>
        <w:tc>
          <w:tcPr>
            <w:tcW w:w="228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right w:val="single" w:sz="8" w:color="91BBD3"/>
            </w:tcBorders>
            <w:vMerge w:val="continue"/>
          </w:tcPr>
          <w:p>
            <w:pPr>
              <w:spacing w:after="0"/>
              <w:rPr>
                <w:sz w:val="14"/>
                <w:szCs w:val="14"/>
                <w:color w:val="auto"/>
              </w:rPr>
            </w:pPr>
          </w:p>
        </w:tc>
        <w:tc>
          <w:tcPr>
            <w:tcW w:w="1660" w:type="dxa"/>
            <w:vAlign w:val="bottom"/>
            <w:tcBorders>
              <w:right w:val="single" w:sz="8" w:color="91BBD3"/>
            </w:tcBorders>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10.22</w:t>
            </w:r>
          </w:p>
        </w:tc>
        <w:tc>
          <w:tcPr>
            <w:tcW w:w="100" w:type="dxa"/>
            <w:vAlign w:val="bottom"/>
          </w:tcPr>
          <w:p>
            <w:pPr>
              <w:spacing w:after="0"/>
              <w:rPr>
                <w:sz w:val="14"/>
                <w:szCs w:val="14"/>
                <w:color w:val="auto"/>
              </w:rPr>
            </w:pPr>
          </w:p>
        </w:tc>
        <w:tc>
          <w:tcPr>
            <w:tcW w:w="8980" w:type="dxa"/>
            <w:vAlign w:val="bottom"/>
            <w:tcBorders>
              <w:bottom w:val="single" w:sz="8" w:color="0563C1"/>
            </w:tcBorders>
            <w:gridSpan w:val="10"/>
          </w:tcPr>
          <w:p>
            <w:pPr>
              <w:spacing w:after="0" w:line="169" w:lineRule="exact"/>
              <w:rPr>
                <w:rFonts w:ascii="MS PGothic" w:cs="MS PGothic" w:eastAsia="MS PGothic" w:hAnsi="MS PGothic"/>
                <w:sz w:val="18"/>
                <w:szCs w:val="18"/>
                <w:color w:val="0563C1"/>
                <w:w w:val="97"/>
              </w:rPr>
            </w:pPr>
            <w:hyperlink r:id="rId760">
              <w:r>
                <w:rPr>
                  <w:rFonts w:ascii="MS PGothic" w:cs="MS PGothic" w:eastAsia="MS PGothic" w:hAnsi="MS PGothic"/>
                  <w:sz w:val="18"/>
                  <w:szCs w:val="18"/>
                  <w:color w:val="0563C1"/>
                  <w:w w:val="97"/>
                </w:rPr>
                <w:t>Martn Marieta Executve Cash Incentve Plan adopted February 18, 2016 (incorporated by reference to Exhibit 10.02 to the</w:t>
              </w:r>
            </w:hyperlink>
          </w:p>
        </w:tc>
        <w:tc>
          <w:tcPr>
            <w:tcW w:w="140" w:type="dxa"/>
            <w:vAlign w:val="bottom"/>
            <w:tcBorders>
              <w:right w:val="single" w:sz="8" w:color="91BBD3"/>
            </w:tcBorders>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10"/>
          </w:tcPr>
          <w:p>
            <w:pPr>
              <w:spacing w:after="0"/>
              <w:rPr>
                <w:rFonts w:ascii="MS PGothic" w:cs="MS PGothic" w:eastAsia="MS PGothic" w:hAnsi="MS PGothic"/>
                <w:sz w:val="18"/>
                <w:szCs w:val="18"/>
                <w:color w:val="0563C1"/>
                <w:w w:val="96"/>
              </w:rPr>
            </w:pPr>
            <w:hyperlink r:id="rId760">
              <w:r>
                <w:rPr>
                  <w:rFonts w:ascii="MS PGothic" w:cs="MS PGothic" w:eastAsia="MS PGothic" w:hAnsi="MS PGothic"/>
                  <w:sz w:val="18"/>
                  <w:szCs w:val="18"/>
                  <w:color w:val="0563C1"/>
                  <w:w w:val="96"/>
                </w:rPr>
                <w:t>Martn Marieta Materials, Inc. Quarterly Report on Form 10‑Q for the quarter ended June 30, 2016) (Commission File No. 1-</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200" w:type="dxa"/>
            <w:vAlign w:val="bottom"/>
            <w:gridSpan w:val="3"/>
          </w:tcPr>
          <w:p>
            <w:pPr>
              <w:ind w:left="100"/>
              <w:spacing w:after="0"/>
              <w:rPr>
                <w:rFonts w:ascii="MS PGothic" w:cs="MS PGothic" w:eastAsia="MS PGothic" w:hAnsi="MS PGothic"/>
                <w:sz w:val="18"/>
                <w:szCs w:val="18"/>
                <w:color w:val="0563C1"/>
              </w:rPr>
            </w:pPr>
            <w:hyperlink r:id="rId760">
              <w:r>
                <w:rPr>
                  <w:rFonts w:ascii="MS PGothic" w:cs="MS PGothic" w:eastAsia="MS PGothic" w:hAnsi="MS PGothic"/>
                  <w:sz w:val="18"/>
                  <w:szCs w:val="18"/>
                  <w:color w:val="0563C1"/>
                </w:rPr>
                <w:t>12744)**</w:t>
              </w:r>
            </w:hyperlink>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660" w:type="dxa"/>
            <w:vAlign w:val="bottom"/>
            <w:tcBorders>
              <w:top w:val="single" w:sz="8" w:color="0563C1"/>
              <w:bottom w:val="single" w:sz="8" w:color="91BBD3"/>
            </w:tcBorders>
          </w:tcPr>
          <w:p>
            <w:pPr>
              <w:spacing w:after="0"/>
              <w:rPr>
                <w:sz w:val="4"/>
                <w:szCs w:val="4"/>
                <w:color w:val="auto"/>
              </w:rPr>
            </w:pPr>
          </w:p>
        </w:tc>
        <w:tc>
          <w:tcPr>
            <w:tcW w:w="440" w:type="dxa"/>
            <w:vAlign w:val="bottom"/>
            <w:tcBorders>
              <w:bottom w:val="single" w:sz="8" w:color="91BBD3"/>
            </w:tcBorders>
          </w:tcPr>
          <w:p>
            <w:pPr>
              <w:spacing w:after="0"/>
              <w:rPr>
                <w:sz w:val="4"/>
                <w:szCs w:val="4"/>
                <w:color w:val="auto"/>
              </w:rPr>
            </w:pPr>
          </w:p>
        </w:tc>
        <w:tc>
          <w:tcPr>
            <w:tcW w:w="1240" w:type="dxa"/>
            <w:vAlign w:val="bottom"/>
            <w:tcBorders>
              <w:bottom w:val="single" w:sz="8" w:color="91BBD3"/>
            </w:tcBorders>
          </w:tcPr>
          <w:p>
            <w:pPr>
              <w:spacing w:after="0"/>
              <w:rPr>
                <w:sz w:val="4"/>
                <w:szCs w:val="4"/>
                <w:color w:val="auto"/>
              </w:rPr>
            </w:pPr>
          </w:p>
        </w:tc>
        <w:tc>
          <w:tcPr>
            <w:tcW w:w="720" w:type="dxa"/>
            <w:vAlign w:val="bottom"/>
            <w:tcBorders>
              <w:bottom w:val="single" w:sz="8" w:color="91BBD3"/>
            </w:tcBorders>
          </w:tcPr>
          <w:p>
            <w:pPr>
              <w:spacing w:after="0"/>
              <w:rPr>
                <w:sz w:val="4"/>
                <w:szCs w:val="4"/>
                <w:color w:val="auto"/>
              </w:rPr>
            </w:pPr>
          </w:p>
        </w:tc>
        <w:tc>
          <w:tcPr>
            <w:tcW w:w="1000" w:type="dxa"/>
            <w:vAlign w:val="bottom"/>
            <w:tcBorders>
              <w:bottom w:val="single" w:sz="8" w:color="91BBD3"/>
            </w:tcBorders>
          </w:tcPr>
          <w:p>
            <w:pPr>
              <w:spacing w:after="0"/>
              <w:rPr>
                <w:sz w:val="4"/>
                <w:szCs w:val="4"/>
                <w:color w:val="auto"/>
              </w:rPr>
            </w:pPr>
          </w:p>
        </w:tc>
        <w:tc>
          <w:tcPr>
            <w:tcW w:w="620" w:type="dxa"/>
            <w:vAlign w:val="bottom"/>
            <w:tcBorders>
              <w:bottom w:val="single" w:sz="8" w:color="91BBD3"/>
            </w:tcBorders>
          </w:tcPr>
          <w:p>
            <w:pPr>
              <w:spacing w:after="0"/>
              <w:rPr>
                <w:sz w:val="4"/>
                <w:szCs w:val="4"/>
                <w:color w:val="auto"/>
              </w:rPr>
            </w:pPr>
          </w:p>
        </w:tc>
        <w:tc>
          <w:tcPr>
            <w:tcW w:w="60" w:type="dxa"/>
            <w:vAlign w:val="bottom"/>
            <w:tcBorders>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740" w:type="dxa"/>
            <w:vAlign w:val="bottom"/>
            <w:tcBorders>
              <w:bottom w:val="single" w:sz="8" w:color="91BBD3"/>
            </w:tcBorders>
          </w:tcPr>
          <w:p>
            <w:pPr>
              <w:spacing w:after="0"/>
              <w:rPr>
                <w:sz w:val="4"/>
                <w:szCs w:val="4"/>
                <w:color w:val="auto"/>
              </w:rPr>
            </w:pPr>
          </w:p>
        </w:tc>
        <w:tc>
          <w:tcPr>
            <w:tcW w:w="228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shd w:val="clear" w:color="auto" w:fill="DAE8F0"/>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10.23</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1"/>
            <w:shd w:val="clear" w:color="auto" w:fill="DAE8F0"/>
          </w:tcPr>
          <w:p>
            <w:pPr>
              <w:spacing w:after="0" w:line="169" w:lineRule="exact"/>
              <w:rPr>
                <w:rFonts w:ascii="MS PGothic" w:cs="MS PGothic" w:eastAsia="MS PGothic" w:hAnsi="MS PGothic"/>
                <w:sz w:val="18"/>
                <w:szCs w:val="18"/>
                <w:color w:val="0563C1"/>
              </w:rPr>
            </w:pPr>
            <w:hyperlink r:id="rId761">
              <w:r>
                <w:rPr>
                  <w:rFonts w:ascii="MS PGothic" w:cs="MS PGothic" w:eastAsia="MS PGothic" w:hAnsi="MS PGothic"/>
                  <w:sz w:val="18"/>
                  <w:szCs w:val="18"/>
                  <w:color w:val="0563C1"/>
                </w:rPr>
                <w:t>Martn Marieta Materials, Inc. Amended Omnibus Securites Award Plan (incorporated by reference to Exhibit 10.16 to the</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1100" w:type="dxa"/>
            <w:vAlign w:val="bottom"/>
            <w:gridSpan w:val="2"/>
            <w:shd w:val="clear" w:color="auto" w:fill="0563C1"/>
          </w:tcPr>
          <w:p>
            <w:pPr>
              <w:spacing w:after="0" w:line="20" w:lineRule="exact"/>
              <w:rPr>
                <w:sz w:val="1"/>
                <w:szCs w:val="1"/>
                <w:color w:val="auto"/>
              </w:rPr>
            </w:pPr>
          </w:p>
        </w:tc>
        <w:tc>
          <w:tcPr>
            <w:tcW w:w="1240" w:type="dxa"/>
            <w:vAlign w:val="bottom"/>
            <w:shd w:val="clear" w:color="auto" w:fill="0563C1"/>
          </w:tcPr>
          <w:p>
            <w:pPr>
              <w:spacing w:after="0" w:line="20" w:lineRule="exact"/>
              <w:rPr>
                <w:sz w:val="1"/>
                <w:szCs w:val="1"/>
                <w:color w:val="auto"/>
              </w:rPr>
            </w:pPr>
          </w:p>
        </w:tc>
        <w:tc>
          <w:tcPr>
            <w:tcW w:w="1720" w:type="dxa"/>
            <w:vAlign w:val="bottom"/>
            <w:gridSpan w:val="2"/>
            <w:shd w:val="clear" w:color="auto" w:fill="0563C1"/>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2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2280" w:type="dxa"/>
            <w:vAlign w:val="bottom"/>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0"/>
            <w:shd w:val="clear" w:color="auto" w:fill="DAE8F0"/>
          </w:tcPr>
          <w:p>
            <w:pPr>
              <w:spacing w:after="0"/>
              <w:rPr>
                <w:rFonts w:ascii="MS PGothic" w:cs="MS PGothic" w:eastAsia="MS PGothic" w:hAnsi="MS PGothic"/>
                <w:sz w:val="18"/>
                <w:szCs w:val="18"/>
                <w:color w:val="0563C1"/>
                <w:w w:val="98"/>
              </w:rPr>
            </w:pPr>
            <w:hyperlink r:id="rId761">
              <w:r>
                <w:rPr>
                  <w:rFonts w:ascii="MS PGothic" w:cs="MS PGothic" w:eastAsia="MS PGothic" w:hAnsi="MS PGothic"/>
                  <w:sz w:val="18"/>
                  <w:szCs w:val="18"/>
                  <w:color w:val="0563C1"/>
                  <w:w w:val="98"/>
                </w:rPr>
                <w:t>Martn Marieta Materials, Inc. Annual Report on Form 10‑K for the fscal year ended December 31, 2000) (Commission File</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0" w:type="dxa"/>
            <w:vAlign w:val="bottom"/>
            <w:tcBorders>
              <w:right w:val="single" w:sz="8" w:color="91BBD3"/>
            </w:tcBorders>
          </w:tcPr>
          <w:p>
            <w:pPr>
              <w:spacing w:after="0"/>
              <w:rPr>
                <w:sz w:val="21"/>
                <w:szCs w:val="21"/>
                <w:color w:val="auto"/>
              </w:rPr>
            </w:pPr>
          </w:p>
        </w:tc>
        <w:tc>
          <w:tcPr>
            <w:tcW w:w="1660" w:type="dxa"/>
            <w:vAlign w:val="bottom"/>
            <w:tcBorders>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rPr>
            </w:pPr>
            <w:hyperlink r:id="rId761">
              <w:r>
                <w:rPr>
                  <w:rFonts w:ascii="MS PGothic" w:cs="MS PGothic" w:eastAsia="MS PGothic" w:hAnsi="MS PGothic"/>
                  <w:sz w:val="18"/>
                  <w:szCs w:val="18"/>
                  <w:color w:val="0563C1"/>
                </w:rPr>
                <w:t>No. 1-12744)**</w:t>
              </w:r>
            </w:hyperlink>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6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1240" w:type="dxa"/>
            <w:vAlign w:val="bottom"/>
            <w:tcBorders>
              <w:top w:val="single" w:sz="8" w:color="DAE8F0"/>
            </w:tcBorders>
            <w:shd w:val="clear" w:color="auto" w:fill="91BBD3"/>
          </w:tcPr>
          <w:p>
            <w:pPr>
              <w:spacing w:after="0" w:line="20" w:lineRule="exact"/>
              <w:rPr>
                <w:sz w:val="1"/>
                <w:szCs w:val="1"/>
                <w:color w:val="auto"/>
              </w:rPr>
            </w:pPr>
          </w:p>
        </w:tc>
        <w:tc>
          <w:tcPr>
            <w:tcW w:w="720" w:type="dxa"/>
            <w:vAlign w:val="bottom"/>
            <w:tcBorders>
              <w:top w:val="single" w:sz="8" w:color="DAE8F0"/>
            </w:tcBorders>
            <w:shd w:val="clear" w:color="auto" w:fill="91BBD3"/>
          </w:tcPr>
          <w:p>
            <w:pPr>
              <w:spacing w:after="0" w:line="20" w:lineRule="exact"/>
              <w:rPr>
                <w:sz w:val="1"/>
                <w:szCs w:val="1"/>
                <w:color w:val="auto"/>
              </w:rPr>
            </w:pPr>
          </w:p>
        </w:tc>
        <w:tc>
          <w:tcPr>
            <w:tcW w:w="100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DAE8F0"/>
            </w:tcBorders>
            <w:shd w:val="clear" w:color="auto" w:fill="91BBD3"/>
          </w:tcPr>
          <w:p>
            <w:pPr>
              <w:spacing w:after="0" w:line="20" w:lineRule="exact"/>
              <w:rPr>
                <w:sz w:val="1"/>
                <w:szCs w:val="1"/>
                <w:color w:val="auto"/>
              </w:rPr>
            </w:pPr>
          </w:p>
        </w:tc>
        <w:tc>
          <w:tcPr>
            <w:tcW w:w="60" w:type="dxa"/>
            <w:vAlign w:val="bottom"/>
            <w:tcBorders>
              <w:top w:val="single" w:sz="8" w:color="DAE8F0"/>
            </w:tcBorders>
            <w:shd w:val="clear" w:color="auto" w:fill="91BBD3"/>
          </w:tcPr>
          <w:p>
            <w:pPr>
              <w:spacing w:after="0" w:line="20" w:lineRule="exact"/>
              <w:rPr>
                <w:sz w:val="1"/>
                <w:szCs w:val="1"/>
                <w:color w:val="auto"/>
              </w:rPr>
            </w:pPr>
          </w:p>
        </w:tc>
        <w:tc>
          <w:tcPr>
            <w:tcW w:w="1220" w:type="dxa"/>
            <w:vAlign w:val="bottom"/>
            <w:tcBorders>
              <w:top w:val="single" w:sz="8" w:color="DAE8F0"/>
            </w:tcBorders>
            <w:shd w:val="clear" w:color="auto" w:fill="91BBD3"/>
          </w:tcPr>
          <w:p>
            <w:pPr>
              <w:spacing w:after="0" w:line="20" w:lineRule="exact"/>
              <w:rPr>
                <w:sz w:val="1"/>
                <w:szCs w:val="1"/>
                <w:color w:val="auto"/>
              </w:rPr>
            </w:pPr>
          </w:p>
        </w:tc>
        <w:tc>
          <w:tcPr>
            <w:tcW w:w="740" w:type="dxa"/>
            <w:vAlign w:val="bottom"/>
            <w:tcBorders>
              <w:top w:val="single" w:sz="8" w:color="DAE8F0"/>
            </w:tcBorders>
            <w:shd w:val="clear" w:color="auto" w:fill="91BBD3"/>
          </w:tcPr>
          <w:p>
            <w:pPr>
              <w:spacing w:after="0" w:line="20" w:lineRule="exact"/>
              <w:rPr>
                <w:sz w:val="1"/>
                <w:szCs w:val="1"/>
                <w:color w:val="auto"/>
              </w:rPr>
            </w:pPr>
          </w:p>
        </w:tc>
        <w:tc>
          <w:tcPr>
            <w:tcW w:w="228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right w:val="single" w:sz="8" w:color="91BBD3"/>
            </w:tcBorders>
            <w:vMerge w:val="continue"/>
          </w:tcPr>
          <w:p>
            <w:pPr>
              <w:spacing w:after="0"/>
              <w:rPr>
                <w:sz w:val="14"/>
                <w:szCs w:val="14"/>
                <w:color w:val="auto"/>
              </w:rPr>
            </w:pPr>
          </w:p>
        </w:tc>
        <w:tc>
          <w:tcPr>
            <w:tcW w:w="1660" w:type="dxa"/>
            <w:vAlign w:val="bottom"/>
            <w:tcBorders>
              <w:right w:val="single" w:sz="8" w:color="91BBD3"/>
            </w:tcBorders>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10.24</w:t>
            </w:r>
          </w:p>
        </w:tc>
        <w:tc>
          <w:tcPr>
            <w:tcW w:w="100" w:type="dxa"/>
            <w:vAlign w:val="bottom"/>
          </w:tcPr>
          <w:p>
            <w:pPr>
              <w:spacing w:after="0"/>
              <w:rPr>
                <w:sz w:val="14"/>
                <w:szCs w:val="14"/>
                <w:color w:val="auto"/>
              </w:rPr>
            </w:pPr>
          </w:p>
        </w:tc>
        <w:tc>
          <w:tcPr>
            <w:tcW w:w="9120" w:type="dxa"/>
            <w:vAlign w:val="bottom"/>
            <w:tcBorders>
              <w:right w:val="single" w:sz="8" w:color="91BBD3"/>
            </w:tcBorders>
            <w:gridSpan w:val="11"/>
          </w:tcPr>
          <w:p>
            <w:pPr>
              <w:spacing w:after="0" w:line="169" w:lineRule="exact"/>
              <w:rPr>
                <w:rFonts w:ascii="MS PGothic" w:cs="MS PGothic" w:eastAsia="MS PGothic" w:hAnsi="MS PGothic"/>
                <w:sz w:val="18"/>
                <w:szCs w:val="18"/>
                <w:color w:val="0563C1"/>
                <w:w w:val="97"/>
              </w:rPr>
            </w:pPr>
            <w:hyperlink r:id="rId762">
              <w:r>
                <w:rPr>
                  <w:rFonts w:ascii="MS PGothic" w:cs="MS PGothic" w:eastAsia="MS PGothic" w:hAnsi="MS PGothic"/>
                  <w:sz w:val="18"/>
                  <w:szCs w:val="18"/>
                  <w:color w:val="0563C1"/>
                  <w:w w:val="97"/>
                </w:rPr>
                <w:t>Martn Marieta Materials, Inc. Third Amended and Restated Supplemental Excess Retrement Plan (incorporated by reference</w:t>
              </w:r>
            </w:hyperlink>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gridSpan w:val="3"/>
            <w:shd w:val="clear" w:color="auto" w:fill="0563C1"/>
          </w:tcPr>
          <w:p>
            <w:pPr>
              <w:spacing w:after="0" w:line="20" w:lineRule="exact"/>
              <w:rPr>
                <w:sz w:val="1"/>
                <w:szCs w:val="1"/>
                <w:color w:val="auto"/>
              </w:rPr>
            </w:pPr>
          </w:p>
        </w:tc>
        <w:tc>
          <w:tcPr>
            <w:tcW w:w="1720" w:type="dxa"/>
            <w:vAlign w:val="bottom"/>
            <w:gridSpan w:val="2"/>
            <w:shd w:val="clear" w:color="auto" w:fill="0563C1"/>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2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2280" w:type="dxa"/>
            <w:vAlign w:val="bottom"/>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10"/>
          </w:tcPr>
          <w:p>
            <w:pPr>
              <w:spacing w:after="0"/>
              <w:rPr>
                <w:rFonts w:ascii="MS PGothic" w:cs="MS PGothic" w:eastAsia="MS PGothic" w:hAnsi="MS PGothic"/>
                <w:sz w:val="18"/>
                <w:szCs w:val="18"/>
                <w:color w:val="0563C1"/>
              </w:rPr>
            </w:pPr>
            <w:hyperlink r:id="rId762">
              <w:r>
                <w:rPr>
                  <w:rFonts w:ascii="MS PGothic" w:cs="MS PGothic" w:eastAsia="MS PGothic" w:hAnsi="MS PGothic"/>
                  <w:sz w:val="18"/>
                  <w:szCs w:val="18"/>
                  <w:color w:val="0563C1"/>
                </w:rPr>
                <w:t>to Exhibit 10 to the Martn Marieta Materials, Inc. Quarterly Report on Form 10-Q for the quarter ended June 30, 2012)</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rPr>
                <w:rFonts w:ascii="MS PGothic" w:cs="MS PGothic" w:eastAsia="MS PGothic" w:hAnsi="MS PGothic"/>
                <w:sz w:val="18"/>
                <w:szCs w:val="18"/>
                <w:color w:val="0563C1"/>
              </w:rPr>
            </w:pPr>
            <w:hyperlink r:id="rId762">
              <w:r>
                <w:rPr>
                  <w:rFonts w:ascii="MS PGothic" w:cs="MS PGothic" w:eastAsia="MS PGothic" w:hAnsi="MS PGothic"/>
                  <w:sz w:val="18"/>
                  <w:szCs w:val="18"/>
                  <w:color w:val="0563C1"/>
                </w:rPr>
                <w:t>(Commission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66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1240" w:type="dxa"/>
            <w:vAlign w:val="bottom"/>
            <w:tcBorders>
              <w:top w:val="single" w:sz="8" w:color="0563C1"/>
              <w:bottom w:val="single" w:sz="8" w:color="91BBD3"/>
            </w:tcBorders>
          </w:tcPr>
          <w:p>
            <w:pPr>
              <w:spacing w:after="0"/>
              <w:rPr>
                <w:sz w:val="4"/>
                <w:szCs w:val="4"/>
                <w:color w:val="auto"/>
              </w:rPr>
            </w:pPr>
          </w:p>
        </w:tc>
        <w:tc>
          <w:tcPr>
            <w:tcW w:w="720" w:type="dxa"/>
            <w:vAlign w:val="bottom"/>
            <w:tcBorders>
              <w:bottom w:val="single" w:sz="8" w:color="91BBD3"/>
            </w:tcBorders>
          </w:tcPr>
          <w:p>
            <w:pPr>
              <w:spacing w:after="0"/>
              <w:rPr>
                <w:sz w:val="4"/>
                <w:szCs w:val="4"/>
                <w:color w:val="auto"/>
              </w:rPr>
            </w:pPr>
          </w:p>
        </w:tc>
        <w:tc>
          <w:tcPr>
            <w:tcW w:w="1000" w:type="dxa"/>
            <w:vAlign w:val="bottom"/>
            <w:tcBorders>
              <w:bottom w:val="single" w:sz="8" w:color="91BBD3"/>
            </w:tcBorders>
          </w:tcPr>
          <w:p>
            <w:pPr>
              <w:spacing w:after="0"/>
              <w:rPr>
                <w:sz w:val="4"/>
                <w:szCs w:val="4"/>
                <w:color w:val="auto"/>
              </w:rPr>
            </w:pPr>
          </w:p>
        </w:tc>
        <w:tc>
          <w:tcPr>
            <w:tcW w:w="620" w:type="dxa"/>
            <w:vAlign w:val="bottom"/>
            <w:tcBorders>
              <w:bottom w:val="single" w:sz="8" w:color="91BBD3"/>
            </w:tcBorders>
          </w:tcPr>
          <w:p>
            <w:pPr>
              <w:spacing w:after="0"/>
              <w:rPr>
                <w:sz w:val="4"/>
                <w:szCs w:val="4"/>
                <w:color w:val="auto"/>
              </w:rPr>
            </w:pPr>
          </w:p>
        </w:tc>
        <w:tc>
          <w:tcPr>
            <w:tcW w:w="60" w:type="dxa"/>
            <w:vAlign w:val="bottom"/>
            <w:tcBorders>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740" w:type="dxa"/>
            <w:vAlign w:val="bottom"/>
            <w:tcBorders>
              <w:bottom w:val="single" w:sz="8" w:color="91BBD3"/>
            </w:tcBorders>
          </w:tcPr>
          <w:p>
            <w:pPr>
              <w:spacing w:after="0"/>
              <w:rPr>
                <w:sz w:val="4"/>
                <w:szCs w:val="4"/>
                <w:color w:val="auto"/>
              </w:rPr>
            </w:pPr>
          </w:p>
        </w:tc>
        <w:tc>
          <w:tcPr>
            <w:tcW w:w="228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shd w:val="clear" w:color="auto" w:fill="DAE8F0"/>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10.25</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1"/>
            <w:shd w:val="clear" w:color="auto" w:fill="DAE8F0"/>
          </w:tcPr>
          <w:p>
            <w:pPr>
              <w:spacing w:after="0" w:line="169" w:lineRule="exact"/>
              <w:rPr>
                <w:rFonts w:ascii="MS PGothic" w:cs="MS PGothic" w:eastAsia="MS PGothic" w:hAnsi="MS PGothic"/>
                <w:sz w:val="18"/>
                <w:szCs w:val="18"/>
                <w:color w:val="0563C1"/>
                <w:w w:val="98"/>
              </w:rPr>
            </w:pPr>
            <w:hyperlink r:id="rId763">
              <w:r>
                <w:rPr>
                  <w:rFonts w:ascii="MS PGothic" w:cs="MS PGothic" w:eastAsia="MS PGothic" w:hAnsi="MS PGothic"/>
                  <w:sz w:val="18"/>
                  <w:szCs w:val="18"/>
                  <w:color w:val="0563C1"/>
                  <w:w w:val="98"/>
                </w:rPr>
                <w:t>Form of Opton Award Agreement under the Martn Marieta Materials, Inc. Amended and Restated Stock-Based Award Plan</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4060" w:type="dxa"/>
            <w:vAlign w:val="bottom"/>
            <w:gridSpan w:val="5"/>
            <w:shd w:val="clear" w:color="auto" w:fill="0563C1"/>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1220" w:type="dxa"/>
            <w:vAlign w:val="bottom"/>
            <w:shd w:val="clear" w:color="auto" w:fill="0563C1"/>
          </w:tcPr>
          <w:p>
            <w:pPr>
              <w:spacing w:after="0" w:line="20" w:lineRule="exact"/>
              <w:rPr>
                <w:sz w:val="1"/>
                <w:szCs w:val="1"/>
                <w:color w:val="auto"/>
              </w:rPr>
            </w:pPr>
          </w:p>
        </w:tc>
        <w:tc>
          <w:tcPr>
            <w:tcW w:w="740" w:type="dxa"/>
            <w:vAlign w:val="bottom"/>
            <w:shd w:val="clear" w:color="auto" w:fill="0563C1"/>
          </w:tcPr>
          <w:p>
            <w:pPr>
              <w:spacing w:after="0" w:line="20" w:lineRule="exact"/>
              <w:rPr>
                <w:sz w:val="1"/>
                <w:szCs w:val="1"/>
                <w:color w:val="auto"/>
              </w:rPr>
            </w:pPr>
          </w:p>
        </w:tc>
        <w:tc>
          <w:tcPr>
            <w:tcW w:w="2280" w:type="dxa"/>
            <w:vAlign w:val="bottom"/>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0"/>
            <w:shd w:val="clear" w:color="auto" w:fill="DAE8F0"/>
          </w:tcPr>
          <w:p>
            <w:pPr>
              <w:spacing w:after="0"/>
              <w:rPr>
                <w:rFonts w:ascii="MS PGothic" w:cs="MS PGothic" w:eastAsia="MS PGothic" w:hAnsi="MS PGothic"/>
                <w:sz w:val="18"/>
                <w:szCs w:val="18"/>
                <w:color w:val="0563C1"/>
                <w:w w:val="97"/>
              </w:rPr>
            </w:pPr>
            <w:hyperlink r:id="rId763">
              <w:r>
                <w:rPr>
                  <w:rFonts w:ascii="MS PGothic" w:cs="MS PGothic" w:eastAsia="MS PGothic" w:hAnsi="MS PGothic"/>
                  <w:sz w:val="18"/>
                  <w:szCs w:val="18"/>
                  <w:color w:val="0563C1"/>
                  <w:w w:val="97"/>
                </w:rPr>
                <w:t>(incorporated by reference to Exhibit 10.11 to the Martn Marieta Materials, Inc. Annual Report on Form 10-K for the fscal</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0" w:type="dxa"/>
            <w:vAlign w:val="bottom"/>
            <w:tcBorders>
              <w:right w:val="single" w:sz="8" w:color="91BBD3"/>
            </w:tcBorders>
          </w:tcPr>
          <w:p>
            <w:pPr>
              <w:spacing w:after="0"/>
              <w:rPr>
                <w:sz w:val="22"/>
                <w:szCs w:val="22"/>
                <w:color w:val="auto"/>
              </w:rPr>
            </w:pPr>
          </w:p>
        </w:tc>
        <w:tc>
          <w:tcPr>
            <w:tcW w:w="1660" w:type="dxa"/>
            <w:vAlign w:val="bottom"/>
            <w:tcBorders>
              <w:bottom w:val="single" w:sz="8" w:color="91BBD3"/>
              <w:right w:val="single" w:sz="8" w:color="91BBD3"/>
            </w:tcBorders>
            <w:shd w:val="clear" w:color="auto" w:fill="DAE8F0"/>
          </w:tcPr>
          <w:p>
            <w:pPr>
              <w:spacing w:after="0"/>
              <w:rPr>
                <w:sz w:val="22"/>
                <w:szCs w:val="22"/>
                <w:color w:val="auto"/>
              </w:rPr>
            </w:pPr>
          </w:p>
        </w:tc>
        <w:tc>
          <w:tcPr>
            <w:tcW w:w="100" w:type="dxa"/>
            <w:vAlign w:val="bottom"/>
            <w:tcBorders>
              <w:bottom w:val="single" w:sz="8" w:color="91BBD3"/>
            </w:tcBorders>
            <w:shd w:val="clear" w:color="auto" w:fill="DAE8F0"/>
          </w:tcPr>
          <w:p>
            <w:pPr>
              <w:spacing w:after="0"/>
              <w:rPr>
                <w:sz w:val="22"/>
                <w:szCs w:val="22"/>
                <w:color w:val="auto"/>
              </w:rPr>
            </w:pPr>
          </w:p>
        </w:tc>
        <w:tc>
          <w:tcPr>
            <w:tcW w:w="4680" w:type="dxa"/>
            <w:vAlign w:val="bottom"/>
            <w:tcBorders>
              <w:bottom w:val="single" w:sz="8" w:color="0563C1"/>
            </w:tcBorders>
            <w:gridSpan w:val="6"/>
            <w:shd w:val="clear" w:color="auto" w:fill="DAE8F0"/>
          </w:tcPr>
          <w:p>
            <w:pPr>
              <w:spacing w:after="0"/>
              <w:rPr>
                <w:rFonts w:ascii="MS PGothic" w:cs="MS PGothic" w:eastAsia="MS PGothic" w:hAnsi="MS PGothic"/>
                <w:sz w:val="18"/>
                <w:szCs w:val="18"/>
                <w:color w:val="0563C1"/>
                <w:w w:val="94"/>
              </w:rPr>
            </w:pPr>
            <w:hyperlink r:id="rId763">
              <w:r>
                <w:rPr>
                  <w:rFonts w:ascii="MS PGothic" w:cs="MS PGothic" w:eastAsia="MS PGothic" w:hAnsi="MS PGothic"/>
                  <w:sz w:val="18"/>
                  <w:szCs w:val="18"/>
                  <w:color w:val="0563C1"/>
                  <w:w w:val="94"/>
                </w:rPr>
                <w:t>year ended December 31, 2008) (Commission File No. 1-12744)**</w:t>
              </w:r>
            </w:hyperlink>
          </w:p>
        </w:tc>
        <w:tc>
          <w:tcPr>
            <w:tcW w:w="4440" w:type="dxa"/>
            <w:vAlign w:val="bottom"/>
            <w:tcBorders>
              <w:bottom w:val="single" w:sz="8" w:color="91BBD3"/>
              <w:right w:val="single" w:sz="8" w:color="91BBD3"/>
            </w:tcBorders>
            <w:gridSpan w:val="5"/>
            <w:shd w:val="clear" w:color="auto" w:fill="DAE8F0"/>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10.26</w:t>
            </w:r>
          </w:p>
        </w:tc>
        <w:tc>
          <w:tcPr>
            <w:tcW w:w="100" w:type="dxa"/>
            <w:vAlign w:val="bottom"/>
          </w:tcPr>
          <w:p>
            <w:pPr>
              <w:spacing w:after="0"/>
              <w:rPr>
                <w:sz w:val="14"/>
                <w:szCs w:val="14"/>
                <w:color w:val="auto"/>
              </w:rPr>
            </w:pPr>
          </w:p>
        </w:tc>
        <w:tc>
          <w:tcPr>
            <w:tcW w:w="8980" w:type="dxa"/>
            <w:vAlign w:val="bottom"/>
            <w:tcBorders>
              <w:bottom w:val="single" w:sz="8" w:color="0563C1"/>
            </w:tcBorders>
            <w:gridSpan w:val="10"/>
          </w:tcPr>
          <w:p>
            <w:pPr>
              <w:spacing w:after="0" w:line="169" w:lineRule="exact"/>
              <w:rPr>
                <w:rFonts w:ascii="MS PGothic" w:cs="MS PGothic" w:eastAsia="MS PGothic" w:hAnsi="MS PGothic"/>
                <w:sz w:val="18"/>
                <w:szCs w:val="18"/>
                <w:color w:val="0563C1"/>
                <w:w w:val="98"/>
              </w:rPr>
            </w:pPr>
            <w:hyperlink r:id="rId764">
              <w:r>
                <w:rPr>
                  <w:rFonts w:ascii="MS PGothic" w:cs="MS PGothic" w:eastAsia="MS PGothic" w:hAnsi="MS PGothic"/>
                  <w:sz w:val="18"/>
                  <w:szCs w:val="18"/>
                  <w:color w:val="0563C1"/>
                  <w:w w:val="98"/>
                </w:rPr>
                <w:t>Form of Amendment to the Stock Unit Agreement under the Martn Marieta Materials, Inc. Amended and Restated Stock-</w:t>
              </w:r>
            </w:hyperlink>
          </w:p>
        </w:tc>
        <w:tc>
          <w:tcPr>
            <w:tcW w:w="140" w:type="dxa"/>
            <w:vAlign w:val="bottom"/>
            <w:tcBorders>
              <w:right w:val="single" w:sz="8" w:color="91BBD3"/>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10"/>
          </w:tcPr>
          <w:p>
            <w:pPr>
              <w:spacing w:after="0"/>
              <w:rPr>
                <w:rFonts w:ascii="MS PGothic" w:cs="MS PGothic" w:eastAsia="MS PGothic" w:hAnsi="MS PGothic"/>
                <w:sz w:val="18"/>
                <w:szCs w:val="18"/>
                <w:color w:val="0563C1"/>
                <w:w w:val="97"/>
              </w:rPr>
            </w:pPr>
            <w:hyperlink r:id="rId764">
              <w:r>
                <w:rPr>
                  <w:rFonts w:ascii="MS PGothic" w:cs="MS PGothic" w:eastAsia="MS PGothic" w:hAnsi="MS PGothic"/>
                  <w:sz w:val="18"/>
                  <w:szCs w:val="18"/>
                  <w:color w:val="0563C1"/>
                  <w:w w:val="97"/>
                </w:rPr>
                <w:t>Based Award Plan (incorporated by reference to Exhibit 10.13 to the Martn Marieta Materials, Inc. Annual Report on Form</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rPr>
                <w:rFonts w:ascii="MS PGothic" w:cs="MS PGothic" w:eastAsia="MS PGothic" w:hAnsi="MS PGothic"/>
                <w:sz w:val="18"/>
                <w:szCs w:val="18"/>
                <w:color w:val="0563C1"/>
              </w:rPr>
            </w:pPr>
            <w:hyperlink r:id="rId764">
              <w:r>
                <w:rPr>
                  <w:rFonts w:ascii="MS PGothic" w:cs="MS PGothic" w:eastAsia="MS PGothic" w:hAnsi="MS PGothic"/>
                  <w:sz w:val="18"/>
                  <w:szCs w:val="18"/>
                  <w:color w:val="0563C1"/>
                </w:rPr>
                <w:t>10-K for the fscal year ended December 31, 2008)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66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1240" w:type="dxa"/>
            <w:vAlign w:val="bottom"/>
            <w:tcBorders>
              <w:top w:val="single" w:sz="8" w:color="0563C1"/>
              <w:bottom w:val="single" w:sz="8" w:color="91BBD3"/>
            </w:tcBorders>
          </w:tcPr>
          <w:p>
            <w:pPr>
              <w:spacing w:after="0"/>
              <w:rPr>
                <w:sz w:val="4"/>
                <w:szCs w:val="4"/>
                <w:color w:val="auto"/>
              </w:rPr>
            </w:pPr>
          </w:p>
        </w:tc>
        <w:tc>
          <w:tcPr>
            <w:tcW w:w="720" w:type="dxa"/>
            <w:vAlign w:val="bottom"/>
            <w:tcBorders>
              <w:top w:val="single" w:sz="8" w:color="0563C1"/>
              <w:bottom w:val="single" w:sz="8" w:color="91BBD3"/>
            </w:tcBorders>
          </w:tcPr>
          <w:p>
            <w:pPr>
              <w:spacing w:after="0"/>
              <w:rPr>
                <w:sz w:val="4"/>
                <w:szCs w:val="4"/>
                <w:color w:val="auto"/>
              </w:rPr>
            </w:pPr>
          </w:p>
        </w:tc>
        <w:tc>
          <w:tcPr>
            <w:tcW w:w="1000" w:type="dxa"/>
            <w:vAlign w:val="bottom"/>
            <w:tcBorders>
              <w:top w:val="single" w:sz="8" w:color="0563C1"/>
              <w:bottom w:val="single" w:sz="8" w:color="91BBD3"/>
            </w:tcBorders>
          </w:tcPr>
          <w:p>
            <w:pPr>
              <w:spacing w:after="0"/>
              <w:rPr>
                <w:sz w:val="4"/>
                <w:szCs w:val="4"/>
                <w:color w:val="auto"/>
              </w:rPr>
            </w:pPr>
          </w:p>
        </w:tc>
        <w:tc>
          <w:tcPr>
            <w:tcW w:w="620" w:type="dxa"/>
            <w:vAlign w:val="bottom"/>
            <w:tcBorders>
              <w:top w:val="single" w:sz="8" w:color="0563C1"/>
              <w:bottom w:val="single" w:sz="8" w:color="91BBD3"/>
            </w:tcBorders>
          </w:tcPr>
          <w:p>
            <w:pPr>
              <w:spacing w:after="0"/>
              <w:rPr>
                <w:sz w:val="4"/>
                <w:szCs w:val="4"/>
                <w:color w:val="auto"/>
              </w:rPr>
            </w:pPr>
          </w:p>
        </w:tc>
        <w:tc>
          <w:tcPr>
            <w:tcW w:w="60" w:type="dxa"/>
            <w:vAlign w:val="bottom"/>
            <w:tcBorders>
              <w:top w:val="single" w:sz="8" w:color="0563C1"/>
              <w:bottom w:val="single" w:sz="8" w:color="91BBD3"/>
            </w:tcBorders>
          </w:tcPr>
          <w:p>
            <w:pPr>
              <w:spacing w:after="0"/>
              <w:rPr>
                <w:sz w:val="4"/>
                <w:szCs w:val="4"/>
                <w:color w:val="auto"/>
              </w:rPr>
            </w:pPr>
          </w:p>
        </w:tc>
        <w:tc>
          <w:tcPr>
            <w:tcW w:w="1220" w:type="dxa"/>
            <w:vAlign w:val="bottom"/>
            <w:tcBorders>
              <w:top w:val="single" w:sz="8" w:color="0563C1"/>
              <w:bottom w:val="single" w:sz="8" w:color="91BBD3"/>
            </w:tcBorders>
          </w:tcPr>
          <w:p>
            <w:pPr>
              <w:spacing w:after="0"/>
              <w:rPr>
                <w:sz w:val="4"/>
                <w:szCs w:val="4"/>
                <w:color w:val="auto"/>
              </w:rPr>
            </w:pPr>
          </w:p>
        </w:tc>
        <w:tc>
          <w:tcPr>
            <w:tcW w:w="740" w:type="dxa"/>
            <w:vAlign w:val="bottom"/>
            <w:tcBorders>
              <w:bottom w:val="single" w:sz="8" w:color="91BBD3"/>
            </w:tcBorders>
          </w:tcPr>
          <w:p>
            <w:pPr>
              <w:spacing w:after="0"/>
              <w:rPr>
                <w:sz w:val="4"/>
                <w:szCs w:val="4"/>
                <w:color w:val="auto"/>
              </w:rPr>
            </w:pPr>
          </w:p>
        </w:tc>
        <w:tc>
          <w:tcPr>
            <w:tcW w:w="228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shd w:val="clear" w:color="auto" w:fill="DAE8F0"/>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10.27</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1"/>
            <w:shd w:val="clear" w:color="auto" w:fill="DAE8F0"/>
          </w:tcPr>
          <w:p>
            <w:pPr>
              <w:spacing w:after="0" w:line="169" w:lineRule="exact"/>
              <w:rPr>
                <w:rFonts w:ascii="MS PGothic" w:cs="MS PGothic" w:eastAsia="MS PGothic" w:hAnsi="MS PGothic"/>
                <w:sz w:val="18"/>
                <w:szCs w:val="18"/>
                <w:color w:val="0563C1"/>
                <w:w w:val="95"/>
              </w:rPr>
            </w:pPr>
            <w:hyperlink r:id="rId765">
              <w:r>
                <w:rPr>
                  <w:rFonts w:ascii="MS PGothic" w:cs="MS PGothic" w:eastAsia="MS PGothic" w:hAnsi="MS PGothic"/>
                  <w:sz w:val="18"/>
                  <w:szCs w:val="18"/>
                  <w:color w:val="0563C1"/>
                  <w:w w:val="95"/>
                </w:rPr>
                <w:t>Form of Restricted Stock Unit Agreement for Directors under the Martn Marieta Materials, Inc. Amended and Restated Stock-</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4060" w:type="dxa"/>
            <w:vAlign w:val="bottom"/>
            <w:gridSpan w:val="5"/>
            <w:shd w:val="clear" w:color="auto" w:fill="0563C1"/>
          </w:tcPr>
          <w:p>
            <w:pPr>
              <w:spacing w:after="0" w:line="20" w:lineRule="exact"/>
              <w:rPr>
                <w:sz w:val="1"/>
                <w:szCs w:val="1"/>
                <w:color w:val="auto"/>
              </w:rPr>
            </w:pPr>
          </w:p>
        </w:tc>
        <w:tc>
          <w:tcPr>
            <w:tcW w:w="680" w:type="dxa"/>
            <w:vAlign w:val="bottom"/>
            <w:gridSpan w:val="2"/>
            <w:shd w:val="clear" w:color="auto" w:fill="0563C1"/>
          </w:tcPr>
          <w:p>
            <w:pPr>
              <w:spacing w:after="0" w:line="20" w:lineRule="exact"/>
              <w:rPr>
                <w:sz w:val="1"/>
                <w:szCs w:val="1"/>
                <w:color w:val="auto"/>
              </w:rPr>
            </w:pPr>
          </w:p>
        </w:tc>
        <w:tc>
          <w:tcPr>
            <w:tcW w:w="1960" w:type="dxa"/>
            <w:vAlign w:val="bottom"/>
            <w:gridSpan w:val="2"/>
            <w:shd w:val="clear" w:color="auto" w:fill="0563C1"/>
          </w:tcPr>
          <w:p>
            <w:pPr>
              <w:spacing w:after="0" w:line="20" w:lineRule="exact"/>
              <w:rPr>
                <w:sz w:val="1"/>
                <w:szCs w:val="1"/>
                <w:color w:val="auto"/>
              </w:rPr>
            </w:pPr>
          </w:p>
        </w:tc>
        <w:tc>
          <w:tcPr>
            <w:tcW w:w="2280" w:type="dxa"/>
            <w:vAlign w:val="bottom"/>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0"/>
            <w:shd w:val="clear" w:color="auto" w:fill="DAE8F0"/>
          </w:tcPr>
          <w:p>
            <w:pPr>
              <w:spacing w:after="0"/>
              <w:rPr>
                <w:rFonts w:ascii="MS PGothic" w:cs="MS PGothic" w:eastAsia="MS PGothic" w:hAnsi="MS PGothic"/>
                <w:sz w:val="18"/>
                <w:szCs w:val="18"/>
                <w:color w:val="0563C1"/>
                <w:w w:val="97"/>
              </w:rPr>
            </w:pPr>
            <w:hyperlink r:id="rId765">
              <w:r>
                <w:rPr>
                  <w:rFonts w:ascii="MS PGothic" w:cs="MS PGothic" w:eastAsia="MS PGothic" w:hAnsi="MS PGothic"/>
                  <w:sz w:val="18"/>
                  <w:szCs w:val="18"/>
                  <w:color w:val="0563C1"/>
                  <w:w w:val="97"/>
                </w:rPr>
                <w:t>Based Award Plan (incorporated by reference to Exhibit 10.14 to the Martn Marieta Materials, Inc. Annual Report on Form</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0" w:type="dxa"/>
            <w:vAlign w:val="bottom"/>
            <w:tcBorders>
              <w:right w:val="single" w:sz="8" w:color="91BBD3"/>
            </w:tcBorders>
          </w:tcPr>
          <w:p>
            <w:pPr>
              <w:spacing w:after="0"/>
              <w:rPr>
                <w:sz w:val="21"/>
                <w:szCs w:val="21"/>
                <w:color w:val="auto"/>
              </w:rPr>
            </w:pPr>
          </w:p>
        </w:tc>
        <w:tc>
          <w:tcPr>
            <w:tcW w:w="1660" w:type="dxa"/>
            <w:vAlign w:val="bottom"/>
            <w:tcBorders>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rPr>
            </w:pPr>
            <w:hyperlink r:id="rId765">
              <w:r>
                <w:rPr>
                  <w:rFonts w:ascii="MS PGothic" w:cs="MS PGothic" w:eastAsia="MS PGothic" w:hAnsi="MS PGothic"/>
                  <w:sz w:val="18"/>
                  <w:szCs w:val="18"/>
                  <w:color w:val="0563C1"/>
                </w:rPr>
                <w:t>10-K for the fscal year ended December 31, 2013) (Commission File No. 1-12744)**</w:t>
              </w:r>
            </w:hyperlink>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6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1240" w:type="dxa"/>
            <w:vAlign w:val="bottom"/>
            <w:tcBorders>
              <w:top w:val="single" w:sz="8" w:color="0563C1"/>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100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60" w:type="dxa"/>
            <w:vAlign w:val="bottom"/>
            <w:tcBorders>
              <w:top w:val="single" w:sz="8" w:color="0563C1"/>
            </w:tcBorders>
            <w:shd w:val="clear" w:color="auto" w:fill="91BBD3"/>
          </w:tcPr>
          <w:p>
            <w:pPr>
              <w:spacing w:after="0" w:line="20" w:lineRule="exact"/>
              <w:rPr>
                <w:sz w:val="1"/>
                <w:szCs w:val="1"/>
                <w:color w:val="auto"/>
              </w:rPr>
            </w:pPr>
          </w:p>
        </w:tc>
        <w:tc>
          <w:tcPr>
            <w:tcW w:w="1220" w:type="dxa"/>
            <w:vAlign w:val="bottom"/>
            <w:tcBorders>
              <w:top w:val="single" w:sz="8" w:color="0563C1"/>
            </w:tcBorders>
            <w:shd w:val="clear" w:color="auto" w:fill="91BBD3"/>
          </w:tcPr>
          <w:p>
            <w:pPr>
              <w:spacing w:after="0" w:line="20" w:lineRule="exact"/>
              <w:rPr>
                <w:sz w:val="1"/>
                <w:szCs w:val="1"/>
                <w:color w:val="auto"/>
              </w:rPr>
            </w:pPr>
          </w:p>
        </w:tc>
        <w:tc>
          <w:tcPr>
            <w:tcW w:w="740" w:type="dxa"/>
            <w:vAlign w:val="bottom"/>
            <w:tcBorders>
              <w:top w:val="single" w:sz="8" w:color="DAE8F0"/>
            </w:tcBorders>
            <w:shd w:val="clear" w:color="auto" w:fill="91BBD3"/>
          </w:tcPr>
          <w:p>
            <w:pPr>
              <w:spacing w:after="0" w:line="20" w:lineRule="exact"/>
              <w:rPr>
                <w:sz w:val="1"/>
                <w:szCs w:val="1"/>
                <w:color w:val="auto"/>
              </w:rPr>
            </w:pPr>
          </w:p>
        </w:tc>
        <w:tc>
          <w:tcPr>
            <w:tcW w:w="228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right w:val="single" w:sz="8" w:color="91BBD3"/>
            </w:tcBorders>
            <w:vMerge w:val="continue"/>
          </w:tcPr>
          <w:p>
            <w:pPr>
              <w:spacing w:after="0"/>
              <w:rPr>
                <w:sz w:val="14"/>
                <w:szCs w:val="14"/>
                <w:color w:val="auto"/>
              </w:rPr>
            </w:pPr>
          </w:p>
        </w:tc>
        <w:tc>
          <w:tcPr>
            <w:tcW w:w="1660" w:type="dxa"/>
            <w:vAlign w:val="bottom"/>
            <w:tcBorders>
              <w:right w:val="single" w:sz="8" w:color="91BBD3"/>
            </w:tcBorders>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10.28</w:t>
            </w:r>
          </w:p>
        </w:tc>
        <w:tc>
          <w:tcPr>
            <w:tcW w:w="100" w:type="dxa"/>
            <w:vAlign w:val="bottom"/>
          </w:tcPr>
          <w:p>
            <w:pPr>
              <w:spacing w:after="0"/>
              <w:rPr>
                <w:sz w:val="14"/>
                <w:szCs w:val="14"/>
                <w:color w:val="auto"/>
              </w:rPr>
            </w:pPr>
          </w:p>
        </w:tc>
        <w:tc>
          <w:tcPr>
            <w:tcW w:w="9120" w:type="dxa"/>
            <w:vAlign w:val="bottom"/>
            <w:tcBorders>
              <w:right w:val="single" w:sz="8" w:color="91BBD3"/>
            </w:tcBorders>
            <w:gridSpan w:val="11"/>
          </w:tcPr>
          <w:p>
            <w:pPr>
              <w:spacing w:after="0" w:line="169" w:lineRule="exact"/>
              <w:rPr>
                <w:rFonts w:ascii="MS PGothic" w:cs="MS PGothic" w:eastAsia="MS PGothic" w:hAnsi="MS PGothic"/>
                <w:sz w:val="18"/>
                <w:szCs w:val="18"/>
                <w:color w:val="0563C1"/>
                <w:w w:val="99"/>
              </w:rPr>
            </w:pPr>
            <w:hyperlink r:id="rId766">
              <w:r>
                <w:rPr>
                  <w:rFonts w:ascii="MS PGothic" w:cs="MS PGothic" w:eastAsia="MS PGothic" w:hAnsi="MS PGothic"/>
                  <w:sz w:val="18"/>
                  <w:szCs w:val="18"/>
                  <w:color w:val="0563C1"/>
                  <w:w w:val="99"/>
                </w:rPr>
                <w:t>Form of Special Restricted Stock Unit Agreement under the Martn Marieta Materials, Inc. Amended and Restated Stock-</w:t>
              </w:r>
            </w:hyperlink>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gridSpan w:val="5"/>
            <w:shd w:val="clear" w:color="auto" w:fill="0563C1"/>
          </w:tcPr>
          <w:p>
            <w:pPr>
              <w:spacing w:after="0" w:line="20" w:lineRule="exact"/>
              <w:rPr>
                <w:sz w:val="1"/>
                <w:szCs w:val="1"/>
                <w:color w:val="auto"/>
              </w:rPr>
            </w:pPr>
          </w:p>
        </w:tc>
        <w:tc>
          <w:tcPr>
            <w:tcW w:w="680" w:type="dxa"/>
            <w:vAlign w:val="bottom"/>
            <w:gridSpan w:val="2"/>
            <w:shd w:val="clear" w:color="auto" w:fill="0563C1"/>
          </w:tcPr>
          <w:p>
            <w:pPr>
              <w:spacing w:after="0" w:line="20" w:lineRule="exact"/>
              <w:rPr>
                <w:sz w:val="1"/>
                <w:szCs w:val="1"/>
                <w:color w:val="auto"/>
              </w:rPr>
            </w:pPr>
          </w:p>
        </w:tc>
        <w:tc>
          <w:tcPr>
            <w:tcW w:w="1960" w:type="dxa"/>
            <w:vAlign w:val="bottom"/>
            <w:gridSpan w:val="2"/>
            <w:shd w:val="clear" w:color="auto" w:fill="0563C1"/>
          </w:tcPr>
          <w:p>
            <w:pPr>
              <w:spacing w:after="0" w:line="20" w:lineRule="exact"/>
              <w:rPr>
                <w:sz w:val="1"/>
                <w:szCs w:val="1"/>
                <w:color w:val="auto"/>
              </w:rPr>
            </w:pPr>
          </w:p>
        </w:tc>
        <w:tc>
          <w:tcPr>
            <w:tcW w:w="2280" w:type="dxa"/>
            <w:vAlign w:val="bottom"/>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10"/>
          </w:tcPr>
          <w:p>
            <w:pPr>
              <w:spacing w:after="0"/>
              <w:rPr>
                <w:rFonts w:ascii="MS PGothic" w:cs="MS PGothic" w:eastAsia="MS PGothic" w:hAnsi="MS PGothic"/>
                <w:sz w:val="18"/>
                <w:szCs w:val="18"/>
                <w:color w:val="0563C1"/>
                <w:w w:val="97"/>
              </w:rPr>
            </w:pPr>
            <w:hyperlink r:id="rId766">
              <w:r>
                <w:rPr>
                  <w:rFonts w:ascii="MS PGothic" w:cs="MS PGothic" w:eastAsia="MS PGothic" w:hAnsi="MS PGothic"/>
                  <w:sz w:val="18"/>
                  <w:szCs w:val="18"/>
                  <w:color w:val="0563C1"/>
                  <w:w w:val="97"/>
                </w:rPr>
                <w:t>Based Award Plan (incorporated by reference to Exhibit 10.19 to the Martn Marieta Materials, Inc. Annual Report on Form</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rPr>
                <w:rFonts w:ascii="MS PGothic" w:cs="MS PGothic" w:eastAsia="MS PGothic" w:hAnsi="MS PGothic"/>
                <w:sz w:val="18"/>
                <w:szCs w:val="18"/>
                <w:color w:val="0563C1"/>
              </w:rPr>
            </w:pPr>
            <w:hyperlink r:id="rId766">
              <w:r>
                <w:rPr>
                  <w:rFonts w:ascii="MS PGothic" w:cs="MS PGothic" w:eastAsia="MS PGothic" w:hAnsi="MS PGothic"/>
                  <w:sz w:val="18"/>
                  <w:szCs w:val="18"/>
                  <w:color w:val="0563C1"/>
                </w:rPr>
                <w:t>10-K for the fscal year ended December 31, 2014)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66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1240" w:type="dxa"/>
            <w:vAlign w:val="bottom"/>
            <w:tcBorders>
              <w:top w:val="single" w:sz="8" w:color="0563C1"/>
              <w:bottom w:val="single" w:sz="8" w:color="91BBD3"/>
            </w:tcBorders>
          </w:tcPr>
          <w:p>
            <w:pPr>
              <w:spacing w:after="0"/>
              <w:rPr>
                <w:sz w:val="4"/>
                <w:szCs w:val="4"/>
                <w:color w:val="auto"/>
              </w:rPr>
            </w:pPr>
          </w:p>
        </w:tc>
        <w:tc>
          <w:tcPr>
            <w:tcW w:w="720" w:type="dxa"/>
            <w:vAlign w:val="bottom"/>
            <w:tcBorders>
              <w:top w:val="single" w:sz="8" w:color="0563C1"/>
              <w:bottom w:val="single" w:sz="8" w:color="91BBD3"/>
            </w:tcBorders>
          </w:tcPr>
          <w:p>
            <w:pPr>
              <w:spacing w:after="0"/>
              <w:rPr>
                <w:sz w:val="4"/>
                <w:szCs w:val="4"/>
                <w:color w:val="auto"/>
              </w:rPr>
            </w:pPr>
          </w:p>
        </w:tc>
        <w:tc>
          <w:tcPr>
            <w:tcW w:w="1000" w:type="dxa"/>
            <w:vAlign w:val="bottom"/>
            <w:tcBorders>
              <w:top w:val="single" w:sz="8" w:color="0563C1"/>
              <w:bottom w:val="single" w:sz="8" w:color="91BBD3"/>
            </w:tcBorders>
          </w:tcPr>
          <w:p>
            <w:pPr>
              <w:spacing w:after="0"/>
              <w:rPr>
                <w:sz w:val="4"/>
                <w:szCs w:val="4"/>
                <w:color w:val="auto"/>
              </w:rPr>
            </w:pPr>
          </w:p>
        </w:tc>
        <w:tc>
          <w:tcPr>
            <w:tcW w:w="620" w:type="dxa"/>
            <w:vAlign w:val="bottom"/>
            <w:tcBorders>
              <w:top w:val="single" w:sz="8" w:color="0563C1"/>
              <w:bottom w:val="single" w:sz="8" w:color="91BBD3"/>
            </w:tcBorders>
          </w:tcPr>
          <w:p>
            <w:pPr>
              <w:spacing w:after="0"/>
              <w:rPr>
                <w:sz w:val="4"/>
                <w:szCs w:val="4"/>
                <w:color w:val="auto"/>
              </w:rPr>
            </w:pPr>
          </w:p>
        </w:tc>
        <w:tc>
          <w:tcPr>
            <w:tcW w:w="60" w:type="dxa"/>
            <w:vAlign w:val="bottom"/>
            <w:tcBorders>
              <w:top w:val="single" w:sz="8" w:color="0563C1"/>
              <w:bottom w:val="single" w:sz="8" w:color="91BBD3"/>
            </w:tcBorders>
          </w:tcPr>
          <w:p>
            <w:pPr>
              <w:spacing w:after="0"/>
              <w:rPr>
                <w:sz w:val="4"/>
                <w:szCs w:val="4"/>
                <w:color w:val="auto"/>
              </w:rPr>
            </w:pPr>
          </w:p>
        </w:tc>
        <w:tc>
          <w:tcPr>
            <w:tcW w:w="1220" w:type="dxa"/>
            <w:vAlign w:val="bottom"/>
            <w:tcBorders>
              <w:top w:val="single" w:sz="8" w:color="0563C1"/>
              <w:bottom w:val="single" w:sz="8" w:color="91BBD3"/>
            </w:tcBorders>
          </w:tcPr>
          <w:p>
            <w:pPr>
              <w:spacing w:after="0"/>
              <w:rPr>
                <w:sz w:val="4"/>
                <w:szCs w:val="4"/>
                <w:color w:val="auto"/>
              </w:rPr>
            </w:pPr>
          </w:p>
        </w:tc>
        <w:tc>
          <w:tcPr>
            <w:tcW w:w="740" w:type="dxa"/>
            <w:vAlign w:val="bottom"/>
            <w:tcBorders>
              <w:bottom w:val="single" w:sz="8" w:color="91BBD3"/>
            </w:tcBorders>
          </w:tcPr>
          <w:p>
            <w:pPr>
              <w:spacing w:after="0"/>
              <w:rPr>
                <w:sz w:val="4"/>
                <w:szCs w:val="4"/>
                <w:color w:val="auto"/>
              </w:rPr>
            </w:pPr>
          </w:p>
        </w:tc>
        <w:tc>
          <w:tcPr>
            <w:tcW w:w="228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shd w:val="clear" w:color="auto" w:fill="DAE8F0"/>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10.29</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1"/>
            <w:shd w:val="clear" w:color="auto" w:fill="DAE8F0"/>
          </w:tcPr>
          <w:p>
            <w:pPr>
              <w:spacing w:after="0" w:line="169" w:lineRule="exact"/>
              <w:rPr>
                <w:rFonts w:ascii="MS PGothic" w:cs="MS PGothic" w:eastAsia="MS PGothic" w:hAnsi="MS PGothic"/>
                <w:sz w:val="18"/>
                <w:szCs w:val="18"/>
                <w:color w:val="0563C1"/>
                <w:w w:val="97"/>
              </w:rPr>
            </w:pPr>
            <w:hyperlink r:id="rId767">
              <w:r>
                <w:rPr>
                  <w:rFonts w:ascii="MS PGothic" w:cs="MS PGothic" w:eastAsia="MS PGothic" w:hAnsi="MS PGothic"/>
                  <w:sz w:val="18"/>
                  <w:szCs w:val="18"/>
                  <w:color w:val="0563C1"/>
                  <w:w w:val="97"/>
                </w:rPr>
                <w:t>Form of Performance-Based Restricted Stock Unit Award Agreement under the Martn Marieta Materials, Inc. Amended and</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4060" w:type="dxa"/>
            <w:vAlign w:val="bottom"/>
            <w:gridSpan w:val="5"/>
            <w:shd w:val="clear" w:color="auto" w:fill="0563C1"/>
          </w:tcPr>
          <w:p>
            <w:pPr>
              <w:spacing w:after="0" w:line="20" w:lineRule="exact"/>
              <w:rPr>
                <w:sz w:val="1"/>
                <w:szCs w:val="1"/>
                <w:color w:val="auto"/>
              </w:rPr>
            </w:pPr>
          </w:p>
        </w:tc>
        <w:tc>
          <w:tcPr>
            <w:tcW w:w="680" w:type="dxa"/>
            <w:vAlign w:val="bottom"/>
            <w:gridSpan w:val="2"/>
            <w:shd w:val="clear" w:color="auto" w:fill="0563C1"/>
          </w:tcPr>
          <w:p>
            <w:pPr>
              <w:spacing w:after="0" w:line="20" w:lineRule="exact"/>
              <w:rPr>
                <w:sz w:val="1"/>
                <w:szCs w:val="1"/>
                <w:color w:val="auto"/>
              </w:rPr>
            </w:pPr>
          </w:p>
        </w:tc>
        <w:tc>
          <w:tcPr>
            <w:tcW w:w="1960" w:type="dxa"/>
            <w:vAlign w:val="bottom"/>
            <w:gridSpan w:val="2"/>
            <w:shd w:val="clear" w:color="auto" w:fill="0563C1"/>
          </w:tcPr>
          <w:p>
            <w:pPr>
              <w:spacing w:after="0" w:line="20" w:lineRule="exact"/>
              <w:rPr>
                <w:sz w:val="1"/>
                <w:szCs w:val="1"/>
                <w:color w:val="auto"/>
              </w:rPr>
            </w:pPr>
          </w:p>
        </w:tc>
        <w:tc>
          <w:tcPr>
            <w:tcW w:w="2280" w:type="dxa"/>
            <w:vAlign w:val="bottom"/>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w w:val="96"/>
              </w:rPr>
            </w:pPr>
            <w:hyperlink r:id="rId767">
              <w:r>
                <w:rPr>
                  <w:rFonts w:ascii="MS PGothic" w:cs="MS PGothic" w:eastAsia="MS PGothic" w:hAnsi="MS PGothic"/>
                  <w:sz w:val="18"/>
                  <w:szCs w:val="18"/>
                  <w:color w:val="0563C1"/>
                  <w:w w:val="96"/>
                </w:rPr>
                <w:t>Restated Stock-Based Award Plan (incorporated by reference to Exhibit 10.02 to the Martn Marieta Materials, Inc. Quarterly</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0" w:type="dxa"/>
            <w:vAlign w:val="bottom"/>
            <w:tcBorders>
              <w:right w:val="single" w:sz="8" w:color="91BBD3"/>
            </w:tcBorders>
          </w:tcPr>
          <w:p>
            <w:pPr>
              <w:spacing w:after="0"/>
              <w:rPr>
                <w:sz w:val="22"/>
                <w:szCs w:val="22"/>
                <w:color w:val="auto"/>
              </w:rPr>
            </w:pPr>
          </w:p>
        </w:tc>
        <w:tc>
          <w:tcPr>
            <w:tcW w:w="1660" w:type="dxa"/>
            <w:vAlign w:val="bottom"/>
            <w:tcBorders>
              <w:top w:val="single" w:sz="8" w:color="DAE8F0"/>
              <w:bottom w:val="single" w:sz="8" w:color="91BBD3"/>
              <w:right w:val="single" w:sz="8" w:color="91BBD3"/>
            </w:tcBorders>
            <w:shd w:val="clear" w:color="auto" w:fill="DAE8F0"/>
          </w:tcPr>
          <w:p>
            <w:pPr>
              <w:spacing w:after="0"/>
              <w:rPr>
                <w:sz w:val="22"/>
                <w:szCs w:val="22"/>
                <w:color w:val="auto"/>
              </w:rPr>
            </w:pPr>
          </w:p>
        </w:tc>
        <w:tc>
          <w:tcPr>
            <w:tcW w:w="100" w:type="dxa"/>
            <w:vAlign w:val="bottom"/>
            <w:tcBorders>
              <w:top w:val="single" w:sz="8" w:color="DAE8F0"/>
              <w:bottom w:val="single" w:sz="8" w:color="91BBD3"/>
            </w:tcBorders>
            <w:shd w:val="clear" w:color="auto" w:fill="DAE8F0"/>
          </w:tcPr>
          <w:p>
            <w:pPr>
              <w:spacing w:after="0"/>
              <w:rPr>
                <w:sz w:val="22"/>
                <w:szCs w:val="22"/>
                <w:color w:val="auto"/>
              </w:rPr>
            </w:pPr>
          </w:p>
        </w:tc>
        <w:tc>
          <w:tcPr>
            <w:tcW w:w="6700" w:type="dxa"/>
            <w:vAlign w:val="bottom"/>
            <w:tcBorders>
              <w:top w:val="single" w:sz="8" w:color="0563C1"/>
              <w:bottom w:val="single" w:sz="8" w:color="0563C1"/>
            </w:tcBorders>
            <w:gridSpan w:val="9"/>
            <w:shd w:val="clear" w:color="auto" w:fill="DAE8F0"/>
          </w:tcPr>
          <w:p>
            <w:pPr>
              <w:spacing w:after="0"/>
              <w:rPr>
                <w:rFonts w:ascii="MS PGothic" w:cs="MS PGothic" w:eastAsia="MS PGothic" w:hAnsi="MS PGothic"/>
                <w:sz w:val="18"/>
                <w:szCs w:val="18"/>
                <w:color w:val="0563C1"/>
                <w:w w:val="93"/>
              </w:rPr>
            </w:pPr>
            <w:hyperlink r:id="rId767">
              <w:r>
                <w:rPr>
                  <w:rFonts w:ascii="MS PGothic" w:cs="MS PGothic" w:eastAsia="MS PGothic" w:hAnsi="MS PGothic"/>
                  <w:sz w:val="18"/>
                  <w:szCs w:val="18"/>
                  <w:color w:val="0563C1"/>
                  <w:w w:val="93"/>
                </w:rPr>
                <w:t>Report on Form 10-Q for the quarter ended March 31, 2017) (Commission File No. 1-12744)**</w:t>
              </w:r>
            </w:hyperlink>
          </w:p>
        </w:tc>
        <w:tc>
          <w:tcPr>
            <w:tcW w:w="2280" w:type="dxa"/>
            <w:vAlign w:val="bottom"/>
            <w:tcBorders>
              <w:top w:val="single" w:sz="8" w:color="0563C1"/>
              <w:bottom w:val="single" w:sz="8" w:color="91BBD3"/>
            </w:tcBorders>
            <w:shd w:val="clear" w:color="auto" w:fill="DAE8F0"/>
          </w:tcPr>
          <w:p>
            <w:pPr>
              <w:spacing w:after="0"/>
              <w:rPr>
                <w:sz w:val="22"/>
                <w:szCs w:val="22"/>
                <w:color w:val="auto"/>
              </w:rPr>
            </w:pPr>
          </w:p>
        </w:tc>
        <w:tc>
          <w:tcPr>
            <w:tcW w:w="140" w:type="dxa"/>
            <w:vAlign w:val="bottom"/>
            <w:tcBorders>
              <w:top w:val="single" w:sz="8" w:color="DAE8F0"/>
              <w:left w:val="single" w:sz="8" w:color="DAE8F0"/>
              <w:bottom w:val="single" w:sz="8" w:color="91BBD3"/>
              <w:right w:val="single" w:sz="8" w:color="91BBD3"/>
            </w:tcBorders>
            <w:shd w:val="clear" w:color="auto" w:fill="DAE8F0"/>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10.30</w:t>
            </w:r>
          </w:p>
        </w:tc>
        <w:tc>
          <w:tcPr>
            <w:tcW w:w="100" w:type="dxa"/>
            <w:vAlign w:val="bottom"/>
          </w:tcPr>
          <w:p>
            <w:pPr>
              <w:spacing w:after="0"/>
              <w:rPr>
                <w:sz w:val="14"/>
                <w:szCs w:val="14"/>
                <w:color w:val="auto"/>
              </w:rPr>
            </w:pPr>
          </w:p>
        </w:tc>
        <w:tc>
          <w:tcPr>
            <w:tcW w:w="8980" w:type="dxa"/>
            <w:vAlign w:val="bottom"/>
            <w:tcBorders>
              <w:bottom w:val="single" w:sz="8" w:color="0563C1"/>
            </w:tcBorders>
            <w:gridSpan w:val="10"/>
          </w:tcPr>
          <w:p>
            <w:pPr>
              <w:spacing w:after="0" w:line="169" w:lineRule="exact"/>
              <w:rPr>
                <w:rFonts w:ascii="MS PGothic" w:cs="MS PGothic" w:eastAsia="MS PGothic" w:hAnsi="MS PGothic"/>
                <w:sz w:val="18"/>
                <w:szCs w:val="18"/>
                <w:color w:val="0563C1"/>
                <w:w w:val="97"/>
              </w:rPr>
            </w:pPr>
            <w:hyperlink r:id="rId768">
              <w:r>
                <w:rPr>
                  <w:rFonts w:ascii="MS PGothic" w:cs="MS PGothic" w:eastAsia="MS PGothic" w:hAnsi="MS PGothic"/>
                  <w:sz w:val="18"/>
                  <w:szCs w:val="18"/>
                  <w:color w:val="0563C1"/>
                  <w:w w:val="97"/>
                </w:rPr>
                <w:t>Ofer Leter, dated as of June 9, 2017, by and between Martn Marieta Materials, Inc. and James A. J. Nickolas (incorporated</w:t>
              </w:r>
            </w:hyperlink>
          </w:p>
        </w:tc>
        <w:tc>
          <w:tcPr>
            <w:tcW w:w="140" w:type="dxa"/>
            <w:vAlign w:val="bottom"/>
            <w:tcBorders>
              <w:right w:val="single" w:sz="8" w:color="91BBD3"/>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bottom w:val="single" w:sz="8" w:color="0563C1"/>
            </w:tcBorders>
            <w:gridSpan w:val="10"/>
          </w:tcPr>
          <w:p>
            <w:pPr>
              <w:spacing w:after="0"/>
              <w:rPr>
                <w:rFonts w:ascii="MS PGothic" w:cs="MS PGothic" w:eastAsia="MS PGothic" w:hAnsi="MS PGothic"/>
                <w:sz w:val="18"/>
                <w:szCs w:val="18"/>
                <w:color w:val="0563C1"/>
                <w:w w:val="95"/>
              </w:rPr>
            </w:pPr>
            <w:hyperlink r:id="rId768">
              <w:r>
                <w:rPr>
                  <w:rFonts w:ascii="MS PGothic" w:cs="MS PGothic" w:eastAsia="MS PGothic" w:hAnsi="MS PGothic"/>
                  <w:sz w:val="18"/>
                  <w:szCs w:val="18"/>
                  <w:color w:val="0563C1"/>
                  <w:w w:val="95"/>
                </w:rPr>
                <w:t>by reference to Exhibit 10.01 to the Martn Marieta Materials, Inc. Quarterly Report on Form 10‑Q for the quarter ended June</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rPr>
                <w:rFonts w:ascii="MS PGothic" w:cs="MS PGothic" w:eastAsia="MS PGothic" w:hAnsi="MS PGothic"/>
                <w:sz w:val="18"/>
                <w:szCs w:val="18"/>
                <w:color w:val="0563C1"/>
              </w:rPr>
            </w:pPr>
            <w:hyperlink r:id="rId768">
              <w:r>
                <w:rPr>
                  <w:rFonts w:ascii="MS PGothic" w:cs="MS PGothic" w:eastAsia="MS PGothic" w:hAnsi="MS PGothic"/>
                  <w:sz w:val="18"/>
                  <w:szCs w:val="18"/>
                  <w:color w:val="0563C1"/>
                </w:rPr>
                <w:t>30, 2018) (Commission File No. 1-12744)**</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66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1240" w:type="dxa"/>
            <w:vAlign w:val="bottom"/>
            <w:tcBorders>
              <w:top w:val="single" w:sz="8" w:color="0563C1"/>
              <w:bottom w:val="single" w:sz="8" w:color="91BBD3"/>
            </w:tcBorders>
          </w:tcPr>
          <w:p>
            <w:pPr>
              <w:spacing w:after="0"/>
              <w:rPr>
                <w:sz w:val="4"/>
                <w:szCs w:val="4"/>
                <w:color w:val="auto"/>
              </w:rPr>
            </w:pPr>
          </w:p>
        </w:tc>
        <w:tc>
          <w:tcPr>
            <w:tcW w:w="720" w:type="dxa"/>
            <w:vAlign w:val="bottom"/>
            <w:tcBorders>
              <w:top w:val="single" w:sz="8" w:color="0563C1"/>
              <w:bottom w:val="single" w:sz="8" w:color="91BBD3"/>
            </w:tcBorders>
          </w:tcPr>
          <w:p>
            <w:pPr>
              <w:spacing w:after="0"/>
              <w:rPr>
                <w:sz w:val="4"/>
                <w:szCs w:val="4"/>
                <w:color w:val="auto"/>
              </w:rPr>
            </w:pPr>
          </w:p>
        </w:tc>
        <w:tc>
          <w:tcPr>
            <w:tcW w:w="1000" w:type="dxa"/>
            <w:vAlign w:val="bottom"/>
            <w:tcBorders>
              <w:bottom w:val="single" w:sz="8" w:color="91BBD3"/>
            </w:tcBorders>
          </w:tcPr>
          <w:p>
            <w:pPr>
              <w:spacing w:after="0"/>
              <w:rPr>
                <w:sz w:val="4"/>
                <w:szCs w:val="4"/>
                <w:color w:val="auto"/>
              </w:rPr>
            </w:pPr>
          </w:p>
        </w:tc>
        <w:tc>
          <w:tcPr>
            <w:tcW w:w="620" w:type="dxa"/>
            <w:vAlign w:val="bottom"/>
            <w:tcBorders>
              <w:bottom w:val="single" w:sz="8" w:color="91BBD3"/>
            </w:tcBorders>
          </w:tcPr>
          <w:p>
            <w:pPr>
              <w:spacing w:after="0"/>
              <w:rPr>
                <w:sz w:val="4"/>
                <w:szCs w:val="4"/>
                <w:color w:val="auto"/>
              </w:rPr>
            </w:pPr>
          </w:p>
        </w:tc>
        <w:tc>
          <w:tcPr>
            <w:tcW w:w="60" w:type="dxa"/>
            <w:vAlign w:val="bottom"/>
            <w:tcBorders>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740" w:type="dxa"/>
            <w:vAlign w:val="bottom"/>
            <w:tcBorders>
              <w:bottom w:val="single" w:sz="8" w:color="91BBD3"/>
            </w:tcBorders>
          </w:tcPr>
          <w:p>
            <w:pPr>
              <w:spacing w:after="0"/>
              <w:rPr>
                <w:sz w:val="4"/>
                <w:szCs w:val="4"/>
                <w:color w:val="auto"/>
              </w:rPr>
            </w:pPr>
          </w:p>
        </w:tc>
        <w:tc>
          <w:tcPr>
            <w:tcW w:w="228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right w:val="single" w:sz="8" w:color="91BBD3"/>
            </w:tcBorders>
            <w:shd w:val="clear" w:color="auto" w:fill="DAE8F0"/>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10.31</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1"/>
            <w:shd w:val="clear" w:color="auto" w:fill="DAE8F0"/>
          </w:tcPr>
          <w:p>
            <w:pPr>
              <w:spacing w:after="0" w:line="169" w:lineRule="exact"/>
              <w:rPr>
                <w:rFonts w:ascii="MS PGothic" w:cs="MS PGothic" w:eastAsia="MS PGothic" w:hAnsi="MS PGothic"/>
                <w:sz w:val="18"/>
                <w:szCs w:val="18"/>
                <w:color w:val="0563C1"/>
              </w:rPr>
            </w:pPr>
            <w:hyperlink r:id="rId769">
              <w:r>
                <w:rPr>
                  <w:rFonts w:ascii="MS PGothic" w:cs="MS PGothic" w:eastAsia="MS PGothic" w:hAnsi="MS PGothic"/>
                  <w:sz w:val="18"/>
                  <w:szCs w:val="18"/>
                  <w:color w:val="0563C1"/>
                </w:rPr>
                <w:t>Form of First Amendment to the Martn Marieta Materials, Inc. Third Amended and Restated Employment Protecton</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4060" w:type="dxa"/>
            <w:vAlign w:val="bottom"/>
            <w:gridSpan w:val="5"/>
            <w:shd w:val="clear" w:color="auto" w:fill="0563C1"/>
          </w:tcPr>
          <w:p>
            <w:pPr>
              <w:spacing w:after="0" w:line="20" w:lineRule="exact"/>
              <w:rPr>
                <w:sz w:val="1"/>
                <w:szCs w:val="1"/>
                <w:color w:val="auto"/>
              </w:rPr>
            </w:pPr>
          </w:p>
        </w:tc>
        <w:tc>
          <w:tcPr>
            <w:tcW w:w="680" w:type="dxa"/>
            <w:vAlign w:val="bottom"/>
            <w:gridSpan w:val="2"/>
            <w:shd w:val="clear" w:color="auto" w:fill="0563C1"/>
          </w:tcPr>
          <w:p>
            <w:pPr>
              <w:spacing w:after="0" w:line="20" w:lineRule="exact"/>
              <w:rPr>
                <w:sz w:val="1"/>
                <w:szCs w:val="1"/>
                <w:color w:val="auto"/>
              </w:rPr>
            </w:pPr>
          </w:p>
        </w:tc>
        <w:tc>
          <w:tcPr>
            <w:tcW w:w="4240" w:type="dxa"/>
            <w:vAlign w:val="bottom"/>
            <w:gridSpan w:val="3"/>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bottom w:val="single" w:sz="8" w:color="DAE8F0"/>
              <w:right w:val="single" w:sz="8" w:color="91BBD3"/>
            </w:tcBorders>
            <w:shd w:val="clear" w:color="auto" w:fill="DAE8F0"/>
          </w:tcPr>
          <w:p>
            <w:pPr>
              <w:spacing w:after="0"/>
              <w:rPr>
                <w:sz w:val="17"/>
                <w:szCs w:val="17"/>
                <w:color w:val="auto"/>
              </w:rPr>
            </w:pPr>
          </w:p>
        </w:tc>
        <w:tc>
          <w:tcPr>
            <w:tcW w:w="100" w:type="dxa"/>
            <w:vAlign w:val="bottom"/>
            <w:tcBorders>
              <w:bottom w:val="single" w:sz="8" w:color="DAE8F0"/>
            </w:tcBorders>
            <w:shd w:val="clear" w:color="auto" w:fill="DAE8F0"/>
          </w:tcPr>
          <w:p>
            <w:pPr>
              <w:spacing w:after="0"/>
              <w:rPr>
                <w:sz w:val="17"/>
                <w:szCs w:val="17"/>
                <w:color w:val="auto"/>
              </w:rPr>
            </w:pPr>
          </w:p>
        </w:tc>
        <w:tc>
          <w:tcPr>
            <w:tcW w:w="8980" w:type="dxa"/>
            <w:vAlign w:val="bottom"/>
            <w:tcBorders>
              <w:bottom w:val="single" w:sz="8" w:color="0563C1"/>
            </w:tcBorders>
            <w:gridSpan w:val="10"/>
            <w:shd w:val="clear" w:color="auto" w:fill="DAE8F0"/>
          </w:tcPr>
          <w:p>
            <w:pPr>
              <w:spacing w:after="0"/>
              <w:rPr>
                <w:rFonts w:ascii="MS PGothic" w:cs="MS PGothic" w:eastAsia="MS PGothic" w:hAnsi="MS PGothic"/>
                <w:sz w:val="18"/>
                <w:szCs w:val="18"/>
                <w:color w:val="0563C1"/>
                <w:w w:val="96"/>
              </w:rPr>
            </w:pPr>
            <w:hyperlink r:id="rId769">
              <w:r>
                <w:rPr>
                  <w:rFonts w:ascii="MS PGothic" w:cs="MS PGothic" w:eastAsia="MS PGothic" w:hAnsi="MS PGothic"/>
                  <w:sz w:val="18"/>
                  <w:szCs w:val="18"/>
                  <w:color w:val="0563C1"/>
                  <w:w w:val="96"/>
                </w:rPr>
                <w:t>Agreement (incorporated by reference to Exhibit 10.1 to the Martn Marieta Materials, Inc. Current Report on Form 8‑K, fled</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0" w:type="dxa"/>
            <w:vAlign w:val="bottom"/>
            <w:tcBorders>
              <w:right w:val="single" w:sz="8" w:color="91BBD3"/>
            </w:tcBorders>
          </w:tcPr>
          <w:p>
            <w:pPr>
              <w:spacing w:after="0"/>
              <w:rPr>
                <w:sz w:val="21"/>
                <w:szCs w:val="21"/>
                <w:color w:val="auto"/>
              </w:rPr>
            </w:pPr>
          </w:p>
        </w:tc>
        <w:tc>
          <w:tcPr>
            <w:tcW w:w="1660" w:type="dxa"/>
            <w:vAlign w:val="bottom"/>
            <w:tcBorders>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rPr>
            </w:pPr>
            <w:hyperlink r:id="rId769">
              <w:r>
                <w:rPr>
                  <w:rFonts w:ascii="MS PGothic" w:cs="MS PGothic" w:eastAsia="MS PGothic" w:hAnsi="MS PGothic"/>
                  <w:sz w:val="18"/>
                  <w:szCs w:val="18"/>
                  <w:color w:val="0563C1"/>
                </w:rPr>
                <w:t>on December 18, 2018) (Commission File No. 1-12744)**</w:t>
              </w:r>
            </w:hyperlink>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vMerge w:val="restart"/>
          </w:tcPr>
          <w:p>
            <w:pPr>
              <w:spacing w:after="0" w:line="20" w:lineRule="exact"/>
              <w:rPr>
                <w:sz w:val="1"/>
                <w:szCs w:val="1"/>
                <w:color w:val="auto"/>
              </w:rPr>
            </w:pPr>
          </w:p>
        </w:tc>
        <w:tc>
          <w:tcPr>
            <w:tcW w:w="166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660" w:type="dxa"/>
            <w:vAlign w:val="bottom"/>
            <w:tcBorders>
              <w:top w:val="single" w:sz="8" w:color="0563C1"/>
            </w:tcBorders>
            <w:shd w:val="clear" w:color="auto" w:fill="91BBD3"/>
          </w:tcPr>
          <w:p>
            <w:pPr>
              <w:spacing w:after="0" w:line="20" w:lineRule="exact"/>
              <w:rPr>
                <w:sz w:val="1"/>
                <w:szCs w:val="1"/>
                <w:color w:val="auto"/>
              </w:rPr>
            </w:pPr>
          </w:p>
        </w:tc>
        <w:tc>
          <w:tcPr>
            <w:tcW w:w="440" w:type="dxa"/>
            <w:vAlign w:val="bottom"/>
            <w:tcBorders>
              <w:top w:val="single" w:sz="8" w:color="0563C1"/>
            </w:tcBorders>
            <w:shd w:val="clear" w:color="auto" w:fill="91BBD3"/>
          </w:tcPr>
          <w:p>
            <w:pPr>
              <w:spacing w:after="0" w:line="20" w:lineRule="exact"/>
              <w:rPr>
                <w:sz w:val="1"/>
                <w:szCs w:val="1"/>
                <w:color w:val="auto"/>
              </w:rPr>
            </w:pPr>
          </w:p>
        </w:tc>
        <w:tc>
          <w:tcPr>
            <w:tcW w:w="1240" w:type="dxa"/>
            <w:vAlign w:val="bottom"/>
            <w:tcBorders>
              <w:top w:val="single" w:sz="8" w:color="0563C1"/>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100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DAE8F0"/>
            </w:tcBorders>
            <w:shd w:val="clear" w:color="auto" w:fill="91BBD3"/>
          </w:tcPr>
          <w:p>
            <w:pPr>
              <w:spacing w:after="0" w:line="20" w:lineRule="exact"/>
              <w:rPr>
                <w:sz w:val="1"/>
                <w:szCs w:val="1"/>
                <w:color w:val="auto"/>
              </w:rPr>
            </w:pPr>
          </w:p>
        </w:tc>
        <w:tc>
          <w:tcPr>
            <w:tcW w:w="60" w:type="dxa"/>
            <w:vAlign w:val="bottom"/>
            <w:tcBorders>
              <w:top w:val="single" w:sz="8" w:color="DAE8F0"/>
            </w:tcBorders>
            <w:shd w:val="clear" w:color="auto" w:fill="91BBD3"/>
          </w:tcPr>
          <w:p>
            <w:pPr>
              <w:spacing w:after="0" w:line="20" w:lineRule="exact"/>
              <w:rPr>
                <w:sz w:val="1"/>
                <w:szCs w:val="1"/>
                <w:color w:val="auto"/>
              </w:rPr>
            </w:pPr>
          </w:p>
        </w:tc>
        <w:tc>
          <w:tcPr>
            <w:tcW w:w="1220" w:type="dxa"/>
            <w:vAlign w:val="bottom"/>
            <w:tcBorders>
              <w:top w:val="single" w:sz="8" w:color="DAE8F0"/>
            </w:tcBorders>
            <w:shd w:val="clear" w:color="auto" w:fill="91BBD3"/>
          </w:tcPr>
          <w:p>
            <w:pPr>
              <w:spacing w:after="0" w:line="20" w:lineRule="exact"/>
              <w:rPr>
                <w:sz w:val="1"/>
                <w:szCs w:val="1"/>
                <w:color w:val="auto"/>
              </w:rPr>
            </w:pPr>
          </w:p>
        </w:tc>
        <w:tc>
          <w:tcPr>
            <w:tcW w:w="740" w:type="dxa"/>
            <w:vAlign w:val="bottom"/>
            <w:tcBorders>
              <w:top w:val="single" w:sz="8" w:color="DAE8F0"/>
            </w:tcBorders>
            <w:shd w:val="clear" w:color="auto" w:fill="91BBD3"/>
          </w:tcPr>
          <w:p>
            <w:pPr>
              <w:spacing w:after="0" w:line="20" w:lineRule="exact"/>
              <w:rPr>
                <w:sz w:val="1"/>
                <w:szCs w:val="1"/>
                <w:color w:val="auto"/>
              </w:rPr>
            </w:pPr>
          </w:p>
        </w:tc>
        <w:tc>
          <w:tcPr>
            <w:tcW w:w="2280" w:type="dxa"/>
            <w:vAlign w:val="bottom"/>
            <w:tcBorders>
              <w:top w:val="single" w:sz="8" w:color="DAE8F0"/>
            </w:tcBorders>
            <w:shd w:val="clear" w:color="auto" w:fill="91BBD3"/>
          </w:tcPr>
          <w:p>
            <w:pPr>
              <w:spacing w:after="0" w:line="20" w:lineRule="exact"/>
              <w:rPr>
                <w:sz w:val="1"/>
                <w:szCs w:val="1"/>
                <w:color w:val="auto"/>
              </w:rPr>
            </w:pPr>
          </w:p>
        </w:tc>
        <w:tc>
          <w:tcPr>
            <w:tcW w:w="14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right w:val="single" w:sz="8" w:color="91BBD3"/>
            </w:tcBorders>
            <w:vMerge w:val="continue"/>
          </w:tcPr>
          <w:p>
            <w:pPr>
              <w:spacing w:after="0"/>
              <w:rPr>
                <w:sz w:val="14"/>
                <w:szCs w:val="14"/>
                <w:color w:val="auto"/>
              </w:rPr>
            </w:pPr>
          </w:p>
        </w:tc>
        <w:tc>
          <w:tcPr>
            <w:tcW w:w="1660" w:type="dxa"/>
            <w:vAlign w:val="bottom"/>
            <w:tcBorders>
              <w:right w:val="single" w:sz="8" w:color="91BBD3"/>
            </w:tcBorders>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10.32</w:t>
            </w:r>
          </w:p>
        </w:tc>
        <w:tc>
          <w:tcPr>
            <w:tcW w:w="100" w:type="dxa"/>
            <w:vAlign w:val="bottom"/>
          </w:tcPr>
          <w:p>
            <w:pPr>
              <w:spacing w:after="0"/>
              <w:rPr>
                <w:sz w:val="14"/>
                <w:szCs w:val="14"/>
                <w:color w:val="auto"/>
              </w:rPr>
            </w:pPr>
          </w:p>
        </w:tc>
        <w:tc>
          <w:tcPr>
            <w:tcW w:w="9120" w:type="dxa"/>
            <w:vAlign w:val="bottom"/>
            <w:tcBorders>
              <w:right w:val="single" w:sz="8" w:color="91BBD3"/>
            </w:tcBorders>
            <w:gridSpan w:val="11"/>
          </w:tcPr>
          <w:p>
            <w:pPr>
              <w:spacing w:after="0" w:line="169" w:lineRule="exact"/>
              <w:rPr>
                <w:rFonts w:ascii="MS PGothic" w:cs="MS PGothic" w:eastAsia="MS PGothic" w:hAnsi="MS PGothic"/>
                <w:sz w:val="18"/>
                <w:szCs w:val="18"/>
                <w:color w:val="0563C1"/>
                <w:w w:val="95"/>
              </w:rPr>
            </w:pPr>
            <w:hyperlink r:id="rId770">
              <w:r>
                <w:rPr>
                  <w:rFonts w:ascii="MS PGothic" w:cs="MS PGothic" w:eastAsia="MS PGothic" w:hAnsi="MS PGothic"/>
                  <w:sz w:val="18"/>
                  <w:szCs w:val="18"/>
                  <w:color w:val="0563C1"/>
                  <w:w w:val="95"/>
                </w:rPr>
                <w:t>Form of Restricted Stock Unit Award Agreement under the Martn Marieta Materials, Inc. Amended and Restated Stock-Based</w:t>
              </w:r>
            </w:hyperlink>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91BBD3"/>
            </w:tcBorders>
          </w:tcPr>
          <w:p>
            <w:pPr>
              <w:spacing w:after="0" w:line="20" w:lineRule="exact"/>
              <w:rPr>
                <w:sz w:val="1"/>
                <w:szCs w:val="1"/>
                <w:color w:val="auto"/>
              </w:rPr>
            </w:pPr>
          </w:p>
        </w:tc>
        <w:tc>
          <w:tcPr>
            <w:tcW w:w="1660" w:type="dxa"/>
            <w:vAlign w:val="bottom"/>
            <w:tcBorders>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40" w:type="dxa"/>
            <w:vAlign w:val="bottom"/>
            <w:gridSpan w:val="7"/>
            <w:shd w:val="clear" w:color="auto" w:fill="0563C1"/>
          </w:tcPr>
          <w:p>
            <w:pPr>
              <w:spacing w:after="0" w:line="20" w:lineRule="exact"/>
              <w:rPr>
                <w:sz w:val="1"/>
                <w:szCs w:val="1"/>
                <w:color w:val="auto"/>
              </w:rPr>
            </w:pPr>
          </w:p>
        </w:tc>
        <w:tc>
          <w:tcPr>
            <w:tcW w:w="4240" w:type="dxa"/>
            <w:vAlign w:val="bottom"/>
            <w:gridSpan w:val="3"/>
            <w:shd w:val="clear" w:color="auto" w:fill="0563C1"/>
          </w:tcPr>
          <w:p>
            <w:pPr>
              <w:spacing w:after="0" w:line="20" w:lineRule="exact"/>
              <w:rPr>
                <w:sz w:val="1"/>
                <w:szCs w:val="1"/>
                <w:color w:val="auto"/>
              </w:rPr>
            </w:pPr>
          </w:p>
        </w:tc>
        <w:tc>
          <w:tcPr>
            <w:tcW w:w="14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1"/>
          </w:tcPr>
          <w:p>
            <w:pPr>
              <w:spacing w:after="0"/>
              <w:rPr>
                <w:rFonts w:ascii="MS PGothic" w:cs="MS PGothic" w:eastAsia="MS PGothic" w:hAnsi="MS PGothic"/>
                <w:sz w:val="18"/>
                <w:szCs w:val="18"/>
                <w:color w:val="0563C1"/>
                <w:w w:val="97"/>
              </w:rPr>
            </w:pPr>
            <w:hyperlink r:id="rId770">
              <w:r>
                <w:rPr>
                  <w:rFonts w:ascii="MS PGothic" w:cs="MS PGothic" w:eastAsia="MS PGothic" w:hAnsi="MS PGothic"/>
                  <w:sz w:val="18"/>
                  <w:szCs w:val="18"/>
                  <w:color w:val="0563C1"/>
                  <w:w w:val="97"/>
                </w:rPr>
                <w:t>Award Plan (incorporated by reference to Exhibit 10.2 to the Martn Marieta Materials, Inc. Current Report on Form 8‑K, fled</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top w:val="single" w:sz="8" w:color="0563C1"/>
            </w:tcBorders>
            <w:gridSpan w:val="10"/>
          </w:tcPr>
          <w:p>
            <w:pPr>
              <w:spacing w:after="0"/>
              <w:rPr>
                <w:rFonts w:ascii="MS PGothic" w:cs="MS PGothic" w:eastAsia="MS PGothic" w:hAnsi="MS PGothic"/>
                <w:sz w:val="18"/>
                <w:szCs w:val="18"/>
                <w:color w:val="0563C1"/>
              </w:rPr>
            </w:pPr>
            <w:hyperlink r:id="rId770">
              <w:r>
                <w:rPr>
                  <w:rFonts w:ascii="MS PGothic" w:cs="MS PGothic" w:eastAsia="MS PGothic" w:hAnsi="MS PGothic"/>
                  <w:sz w:val="18"/>
                  <w:szCs w:val="18"/>
                  <w:color w:val="0563C1"/>
                </w:rPr>
                <w:t>on December 18, 2018) (Commission File No. 1-12744)**</w:t>
              </w:r>
            </w:hyperlink>
          </w:p>
        </w:tc>
        <w:tc>
          <w:tcPr>
            <w:tcW w:w="14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0" w:type="dxa"/>
            <w:vAlign w:val="bottom"/>
            <w:tcBorders>
              <w:right w:val="single" w:sz="8" w:color="91BBD3"/>
            </w:tcBorders>
          </w:tcPr>
          <w:p>
            <w:pPr>
              <w:spacing w:after="0"/>
              <w:rPr>
                <w:sz w:val="4"/>
                <w:szCs w:val="4"/>
                <w:color w:val="auto"/>
              </w:rPr>
            </w:pPr>
          </w:p>
        </w:tc>
        <w:tc>
          <w:tcPr>
            <w:tcW w:w="1660" w:type="dxa"/>
            <w:vAlign w:val="bottom"/>
            <w:tcBorders>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660" w:type="dxa"/>
            <w:vAlign w:val="bottom"/>
            <w:tcBorders>
              <w:top w:val="single" w:sz="8" w:color="0563C1"/>
              <w:bottom w:val="single" w:sz="8" w:color="91BBD3"/>
            </w:tcBorders>
          </w:tcPr>
          <w:p>
            <w:pPr>
              <w:spacing w:after="0"/>
              <w:rPr>
                <w:sz w:val="4"/>
                <w:szCs w:val="4"/>
                <w:color w:val="auto"/>
              </w:rPr>
            </w:pPr>
          </w:p>
        </w:tc>
        <w:tc>
          <w:tcPr>
            <w:tcW w:w="440" w:type="dxa"/>
            <w:vAlign w:val="bottom"/>
            <w:tcBorders>
              <w:top w:val="single" w:sz="8" w:color="0563C1"/>
              <w:bottom w:val="single" w:sz="8" w:color="91BBD3"/>
            </w:tcBorders>
          </w:tcPr>
          <w:p>
            <w:pPr>
              <w:spacing w:after="0"/>
              <w:rPr>
                <w:sz w:val="4"/>
                <w:szCs w:val="4"/>
                <w:color w:val="auto"/>
              </w:rPr>
            </w:pPr>
          </w:p>
        </w:tc>
        <w:tc>
          <w:tcPr>
            <w:tcW w:w="1240" w:type="dxa"/>
            <w:vAlign w:val="bottom"/>
            <w:tcBorders>
              <w:top w:val="single" w:sz="8" w:color="0563C1"/>
              <w:bottom w:val="single" w:sz="8" w:color="91BBD3"/>
            </w:tcBorders>
          </w:tcPr>
          <w:p>
            <w:pPr>
              <w:spacing w:after="0"/>
              <w:rPr>
                <w:sz w:val="4"/>
                <w:szCs w:val="4"/>
                <w:color w:val="auto"/>
              </w:rPr>
            </w:pPr>
          </w:p>
        </w:tc>
        <w:tc>
          <w:tcPr>
            <w:tcW w:w="720" w:type="dxa"/>
            <w:vAlign w:val="bottom"/>
            <w:tcBorders>
              <w:top w:val="single" w:sz="8" w:color="0563C1"/>
              <w:bottom w:val="single" w:sz="8" w:color="91BBD3"/>
            </w:tcBorders>
          </w:tcPr>
          <w:p>
            <w:pPr>
              <w:spacing w:after="0"/>
              <w:rPr>
                <w:sz w:val="4"/>
                <w:szCs w:val="4"/>
                <w:color w:val="auto"/>
              </w:rPr>
            </w:pPr>
          </w:p>
        </w:tc>
        <w:tc>
          <w:tcPr>
            <w:tcW w:w="1000" w:type="dxa"/>
            <w:vAlign w:val="bottom"/>
            <w:tcBorders>
              <w:top w:val="single" w:sz="8" w:color="0563C1"/>
              <w:bottom w:val="single" w:sz="8" w:color="91BBD3"/>
            </w:tcBorders>
          </w:tcPr>
          <w:p>
            <w:pPr>
              <w:spacing w:after="0"/>
              <w:rPr>
                <w:sz w:val="4"/>
                <w:szCs w:val="4"/>
                <w:color w:val="auto"/>
              </w:rPr>
            </w:pPr>
          </w:p>
        </w:tc>
        <w:tc>
          <w:tcPr>
            <w:tcW w:w="620" w:type="dxa"/>
            <w:vAlign w:val="bottom"/>
            <w:tcBorders>
              <w:bottom w:val="single" w:sz="8" w:color="91BBD3"/>
            </w:tcBorders>
          </w:tcPr>
          <w:p>
            <w:pPr>
              <w:spacing w:after="0"/>
              <w:rPr>
                <w:sz w:val="4"/>
                <w:szCs w:val="4"/>
                <w:color w:val="auto"/>
              </w:rPr>
            </w:pPr>
          </w:p>
        </w:tc>
        <w:tc>
          <w:tcPr>
            <w:tcW w:w="60" w:type="dxa"/>
            <w:vAlign w:val="bottom"/>
            <w:tcBorders>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740" w:type="dxa"/>
            <w:vAlign w:val="bottom"/>
            <w:tcBorders>
              <w:bottom w:val="single" w:sz="8" w:color="91BBD3"/>
            </w:tcBorders>
          </w:tcPr>
          <w:p>
            <w:pPr>
              <w:spacing w:after="0"/>
              <w:rPr>
                <w:sz w:val="4"/>
                <w:szCs w:val="4"/>
                <w:color w:val="auto"/>
              </w:rPr>
            </w:pPr>
          </w:p>
        </w:tc>
        <w:tc>
          <w:tcPr>
            <w:tcW w:w="2280" w:type="dxa"/>
            <w:vAlign w:val="bottom"/>
            <w:tcBorders>
              <w:bottom w:val="single" w:sz="8" w:color="91BBD3"/>
            </w:tcBorders>
          </w:tcPr>
          <w:p>
            <w:pPr>
              <w:spacing w:after="0"/>
              <w:rPr>
                <w:sz w:val="4"/>
                <w:szCs w:val="4"/>
                <w:color w:val="auto"/>
              </w:rPr>
            </w:pPr>
          </w:p>
        </w:tc>
        <w:tc>
          <w:tcPr>
            <w:tcW w:w="14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0" w:type="dxa"/>
            <w:vAlign w:val="bottom"/>
            <w:tcBorders>
              <w:right w:val="single" w:sz="8" w:color="91BBD3"/>
            </w:tcBorders>
          </w:tcPr>
          <w:p>
            <w:pPr>
              <w:spacing w:after="0"/>
              <w:rPr>
                <w:sz w:val="14"/>
                <w:szCs w:val="14"/>
                <w:color w:val="auto"/>
              </w:rPr>
            </w:pPr>
          </w:p>
        </w:tc>
        <w:tc>
          <w:tcPr>
            <w:tcW w:w="1660" w:type="dxa"/>
            <w:vAlign w:val="bottom"/>
            <w:tcBorders>
              <w:bottom w:val="single" w:sz="8" w:color="DAE8F0"/>
              <w:right w:val="single" w:sz="8" w:color="91BBD3"/>
            </w:tcBorders>
            <w:shd w:val="clear" w:color="auto" w:fill="DAE8F0"/>
          </w:tcPr>
          <w:p>
            <w:pPr>
              <w:jc w:val="right"/>
              <w:ind w:right="1071"/>
              <w:spacing w:after="0" w:line="169" w:lineRule="exact"/>
              <w:rPr>
                <w:sz w:val="20"/>
                <w:szCs w:val="20"/>
                <w:color w:val="auto"/>
              </w:rPr>
            </w:pPr>
            <w:r>
              <w:rPr>
                <w:rFonts w:ascii="Calibri" w:cs="Calibri" w:eastAsia="Calibri" w:hAnsi="Calibri"/>
                <w:sz w:val="18"/>
                <w:szCs w:val="18"/>
                <w:b w:val="1"/>
                <w:bCs w:val="1"/>
                <w:color w:val="auto"/>
              </w:rPr>
              <w:t>10.33</w:t>
            </w:r>
          </w:p>
        </w:tc>
        <w:tc>
          <w:tcPr>
            <w:tcW w:w="100" w:type="dxa"/>
            <w:vAlign w:val="bottom"/>
            <w:tcBorders>
              <w:bottom w:val="single" w:sz="8" w:color="DAE8F0"/>
            </w:tcBorders>
            <w:shd w:val="clear" w:color="auto" w:fill="DAE8F0"/>
          </w:tcPr>
          <w:p>
            <w:pPr>
              <w:spacing w:after="0"/>
              <w:rPr>
                <w:sz w:val="14"/>
                <w:szCs w:val="14"/>
                <w:color w:val="auto"/>
              </w:rPr>
            </w:pPr>
          </w:p>
        </w:tc>
        <w:tc>
          <w:tcPr>
            <w:tcW w:w="8980" w:type="dxa"/>
            <w:vAlign w:val="bottom"/>
            <w:tcBorders>
              <w:bottom w:val="single" w:sz="8" w:color="0563C1"/>
            </w:tcBorders>
            <w:gridSpan w:val="10"/>
            <w:shd w:val="clear" w:color="auto" w:fill="DAE8F0"/>
          </w:tcPr>
          <w:p>
            <w:pPr>
              <w:spacing w:after="0" w:line="169" w:lineRule="exact"/>
              <w:rPr>
                <w:rFonts w:ascii="MS PGothic" w:cs="MS PGothic" w:eastAsia="MS PGothic" w:hAnsi="MS PGothic"/>
                <w:sz w:val="18"/>
                <w:szCs w:val="18"/>
                <w:color w:val="0563C1"/>
                <w:w w:val="97"/>
              </w:rPr>
            </w:pPr>
            <w:hyperlink r:id="rId771">
              <w:r>
                <w:rPr>
                  <w:rFonts w:ascii="MS PGothic" w:cs="MS PGothic" w:eastAsia="MS PGothic" w:hAnsi="MS PGothic"/>
                  <w:sz w:val="18"/>
                  <w:szCs w:val="18"/>
                  <w:color w:val="0563C1"/>
                  <w:w w:val="97"/>
                </w:rPr>
                <w:t>Form of Performance Share Unit Award Agreement under the Martn Marieta Materials, Inc. Amended and Restated Stock-</w:t>
              </w:r>
            </w:hyperlink>
          </w:p>
        </w:tc>
        <w:tc>
          <w:tcPr>
            <w:tcW w:w="140" w:type="dxa"/>
            <w:vAlign w:val="bottom"/>
            <w:tcBorders>
              <w:left w:val="single" w:sz="8" w:color="DAE8F0"/>
              <w:bottom w:val="single" w:sz="8" w:color="DAE8F0"/>
              <w:right w:val="single" w:sz="8" w:color="91BBD3"/>
            </w:tcBorders>
            <w:shd w:val="clear" w:color="auto" w:fill="DAE8F0"/>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Borders>
              <w:right w:val="single" w:sz="8" w:color="91BBD3"/>
            </w:tcBorders>
          </w:tcPr>
          <w:p>
            <w:pPr>
              <w:spacing w:after="0"/>
              <w:rPr>
                <w:sz w:val="17"/>
                <w:szCs w:val="17"/>
                <w:color w:val="auto"/>
              </w:rPr>
            </w:pPr>
          </w:p>
        </w:tc>
        <w:tc>
          <w:tcPr>
            <w:tcW w:w="1660" w:type="dxa"/>
            <w:vAlign w:val="bottom"/>
            <w:tcBorders>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1"/>
            <w:shd w:val="clear" w:color="auto" w:fill="DAE8F0"/>
          </w:tcPr>
          <w:p>
            <w:pPr>
              <w:spacing w:after="0"/>
              <w:rPr>
                <w:rFonts w:ascii="MS PGothic" w:cs="MS PGothic" w:eastAsia="MS PGothic" w:hAnsi="MS PGothic"/>
                <w:sz w:val="18"/>
                <w:szCs w:val="18"/>
                <w:color w:val="0563C1"/>
                <w:w w:val="99"/>
              </w:rPr>
            </w:pPr>
            <w:hyperlink r:id="rId771">
              <w:r>
                <w:rPr>
                  <w:rFonts w:ascii="MS PGothic" w:cs="MS PGothic" w:eastAsia="MS PGothic" w:hAnsi="MS PGothic"/>
                  <w:sz w:val="18"/>
                  <w:szCs w:val="18"/>
                  <w:color w:val="0563C1"/>
                  <w:w w:val="99"/>
                </w:rPr>
                <w:t>Based Award Plan (incorporated by reference to Exhibit 10.3 to the Martn Marieta Materials, Inc. Current Report on Form</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0" w:type="dxa"/>
            <w:vAlign w:val="bottom"/>
            <w:tcBorders>
              <w:right w:val="single" w:sz="8" w:color="91BBD3"/>
            </w:tcBorders>
          </w:tcPr>
          <w:p>
            <w:pPr>
              <w:spacing w:after="0"/>
              <w:rPr>
                <w:sz w:val="22"/>
                <w:szCs w:val="22"/>
                <w:color w:val="auto"/>
              </w:rPr>
            </w:pPr>
          </w:p>
        </w:tc>
        <w:tc>
          <w:tcPr>
            <w:tcW w:w="1660" w:type="dxa"/>
            <w:vAlign w:val="bottom"/>
            <w:tcBorders>
              <w:top w:val="single" w:sz="8" w:color="DAE8F0"/>
              <w:bottom w:val="single" w:sz="8" w:color="91BBD3"/>
              <w:right w:val="single" w:sz="8" w:color="91BBD3"/>
            </w:tcBorders>
            <w:shd w:val="clear" w:color="auto" w:fill="DAE8F0"/>
          </w:tcPr>
          <w:p>
            <w:pPr>
              <w:spacing w:after="0"/>
              <w:rPr>
                <w:sz w:val="22"/>
                <w:szCs w:val="22"/>
                <w:color w:val="auto"/>
              </w:rPr>
            </w:pPr>
          </w:p>
        </w:tc>
        <w:tc>
          <w:tcPr>
            <w:tcW w:w="100" w:type="dxa"/>
            <w:vAlign w:val="bottom"/>
            <w:tcBorders>
              <w:top w:val="single" w:sz="8" w:color="DAE8F0"/>
              <w:bottom w:val="single" w:sz="8" w:color="91BBD3"/>
            </w:tcBorders>
            <w:shd w:val="clear" w:color="auto" w:fill="DAE8F0"/>
          </w:tcPr>
          <w:p>
            <w:pPr>
              <w:spacing w:after="0"/>
              <w:rPr>
                <w:sz w:val="22"/>
                <w:szCs w:val="22"/>
                <w:color w:val="auto"/>
              </w:rPr>
            </w:pPr>
          </w:p>
        </w:tc>
        <w:tc>
          <w:tcPr>
            <w:tcW w:w="4740" w:type="dxa"/>
            <w:vAlign w:val="bottom"/>
            <w:tcBorders>
              <w:top w:val="single" w:sz="8" w:color="0563C1"/>
              <w:bottom w:val="single" w:sz="8" w:color="0563C1"/>
            </w:tcBorders>
            <w:gridSpan w:val="7"/>
            <w:shd w:val="clear" w:color="auto" w:fill="DAE8F0"/>
          </w:tcPr>
          <w:p>
            <w:pPr>
              <w:spacing w:after="0"/>
              <w:rPr>
                <w:rFonts w:ascii="MS PGothic" w:cs="MS PGothic" w:eastAsia="MS PGothic" w:hAnsi="MS PGothic"/>
                <w:sz w:val="18"/>
                <w:szCs w:val="18"/>
                <w:color w:val="0563C1"/>
                <w:w w:val="95"/>
              </w:rPr>
            </w:pPr>
            <w:hyperlink r:id="rId771">
              <w:r>
                <w:rPr>
                  <w:rFonts w:ascii="MS PGothic" w:cs="MS PGothic" w:eastAsia="MS PGothic" w:hAnsi="MS PGothic"/>
                  <w:sz w:val="18"/>
                  <w:szCs w:val="18"/>
                  <w:color w:val="0563C1"/>
                  <w:w w:val="95"/>
                </w:rPr>
                <w:t>8‑K, fled on December 18, 2018) (Commission File No. 1-12744)**</w:t>
              </w:r>
            </w:hyperlink>
          </w:p>
        </w:tc>
        <w:tc>
          <w:tcPr>
            <w:tcW w:w="4240" w:type="dxa"/>
            <w:vAlign w:val="bottom"/>
            <w:tcBorders>
              <w:top w:val="single" w:sz="8" w:color="0563C1"/>
              <w:bottom w:val="single" w:sz="8" w:color="91BBD3"/>
            </w:tcBorders>
            <w:gridSpan w:val="3"/>
            <w:shd w:val="clear" w:color="auto" w:fill="DAE8F0"/>
          </w:tcPr>
          <w:p>
            <w:pPr>
              <w:spacing w:after="0"/>
              <w:rPr>
                <w:sz w:val="22"/>
                <w:szCs w:val="22"/>
                <w:color w:val="auto"/>
              </w:rPr>
            </w:pPr>
          </w:p>
        </w:tc>
        <w:tc>
          <w:tcPr>
            <w:tcW w:w="140" w:type="dxa"/>
            <w:vAlign w:val="bottom"/>
            <w:tcBorders>
              <w:top w:val="single" w:sz="8" w:color="DAE8F0"/>
              <w:left w:val="single" w:sz="8" w:color="DAE8F0"/>
              <w:bottom w:val="single" w:sz="8" w:color="91BBD3"/>
              <w:right w:val="single" w:sz="8" w:color="91BBD3"/>
            </w:tcBorders>
            <w:shd w:val="clear" w:color="auto" w:fill="DAE8F0"/>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1860" w:type="dxa"/>
            <w:vAlign w:val="bottom"/>
            <w:gridSpan w:val="2"/>
          </w:tcPr>
          <w:p>
            <w:pPr>
              <w:jc w:val="right"/>
              <w:ind w:right="471"/>
              <w:spacing w:after="0"/>
              <w:rPr>
                <w:sz w:val="20"/>
                <w:szCs w:val="20"/>
                <w:color w:val="auto"/>
              </w:rPr>
            </w:pPr>
            <w:r>
              <w:rPr>
                <w:rFonts w:ascii="MS PGothic" w:cs="MS PGothic" w:eastAsia="MS PGothic" w:hAnsi="MS PGothic"/>
                <w:sz w:val="18"/>
                <w:szCs w:val="18"/>
                <w:color w:val="auto"/>
                <w:w w:val="97"/>
              </w:rPr>
              <w:t xml:space="preserve">Form 10-K </w:t>
            </w:r>
            <w:r>
              <w:rPr>
                <w:rFonts w:ascii="Arial" w:cs="Arial" w:eastAsia="Arial" w:hAnsi="Arial"/>
                <w:sz w:val="23"/>
                <w:szCs w:val="23"/>
                <w:color w:val="0070C0"/>
                <w:w w:val="97"/>
              </w:rPr>
              <w:t>♦</w:t>
            </w:r>
            <w:r>
              <w:rPr>
                <w:rFonts w:ascii="MS PGothic" w:cs="MS PGothic" w:eastAsia="MS PGothic" w:hAnsi="MS PGothic"/>
                <w:sz w:val="18"/>
                <w:szCs w:val="18"/>
                <w:color w:val="auto"/>
                <w:w w:val="97"/>
              </w:rPr>
              <w:t xml:space="preserve"> 118</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2"/>
        </w:trPr>
        <w:tc>
          <w:tcPr>
            <w:tcW w:w="2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-814070</wp:posOffset>
            </wp:positionV>
            <wp:extent cx="325755" cy="1974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74">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20" w:name="page121"/>
    <w:bookmarkEnd w:id="120"/>
    <w:tbl>
      <w:tblPr>
        <w:tblLayout w:type="fixed"/>
        <w:tblInd w:w="190" w:type="dxa"/>
        <w:tblCellMar>
          <w:top w:w="0" w:type="dxa"/>
          <w:left w:w="0" w:type="dxa"/>
          <w:bottom w:w="0" w:type="dxa"/>
          <w:right w:w="0" w:type="dxa"/>
        </w:tblCellMar>
      </w:tblPr>
      <w:tr>
        <w:trPr>
          <w:trHeight w:val="308"/>
        </w:trPr>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580" w:type="dxa"/>
            <w:vAlign w:val="bottom"/>
            <w:gridSpan w:val="8"/>
          </w:tcPr>
          <w:p>
            <w:pPr>
              <w:ind w:left="1060"/>
              <w:spacing w:after="0"/>
              <w:rPr>
                <w:sz w:val="20"/>
                <w:szCs w:val="20"/>
                <w:color w:val="auto"/>
              </w:rPr>
            </w:pPr>
            <w:r>
              <w:rPr>
                <w:rFonts w:ascii="MS PGothic" w:cs="MS PGothic" w:eastAsia="MS PGothic" w:hAnsi="MS PGothic"/>
                <w:sz w:val="18"/>
                <w:szCs w:val="18"/>
                <w:color w:val="auto"/>
                <w:w w:val="93"/>
              </w:rPr>
              <w:t xml:space="preserve">Part IV </w:t>
            </w:r>
            <w:r>
              <w:rPr>
                <w:rFonts w:ascii="Arial" w:cs="Arial" w:eastAsia="Arial" w:hAnsi="Arial"/>
                <w:sz w:val="23"/>
                <w:szCs w:val="23"/>
                <w:color w:val="0070C0"/>
                <w:w w:val="93"/>
              </w:rPr>
              <w:t>♦</w:t>
            </w:r>
            <w:r>
              <w:rPr>
                <w:rFonts w:ascii="MS PGothic" w:cs="MS PGothic" w:eastAsia="MS PGothic" w:hAnsi="MS PGothic"/>
                <w:sz w:val="18"/>
                <w:szCs w:val="18"/>
                <w:color w:val="auto"/>
                <w:w w:val="93"/>
              </w:rPr>
              <w:t xml:space="preserve"> Item 15 – Exhibits and Financial Statement Schedules</w:t>
            </w:r>
          </w:p>
        </w:tc>
        <w:tc>
          <w:tcPr>
            <w:tcW w:w="0" w:type="dxa"/>
            <w:vAlign w:val="bottom"/>
          </w:tcPr>
          <w:p>
            <w:pPr>
              <w:spacing w:after="0"/>
              <w:rPr>
                <w:sz w:val="1"/>
                <w:szCs w:val="1"/>
                <w:color w:val="auto"/>
              </w:rPr>
            </w:pPr>
          </w:p>
        </w:tc>
      </w:tr>
      <w:tr>
        <w:trPr>
          <w:trHeight w:val="166"/>
        </w:trPr>
        <w:tc>
          <w:tcPr>
            <w:tcW w:w="1680" w:type="dxa"/>
            <w:vAlign w:val="bottom"/>
            <w:tcBorders>
              <w:bottom w:val="single" w:sz="8" w:color="91BBD3"/>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720" w:type="dxa"/>
            <w:vAlign w:val="bottom"/>
            <w:tcBorders>
              <w:bottom w:val="single" w:sz="8" w:color="007DC6"/>
            </w:tcBorders>
          </w:tcPr>
          <w:p>
            <w:pPr>
              <w:spacing w:after="0"/>
              <w:rPr>
                <w:sz w:val="14"/>
                <w:szCs w:val="14"/>
                <w:color w:val="auto"/>
              </w:rPr>
            </w:pPr>
          </w:p>
        </w:tc>
        <w:tc>
          <w:tcPr>
            <w:tcW w:w="1120" w:type="dxa"/>
            <w:vAlign w:val="bottom"/>
            <w:tcBorders>
              <w:bottom w:val="single" w:sz="8" w:color="007DC6"/>
            </w:tcBorders>
          </w:tcPr>
          <w:p>
            <w:pPr>
              <w:spacing w:after="0"/>
              <w:rPr>
                <w:sz w:val="14"/>
                <w:szCs w:val="14"/>
                <w:color w:val="auto"/>
              </w:rPr>
            </w:pPr>
          </w:p>
        </w:tc>
        <w:tc>
          <w:tcPr>
            <w:tcW w:w="240" w:type="dxa"/>
            <w:vAlign w:val="bottom"/>
            <w:tcBorders>
              <w:bottom w:val="single" w:sz="8" w:color="007DC6"/>
            </w:tcBorders>
          </w:tcPr>
          <w:p>
            <w:pPr>
              <w:spacing w:after="0"/>
              <w:rPr>
                <w:sz w:val="14"/>
                <w:szCs w:val="14"/>
                <w:color w:val="auto"/>
              </w:rPr>
            </w:pPr>
          </w:p>
        </w:tc>
        <w:tc>
          <w:tcPr>
            <w:tcW w:w="60" w:type="dxa"/>
            <w:vAlign w:val="bottom"/>
            <w:tcBorders>
              <w:bottom w:val="single" w:sz="8" w:color="007DC6"/>
            </w:tcBorders>
          </w:tcPr>
          <w:p>
            <w:pPr>
              <w:spacing w:after="0"/>
              <w:rPr>
                <w:sz w:val="14"/>
                <w:szCs w:val="14"/>
                <w:color w:val="auto"/>
              </w:rPr>
            </w:pPr>
          </w:p>
        </w:tc>
        <w:tc>
          <w:tcPr>
            <w:tcW w:w="280" w:type="dxa"/>
            <w:vAlign w:val="bottom"/>
            <w:tcBorders>
              <w:bottom w:val="single" w:sz="8" w:color="007DC6"/>
            </w:tcBorders>
          </w:tcPr>
          <w:p>
            <w:pPr>
              <w:spacing w:after="0"/>
              <w:rPr>
                <w:sz w:val="14"/>
                <w:szCs w:val="14"/>
                <w:color w:val="auto"/>
              </w:rPr>
            </w:pPr>
          </w:p>
        </w:tc>
        <w:tc>
          <w:tcPr>
            <w:tcW w:w="300" w:type="dxa"/>
            <w:vAlign w:val="bottom"/>
            <w:tcBorders>
              <w:bottom w:val="single" w:sz="8" w:color="007DC6"/>
            </w:tcBorders>
          </w:tcPr>
          <w:p>
            <w:pPr>
              <w:spacing w:after="0"/>
              <w:rPr>
                <w:sz w:val="14"/>
                <w:szCs w:val="14"/>
                <w:color w:val="auto"/>
              </w:rPr>
            </w:pPr>
          </w:p>
        </w:tc>
        <w:tc>
          <w:tcPr>
            <w:tcW w:w="340" w:type="dxa"/>
            <w:vAlign w:val="bottom"/>
            <w:tcBorders>
              <w:bottom w:val="single" w:sz="8" w:color="007DC6"/>
            </w:tcBorders>
          </w:tcPr>
          <w:p>
            <w:pPr>
              <w:spacing w:after="0"/>
              <w:rPr>
                <w:sz w:val="14"/>
                <w:szCs w:val="14"/>
                <w:color w:val="auto"/>
              </w:rPr>
            </w:pPr>
          </w:p>
        </w:tc>
        <w:tc>
          <w:tcPr>
            <w:tcW w:w="640" w:type="dxa"/>
            <w:vAlign w:val="bottom"/>
            <w:tcBorders>
              <w:bottom w:val="single" w:sz="8" w:color="007DC6"/>
            </w:tcBorders>
          </w:tcPr>
          <w:p>
            <w:pPr>
              <w:spacing w:after="0"/>
              <w:rPr>
                <w:sz w:val="14"/>
                <w:szCs w:val="14"/>
                <w:color w:val="auto"/>
              </w:rPr>
            </w:pPr>
          </w:p>
        </w:tc>
        <w:tc>
          <w:tcPr>
            <w:tcW w:w="1280" w:type="dxa"/>
            <w:vAlign w:val="bottom"/>
            <w:tcBorders>
              <w:bottom w:val="single" w:sz="8" w:color="007DC6"/>
            </w:tcBorders>
          </w:tcPr>
          <w:p>
            <w:pPr>
              <w:spacing w:after="0"/>
              <w:rPr>
                <w:sz w:val="14"/>
                <w:szCs w:val="14"/>
                <w:color w:val="auto"/>
              </w:rPr>
            </w:pPr>
          </w:p>
        </w:tc>
        <w:tc>
          <w:tcPr>
            <w:tcW w:w="780" w:type="dxa"/>
            <w:vAlign w:val="bottom"/>
            <w:tcBorders>
              <w:bottom w:val="single" w:sz="8" w:color="007DC6"/>
            </w:tcBorders>
          </w:tcPr>
          <w:p>
            <w:pPr>
              <w:spacing w:after="0"/>
              <w:rPr>
                <w:sz w:val="14"/>
                <w:szCs w:val="14"/>
                <w:color w:val="auto"/>
              </w:rPr>
            </w:pPr>
          </w:p>
        </w:tc>
        <w:tc>
          <w:tcPr>
            <w:tcW w:w="620" w:type="dxa"/>
            <w:vAlign w:val="bottom"/>
            <w:tcBorders>
              <w:bottom w:val="single" w:sz="8" w:color="007DC6"/>
            </w:tcBorders>
          </w:tcPr>
          <w:p>
            <w:pPr>
              <w:spacing w:after="0"/>
              <w:rPr>
                <w:sz w:val="14"/>
                <w:szCs w:val="14"/>
                <w:color w:val="auto"/>
              </w:rPr>
            </w:pPr>
          </w:p>
        </w:tc>
        <w:tc>
          <w:tcPr>
            <w:tcW w:w="1380" w:type="dxa"/>
            <w:vAlign w:val="bottom"/>
            <w:tcBorders>
              <w:bottom w:val="single" w:sz="8" w:color="007DC6"/>
            </w:tcBorders>
          </w:tcPr>
          <w:p>
            <w:pPr>
              <w:spacing w:after="0"/>
              <w:rPr>
                <w:sz w:val="14"/>
                <w:szCs w:val="14"/>
                <w:color w:val="auto"/>
              </w:rPr>
            </w:pPr>
          </w:p>
        </w:tc>
        <w:tc>
          <w:tcPr>
            <w:tcW w:w="1220" w:type="dxa"/>
            <w:vAlign w:val="bottom"/>
            <w:tcBorders>
              <w:bottom w:val="single" w:sz="8" w:color="007DC6"/>
            </w:tcBorders>
          </w:tcPr>
          <w:p>
            <w:pPr>
              <w:spacing w:after="0"/>
              <w:rPr>
                <w:sz w:val="14"/>
                <w:szCs w:val="14"/>
                <w:color w:val="auto"/>
              </w:rPr>
            </w:pPr>
          </w:p>
        </w:tc>
        <w:tc>
          <w:tcPr>
            <w:tcW w:w="40" w:type="dxa"/>
            <w:vAlign w:val="bottom"/>
            <w:tcBorders>
              <w:bottom w:val="single" w:sz="8" w:color="007DC6"/>
            </w:tcBorders>
          </w:tcPr>
          <w:p>
            <w:pPr>
              <w:spacing w:after="0"/>
              <w:rPr>
                <w:sz w:val="14"/>
                <w:szCs w:val="14"/>
                <w:color w:val="auto"/>
              </w:rPr>
            </w:pPr>
          </w:p>
        </w:tc>
        <w:tc>
          <w:tcPr>
            <w:tcW w:w="100" w:type="dxa"/>
            <w:vAlign w:val="bottom"/>
            <w:tcBorders>
              <w:bottom w:val="single" w:sz="8" w:color="007DC6"/>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1"/>
        </w:trPr>
        <w:tc>
          <w:tcPr>
            <w:tcW w:w="1680" w:type="dxa"/>
            <w:vAlign w:val="bottom"/>
            <w:tcBorders>
              <w:left w:val="single" w:sz="8" w:color="91BBD3"/>
              <w:bottom w:val="single" w:sz="8" w:color="007DC6"/>
              <w:right w:val="single" w:sz="8" w:color="91BBD3"/>
            </w:tcBorders>
            <w:shd w:val="clear" w:color="auto" w:fill="007DC6"/>
          </w:tcPr>
          <w:p>
            <w:pPr>
              <w:ind w:left="440"/>
              <w:spacing w:after="0"/>
              <w:rPr>
                <w:sz w:val="20"/>
                <w:szCs w:val="20"/>
                <w:color w:val="auto"/>
              </w:rPr>
            </w:pPr>
            <w:r>
              <w:rPr>
                <w:rFonts w:ascii="Calibri" w:cs="Calibri" w:eastAsia="Calibri" w:hAnsi="Calibri"/>
                <w:sz w:val="18"/>
                <w:szCs w:val="18"/>
                <w:b w:val="1"/>
                <w:bCs w:val="1"/>
                <w:color w:val="FFFFFF"/>
              </w:rPr>
              <w:t>Exhibit No.</w:t>
            </w:r>
          </w:p>
        </w:tc>
        <w:tc>
          <w:tcPr>
            <w:tcW w:w="100" w:type="dxa"/>
            <w:vAlign w:val="bottom"/>
            <w:tcBorders>
              <w:bottom w:val="single" w:sz="8" w:color="007DC6"/>
            </w:tcBorders>
            <w:shd w:val="clear" w:color="auto" w:fill="007DC6"/>
          </w:tcPr>
          <w:p>
            <w:pPr>
              <w:spacing w:after="0"/>
              <w:rPr>
                <w:sz w:val="24"/>
                <w:szCs w:val="24"/>
                <w:color w:val="auto"/>
              </w:rPr>
            </w:pPr>
          </w:p>
        </w:tc>
        <w:tc>
          <w:tcPr>
            <w:tcW w:w="720" w:type="dxa"/>
            <w:vAlign w:val="bottom"/>
            <w:tcBorders>
              <w:bottom w:val="single" w:sz="8" w:color="007DC6"/>
            </w:tcBorders>
            <w:shd w:val="clear" w:color="auto" w:fill="007DC6"/>
          </w:tcPr>
          <w:p>
            <w:pPr>
              <w:spacing w:after="0"/>
              <w:rPr>
                <w:sz w:val="24"/>
                <w:szCs w:val="24"/>
                <w:color w:val="auto"/>
              </w:rPr>
            </w:pPr>
          </w:p>
        </w:tc>
        <w:tc>
          <w:tcPr>
            <w:tcW w:w="1120" w:type="dxa"/>
            <w:vAlign w:val="bottom"/>
            <w:tcBorders>
              <w:bottom w:val="single" w:sz="8" w:color="007DC6"/>
            </w:tcBorders>
            <w:shd w:val="clear" w:color="auto" w:fill="007DC6"/>
          </w:tcPr>
          <w:p>
            <w:pPr>
              <w:spacing w:after="0"/>
              <w:rPr>
                <w:sz w:val="24"/>
                <w:szCs w:val="24"/>
                <w:color w:val="auto"/>
              </w:rPr>
            </w:pPr>
          </w:p>
        </w:tc>
        <w:tc>
          <w:tcPr>
            <w:tcW w:w="240" w:type="dxa"/>
            <w:vAlign w:val="bottom"/>
            <w:tcBorders>
              <w:bottom w:val="single" w:sz="8" w:color="007DC6"/>
            </w:tcBorders>
            <w:shd w:val="clear" w:color="auto" w:fill="007DC6"/>
          </w:tcPr>
          <w:p>
            <w:pPr>
              <w:spacing w:after="0"/>
              <w:rPr>
                <w:sz w:val="24"/>
                <w:szCs w:val="24"/>
                <w:color w:val="auto"/>
              </w:rPr>
            </w:pPr>
          </w:p>
        </w:tc>
        <w:tc>
          <w:tcPr>
            <w:tcW w:w="60" w:type="dxa"/>
            <w:vAlign w:val="bottom"/>
            <w:tcBorders>
              <w:bottom w:val="single" w:sz="8" w:color="007DC6"/>
            </w:tcBorders>
            <w:shd w:val="clear" w:color="auto" w:fill="007DC6"/>
          </w:tcPr>
          <w:p>
            <w:pPr>
              <w:spacing w:after="0"/>
              <w:rPr>
                <w:sz w:val="24"/>
                <w:szCs w:val="24"/>
                <w:color w:val="auto"/>
              </w:rPr>
            </w:pPr>
          </w:p>
        </w:tc>
        <w:tc>
          <w:tcPr>
            <w:tcW w:w="280" w:type="dxa"/>
            <w:vAlign w:val="bottom"/>
            <w:tcBorders>
              <w:bottom w:val="single" w:sz="8" w:color="007DC6"/>
            </w:tcBorders>
            <w:shd w:val="clear" w:color="auto" w:fill="007DC6"/>
          </w:tcPr>
          <w:p>
            <w:pPr>
              <w:spacing w:after="0"/>
              <w:rPr>
                <w:sz w:val="24"/>
                <w:szCs w:val="24"/>
                <w:color w:val="auto"/>
              </w:rPr>
            </w:pPr>
          </w:p>
        </w:tc>
        <w:tc>
          <w:tcPr>
            <w:tcW w:w="300" w:type="dxa"/>
            <w:vAlign w:val="bottom"/>
            <w:tcBorders>
              <w:bottom w:val="single" w:sz="8" w:color="007DC6"/>
            </w:tcBorders>
            <w:shd w:val="clear" w:color="auto" w:fill="007DC6"/>
          </w:tcPr>
          <w:p>
            <w:pPr>
              <w:spacing w:after="0"/>
              <w:rPr>
                <w:sz w:val="24"/>
                <w:szCs w:val="24"/>
                <w:color w:val="auto"/>
              </w:rPr>
            </w:pPr>
          </w:p>
        </w:tc>
        <w:tc>
          <w:tcPr>
            <w:tcW w:w="340" w:type="dxa"/>
            <w:vAlign w:val="bottom"/>
            <w:tcBorders>
              <w:bottom w:val="single" w:sz="8" w:color="007DC6"/>
            </w:tcBorders>
            <w:shd w:val="clear" w:color="auto" w:fill="007DC6"/>
          </w:tcPr>
          <w:p>
            <w:pPr>
              <w:spacing w:after="0"/>
              <w:rPr>
                <w:sz w:val="24"/>
                <w:szCs w:val="24"/>
                <w:color w:val="auto"/>
              </w:rPr>
            </w:pPr>
          </w:p>
        </w:tc>
        <w:tc>
          <w:tcPr>
            <w:tcW w:w="640" w:type="dxa"/>
            <w:vAlign w:val="bottom"/>
            <w:tcBorders>
              <w:bottom w:val="single" w:sz="8" w:color="007DC6"/>
            </w:tcBorders>
            <w:shd w:val="clear" w:color="auto" w:fill="007DC6"/>
          </w:tcPr>
          <w:p>
            <w:pPr>
              <w:spacing w:after="0"/>
              <w:rPr>
                <w:sz w:val="24"/>
                <w:szCs w:val="24"/>
                <w:color w:val="auto"/>
              </w:rPr>
            </w:pPr>
          </w:p>
        </w:tc>
        <w:tc>
          <w:tcPr>
            <w:tcW w:w="1280" w:type="dxa"/>
            <w:vAlign w:val="bottom"/>
            <w:tcBorders>
              <w:bottom w:val="single" w:sz="8" w:color="007DC6"/>
            </w:tcBorders>
            <w:shd w:val="clear" w:color="auto" w:fill="007DC6"/>
          </w:tcPr>
          <w:p>
            <w:pPr>
              <w:spacing w:after="0"/>
              <w:rPr>
                <w:sz w:val="24"/>
                <w:szCs w:val="24"/>
                <w:color w:val="auto"/>
              </w:rPr>
            </w:pPr>
          </w:p>
        </w:tc>
        <w:tc>
          <w:tcPr>
            <w:tcW w:w="780" w:type="dxa"/>
            <w:vAlign w:val="bottom"/>
            <w:tcBorders>
              <w:bottom w:val="single" w:sz="8" w:color="007DC6"/>
            </w:tcBorders>
            <w:shd w:val="clear" w:color="auto" w:fill="007DC6"/>
          </w:tcPr>
          <w:p>
            <w:pPr>
              <w:spacing w:after="0"/>
              <w:rPr>
                <w:sz w:val="24"/>
                <w:szCs w:val="24"/>
                <w:color w:val="auto"/>
              </w:rPr>
            </w:pPr>
          </w:p>
        </w:tc>
        <w:tc>
          <w:tcPr>
            <w:tcW w:w="620" w:type="dxa"/>
            <w:vAlign w:val="bottom"/>
            <w:tcBorders>
              <w:bottom w:val="single" w:sz="8" w:color="007DC6"/>
            </w:tcBorders>
            <w:shd w:val="clear" w:color="auto" w:fill="007DC6"/>
          </w:tcPr>
          <w:p>
            <w:pPr>
              <w:spacing w:after="0"/>
              <w:rPr>
                <w:sz w:val="24"/>
                <w:szCs w:val="24"/>
                <w:color w:val="auto"/>
              </w:rPr>
            </w:pPr>
          </w:p>
        </w:tc>
        <w:tc>
          <w:tcPr>
            <w:tcW w:w="1380" w:type="dxa"/>
            <w:vAlign w:val="bottom"/>
            <w:tcBorders>
              <w:bottom w:val="single" w:sz="8" w:color="007DC6"/>
            </w:tcBorders>
            <w:shd w:val="clear" w:color="auto" w:fill="007DC6"/>
          </w:tcPr>
          <w:p>
            <w:pPr>
              <w:spacing w:after="0"/>
              <w:rPr>
                <w:sz w:val="24"/>
                <w:szCs w:val="24"/>
                <w:color w:val="auto"/>
              </w:rPr>
            </w:pPr>
          </w:p>
        </w:tc>
        <w:tc>
          <w:tcPr>
            <w:tcW w:w="1220" w:type="dxa"/>
            <w:vAlign w:val="bottom"/>
            <w:tcBorders>
              <w:bottom w:val="single" w:sz="8" w:color="007DC6"/>
            </w:tcBorders>
            <w:shd w:val="clear" w:color="auto" w:fill="007DC6"/>
          </w:tcPr>
          <w:p>
            <w:pPr>
              <w:spacing w:after="0"/>
              <w:rPr>
                <w:sz w:val="24"/>
                <w:szCs w:val="24"/>
                <w:color w:val="auto"/>
              </w:rPr>
            </w:pPr>
          </w:p>
        </w:tc>
        <w:tc>
          <w:tcPr>
            <w:tcW w:w="40" w:type="dxa"/>
            <w:vAlign w:val="bottom"/>
            <w:tcBorders>
              <w:left w:val="single" w:sz="8" w:color="007DC6"/>
              <w:bottom w:val="single" w:sz="8" w:color="007DC6"/>
            </w:tcBorders>
            <w:shd w:val="clear" w:color="auto" w:fill="007DC6"/>
          </w:tcPr>
          <w:p>
            <w:pPr>
              <w:spacing w:after="0"/>
              <w:rPr>
                <w:sz w:val="24"/>
                <w:szCs w:val="24"/>
                <w:color w:val="auto"/>
              </w:rPr>
            </w:pPr>
          </w:p>
        </w:tc>
        <w:tc>
          <w:tcPr>
            <w:tcW w:w="100" w:type="dxa"/>
            <w:vAlign w:val="bottom"/>
            <w:tcBorders>
              <w:bottom w:val="single" w:sz="8" w:color="007DC6"/>
              <w:right w:val="single" w:sz="8" w:color="91BBD3"/>
            </w:tcBorders>
            <w:shd w:val="clear" w:color="auto" w:fill="007DC6"/>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80" w:type="dxa"/>
            <w:vAlign w:val="bottom"/>
            <w:tcBorders>
              <w:top w:val="single" w:sz="8" w:color="91BBD3"/>
              <w:left w:val="single" w:sz="8" w:color="91BBD3"/>
              <w:right w:val="single" w:sz="8" w:color="91BBD3"/>
            </w:tcBorders>
          </w:tcPr>
          <w:p>
            <w:pPr>
              <w:ind w:left="120"/>
              <w:spacing w:after="0" w:line="149" w:lineRule="exact"/>
              <w:rPr>
                <w:sz w:val="20"/>
                <w:szCs w:val="20"/>
                <w:color w:val="auto"/>
              </w:rPr>
            </w:pPr>
            <w:r>
              <w:rPr>
                <w:rFonts w:ascii="Calibri" w:cs="Calibri" w:eastAsia="Calibri" w:hAnsi="Calibri"/>
                <w:sz w:val="16"/>
                <w:szCs w:val="16"/>
                <w:b w:val="1"/>
                <w:bCs w:val="1"/>
                <w:color w:val="auto"/>
              </w:rPr>
              <w:t>10.34</w:t>
            </w:r>
          </w:p>
        </w:tc>
        <w:tc>
          <w:tcPr>
            <w:tcW w:w="100" w:type="dxa"/>
            <w:vAlign w:val="bottom"/>
            <w:tcBorders>
              <w:top w:val="single" w:sz="8" w:color="91BBD3"/>
            </w:tcBorders>
          </w:tcPr>
          <w:p>
            <w:pPr>
              <w:spacing w:after="0"/>
              <w:rPr>
                <w:sz w:val="12"/>
                <w:szCs w:val="12"/>
                <w:color w:val="auto"/>
              </w:rPr>
            </w:pPr>
          </w:p>
        </w:tc>
        <w:tc>
          <w:tcPr>
            <w:tcW w:w="9120" w:type="dxa"/>
            <w:vAlign w:val="bottom"/>
            <w:tcBorders>
              <w:top w:val="single" w:sz="8" w:color="91BBD3"/>
              <w:right w:val="single" w:sz="8" w:color="91BBD3"/>
            </w:tcBorders>
            <w:gridSpan w:val="15"/>
          </w:tcPr>
          <w:p>
            <w:pPr>
              <w:spacing w:after="0" w:line="149" w:lineRule="exact"/>
              <w:rPr>
                <w:rFonts w:ascii="MS PGothic" w:cs="MS PGothic" w:eastAsia="MS PGothic" w:hAnsi="MS PGothic"/>
                <w:sz w:val="18"/>
                <w:szCs w:val="18"/>
                <w:color w:val="0563C1"/>
                <w:w w:val="97"/>
              </w:rPr>
            </w:pPr>
            <w:hyperlink r:id="rId775">
              <w:r>
                <w:rPr>
                  <w:rFonts w:ascii="MS PGothic" w:cs="MS PGothic" w:eastAsia="MS PGothic" w:hAnsi="MS PGothic"/>
                  <w:sz w:val="18"/>
                  <w:szCs w:val="18"/>
                  <w:color w:val="0563C1"/>
                  <w:w w:val="97"/>
                </w:rPr>
                <w:t>Form of Directors’ Restricted Stock Unit Award Agreement under the Martn Marieta Materials, Inc. Amended and Restated</w:t>
              </w:r>
            </w:hyperlink>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11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128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1380" w:type="dxa"/>
            <w:vAlign w:val="bottom"/>
            <w:shd w:val="clear" w:color="auto" w:fill="0563C1"/>
          </w:tcPr>
          <w:p>
            <w:pPr>
              <w:spacing w:after="0" w:line="20" w:lineRule="exact"/>
              <w:rPr>
                <w:sz w:val="1"/>
                <w:szCs w:val="1"/>
                <w:color w:val="auto"/>
              </w:rPr>
            </w:pPr>
          </w:p>
        </w:tc>
        <w:tc>
          <w:tcPr>
            <w:tcW w:w="122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91BBD3"/>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120" w:type="dxa"/>
            <w:vAlign w:val="bottom"/>
            <w:tcBorders>
              <w:right w:val="single" w:sz="8" w:color="91BBD3"/>
            </w:tcBorders>
            <w:gridSpan w:val="15"/>
          </w:tcPr>
          <w:p>
            <w:pPr>
              <w:spacing w:after="0"/>
              <w:rPr>
                <w:rFonts w:ascii="MS PGothic" w:cs="MS PGothic" w:eastAsia="MS PGothic" w:hAnsi="MS PGothic"/>
                <w:sz w:val="18"/>
                <w:szCs w:val="18"/>
                <w:color w:val="0563C1"/>
                <w:w w:val="98"/>
              </w:rPr>
            </w:pPr>
            <w:hyperlink r:id="rId775">
              <w:r>
                <w:rPr>
                  <w:rFonts w:ascii="MS PGothic" w:cs="MS PGothic" w:eastAsia="MS PGothic" w:hAnsi="MS PGothic"/>
                  <w:sz w:val="18"/>
                  <w:szCs w:val="18"/>
                  <w:color w:val="0563C1"/>
                  <w:w w:val="98"/>
                </w:rPr>
                <w:t>Stock-Based Award Plan (incorporated by reference to Exhibit 10.27 to the Martn Marieta Materials, Inc. Annual Report on</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top w:val="single" w:sz="8" w:color="0563C1"/>
            </w:tcBorders>
            <w:gridSpan w:val="13"/>
          </w:tcPr>
          <w:p>
            <w:pPr>
              <w:spacing w:after="0"/>
              <w:rPr>
                <w:rFonts w:ascii="MS PGothic" w:cs="MS PGothic" w:eastAsia="MS PGothic" w:hAnsi="MS PGothic"/>
                <w:sz w:val="18"/>
                <w:szCs w:val="18"/>
                <w:color w:val="0563C1"/>
              </w:rPr>
            </w:pPr>
            <w:hyperlink r:id="rId775">
              <w:r>
                <w:rPr>
                  <w:rFonts w:ascii="MS PGothic" w:cs="MS PGothic" w:eastAsia="MS PGothic" w:hAnsi="MS PGothic"/>
                  <w:sz w:val="18"/>
                  <w:szCs w:val="18"/>
                  <w:color w:val="0563C1"/>
                </w:rPr>
                <w:t>Form 10-K for the fscal year ended December 31, 2018) (Commission File No. 1-12744)**</w:t>
              </w:r>
            </w:hyperlink>
          </w:p>
        </w:tc>
        <w:tc>
          <w:tcPr>
            <w:tcW w:w="140" w:type="dxa"/>
            <w:vAlign w:val="bottom"/>
            <w:tcBorders>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720" w:type="dxa"/>
            <w:vAlign w:val="bottom"/>
            <w:tcBorders>
              <w:top w:val="single" w:sz="8" w:color="0563C1"/>
              <w:bottom w:val="single" w:sz="8" w:color="91BBD3"/>
            </w:tcBorders>
          </w:tcPr>
          <w:p>
            <w:pPr>
              <w:spacing w:after="0"/>
              <w:rPr>
                <w:sz w:val="4"/>
                <w:szCs w:val="4"/>
                <w:color w:val="auto"/>
              </w:rPr>
            </w:pPr>
          </w:p>
        </w:tc>
        <w:tc>
          <w:tcPr>
            <w:tcW w:w="1120" w:type="dxa"/>
            <w:vAlign w:val="bottom"/>
            <w:tcBorders>
              <w:top w:val="single" w:sz="8" w:color="0563C1"/>
              <w:bottom w:val="single" w:sz="8" w:color="91BBD3"/>
            </w:tcBorders>
          </w:tcPr>
          <w:p>
            <w:pPr>
              <w:spacing w:after="0"/>
              <w:rPr>
                <w:sz w:val="4"/>
                <w:szCs w:val="4"/>
                <w:color w:val="auto"/>
              </w:rPr>
            </w:pPr>
          </w:p>
        </w:tc>
        <w:tc>
          <w:tcPr>
            <w:tcW w:w="240" w:type="dxa"/>
            <w:vAlign w:val="bottom"/>
            <w:tcBorders>
              <w:top w:val="single" w:sz="8" w:color="0563C1"/>
              <w:bottom w:val="single" w:sz="8" w:color="91BBD3"/>
            </w:tcBorders>
          </w:tcPr>
          <w:p>
            <w:pPr>
              <w:spacing w:after="0"/>
              <w:rPr>
                <w:sz w:val="4"/>
                <w:szCs w:val="4"/>
                <w:color w:val="auto"/>
              </w:rPr>
            </w:pPr>
          </w:p>
        </w:tc>
        <w:tc>
          <w:tcPr>
            <w:tcW w:w="60" w:type="dxa"/>
            <w:vAlign w:val="bottom"/>
            <w:tcBorders>
              <w:top w:val="single" w:sz="8" w:color="0563C1"/>
              <w:bottom w:val="single" w:sz="8" w:color="91BBD3"/>
            </w:tcBorders>
          </w:tcPr>
          <w:p>
            <w:pPr>
              <w:spacing w:after="0"/>
              <w:rPr>
                <w:sz w:val="4"/>
                <w:szCs w:val="4"/>
                <w:color w:val="auto"/>
              </w:rPr>
            </w:pPr>
          </w:p>
        </w:tc>
        <w:tc>
          <w:tcPr>
            <w:tcW w:w="280" w:type="dxa"/>
            <w:vAlign w:val="bottom"/>
            <w:tcBorders>
              <w:top w:val="single" w:sz="8" w:color="0563C1"/>
              <w:bottom w:val="single" w:sz="8" w:color="91BBD3"/>
            </w:tcBorders>
          </w:tcPr>
          <w:p>
            <w:pPr>
              <w:spacing w:after="0"/>
              <w:rPr>
                <w:sz w:val="4"/>
                <w:szCs w:val="4"/>
                <w:color w:val="auto"/>
              </w:rPr>
            </w:pPr>
          </w:p>
        </w:tc>
        <w:tc>
          <w:tcPr>
            <w:tcW w:w="300" w:type="dxa"/>
            <w:vAlign w:val="bottom"/>
            <w:tcBorders>
              <w:top w:val="single" w:sz="8" w:color="0563C1"/>
              <w:bottom w:val="single" w:sz="8" w:color="91BBD3"/>
            </w:tcBorders>
          </w:tcPr>
          <w:p>
            <w:pPr>
              <w:spacing w:after="0"/>
              <w:rPr>
                <w:sz w:val="4"/>
                <w:szCs w:val="4"/>
                <w:color w:val="auto"/>
              </w:rPr>
            </w:pPr>
          </w:p>
        </w:tc>
        <w:tc>
          <w:tcPr>
            <w:tcW w:w="340" w:type="dxa"/>
            <w:vAlign w:val="bottom"/>
            <w:tcBorders>
              <w:top w:val="single" w:sz="8" w:color="0563C1"/>
              <w:bottom w:val="single" w:sz="8" w:color="91BBD3"/>
            </w:tcBorders>
          </w:tcPr>
          <w:p>
            <w:pPr>
              <w:spacing w:after="0"/>
              <w:rPr>
                <w:sz w:val="4"/>
                <w:szCs w:val="4"/>
                <w:color w:val="auto"/>
              </w:rPr>
            </w:pPr>
          </w:p>
        </w:tc>
        <w:tc>
          <w:tcPr>
            <w:tcW w:w="640" w:type="dxa"/>
            <w:vAlign w:val="bottom"/>
            <w:tcBorders>
              <w:top w:val="single" w:sz="8" w:color="0563C1"/>
              <w:bottom w:val="single" w:sz="8" w:color="91BBD3"/>
            </w:tcBorders>
          </w:tcPr>
          <w:p>
            <w:pPr>
              <w:spacing w:after="0"/>
              <w:rPr>
                <w:sz w:val="4"/>
                <w:szCs w:val="4"/>
                <w:color w:val="auto"/>
              </w:rPr>
            </w:pPr>
          </w:p>
        </w:tc>
        <w:tc>
          <w:tcPr>
            <w:tcW w:w="1280" w:type="dxa"/>
            <w:vAlign w:val="bottom"/>
            <w:tcBorders>
              <w:top w:val="single" w:sz="8" w:color="0563C1"/>
              <w:bottom w:val="single" w:sz="8" w:color="91BBD3"/>
            </w:tcBorders>
          </w:tcPr>
          <w:p>
            <w:pPr>
              <w:spacing w:after="0"/>
              <w:rPr>
                <w:sz w:val="4"/>
                <w:szCs w:val="4"/>
                <w:color w:val="auto"/>
              </w:rPr>
            </w:pPr>
          </w:p>
        </w:tc>
        <w:tc>
          <w:tcPr>
            <w:tcW w:w="780" w:type="dxa"/>
            <w:vAlign w:val="bottom"/>
            <w:tcBorders>
              <w:top w:val="single" w:sz="8" w:color="0563C1"/>
              <w:bottom w:val="single" w:sz="8" w:color="91BBD3"/>
            </w:tcBorders>
          </w:tcPr>
          <w:p>
            <w:pPr>
              <w:spacing w:after="0"/>
              <w:rPr>
                <w:sz w:val="4"/>
                <w:szCs w:val="4"/>
                <w:color w:val="auto"/>
              </w:rPr>
            </w:pPr>
          </w:p>
        </w:tc>
        <w:tc>
          <w:tcPr>
            <w:tcW w:w="620" w:type="dxa"/>
            <w:vAlign w:val="bottom"/>
            <w:tcBorders>
              <w:top w:val="single" w:sz="8" w:color="0563C1"/>
              <w:bottom w:val="single" w:sz="8" w:color="91BBD3"/>
            </w:tcBorders>
          </w:tcPr>
          <w:p>
            <w:pPr>
              <w:spacing w:after="0"/>
              <w:rPr>
                <w:sz w:val="4"/>
                <w:szCs w:val="4"/>
                <w:color w:val="auto"/>
              </w:rPr>
            </w:pPr>
          </w:p>
        </w:tc>
        <w:tc>
          <w:tcPr>
            <w:tcW w:w="1380" w:type="dxa"/>
            <w:vAlign w:val="bottom"/>
            <w:tcBorders>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4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ind w:left="120"/>
              <w:spacing w:after="0" w:line="169" w:lineRule="exact"/>
              <w:rPr>
                <w:sz w:val="20"/>
                <w:szCs w:val="20"/>
                <w:color w:val="auto"/>
              </w:rPr>
            </w:pPr>
            <w:r>
              <w:rPr>
                <w:rFonts w:ascii="Calibri" w:cs="Calibri" w:eastAsia="Calibri" w:hAnsi="Calibri"/>
                <w:sz w:val="18"/>
                <w:szCs w:val="18"/>
                <w:b w:val="1"/>
                <w:bCs w:val="1"/>
                <w:color w:val="auto"/>
              </w:rPr>
              <w:t>10.35</w:t>
            </w:r>
          </w:p>
        </w:tc>
        <w:tc>
          <w:tcPr>
            <w:tcW w:w="100" w:type="dxa"/>
            <w:vAlign w:val="bottom"/>
            <w:tcBorders>
              <w:bottom w:val="single" w:sz="8" w:color="DAE8F0"/>
            </w:tcBorders>
            <w:shd w:val="clear" w:color="auto" w:fill="DAE8F0"/>
          </w:tcPr>
          <w:p>
            <w:pPr>
              <w:spacing w:after="0"/>
              <w:rPr>
                <w:sz w:val="14"/>
                <w:szCs w:val="14"/>
                <w:color w:val="auto"/>
              </w:rPr>
            </w:pPr>
          </w:p>
        </w:tc>
        <w:tc>
          <w:tcPr>
            <w:tcW w:w="9020" w:type="dxa"/>
            <w:vAlign w:val="bottom"/>
            <w:tcBorders>
              <w:bottom w:val="single" w:sz="8" w:color="0563C1"/>
            </w:tcBorders>
            <w:gridSpan w:val="14"/>
            <w:shd w:val="clear" w:color="auto" w:fill="DAE8F0"/>
          </w:tcPr>
          <w:p>
            <w:pPr>
              <w:spacing w:after="0" w:line="169" w:lineRule="exact"/>
              <w:rPr>
                <w:rFonts w:ascii="MS PGothic" w:cs="MS PGothic" w:eastAsia="MS PGothic" w:hAnsi="MS PGothic"/>
                <w:sz w:val="18"/>
                <w:szCs w:val="18"/>
                <w:color w:val="0563C1"/>
              </w:rPr>
            </w:pPr>
            <w:hyperlink r:id="rId776">
              <w:r>
                <w:rPr>
                  <w:rFonts w:ascii="MS PGothic" w:cs="MS PGothic" w:eastAsia="MS PGothic" w:hAnsi="MS PGothic"/>
                  <w:sz w:val="18"/>
                  <w:szCs w:val="18"/>
                  <w:color w:val="0563C1"/>
                </w:rPr>
                <w:t>Martn Marieta Nonqualifed Deferred Cash Compensaton Plan (incorporated by reference to Exhibit 10.1 to the Martn</w:t>
              </w:r>
            </w:hyperlink>
          </w:p>
        </w:tc>
        <w:tc>
          <w:tcPr>
            <w:tcW w:w="100" w:type="dxa"/>
            <w:vAlign w:val="bottom"/>
            <w:tcBorders>
              <w:bottom w:val="single" w:sz="8" w:color="DAE8F0"/>
              <w:right w:val="single" w:sz="8" w:color="91BBD3"/>
            </w:tcBorders>
            <w:shd w:val="clear" w:color="auto" w:fill="DAE8F0"/>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680" w:type="dxa"/>
            <w:vAlign w:val="bottom"/>
            <w:tcBorders>
              <w:left w:val="single" w:sz="8" w:color="91BBD3"/>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5"/>
            <w:shd w:val="clear" w:color="auto" w:fill="DAE8F0"/>
          </w:tcPr>
          <w:p>
            <w:pPr>
              <w:spacing w:after="0"/>
              <w:rPr>
                <w:rFonts w:ascii="MS PGothic" w:cs="MS PGothic" w:eastAsia="MS PGothic" w:hAnsi="MS PGothic"/>
                <w:sz w:val="18"/>
                <w:szCs w:val="18"/>
                <w:color w:val="0563C1"/>
              </w:rPr>
            </w:pPr>
            <w:hyperlink r:id="rId776">
              <w:r>
                <w:rPr>
                  <w:rFonts w:ascii="MS PGothic" w:cs="MS PGothic" w:eastAsia="MS PGothic" w:hAnsi="MS PGothic"/>
                  <w:sz w:val="18"/>
                  <w:szCs w:val="18"/>
                  <w:color w:val="0563C1"/>
                </w:rPr>
                <w:t>Marieta Materials, Inc. Current Report on Form 8-K, fled on June 29, 2020 (Commission File No. 1-12744))**</w:t>
              </w:r>
            </w:hyperlink>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1120" w:type="dxa"/>
            <w:vAlign w:val="bottom"/>
            <w:tcBorders>
              <w:top w:val="single" w:sz="8" w:color="0563C1"/>
            </w:tcBorders>
            <w:shd w:val="clear" w:color="auto" w:fill="91BBD3"/>
          </w:tcPr>
          <w:p>
            <w:pPr>
              <w:spacing w:after="0" w:line="20" w:lineRule="exact"/>
              <w:rPr>
                <w:sz w:val="1"/>
                <w:szCs w:val="1"/>
                <w:color w:val="auto"/>
              </w:rPr>
            </w:pPr>
          </w:p>
        </w:tc>
        <w:tc>
          <w:tcPr>
            <w:tcW w:w="240" w:type="dxa"/>
            <w:vAlign w:val="bottom"/>
            <w:tcBorders>
              <w:top w:val="single" w:sz="8" w:color="0563C1"/>
            </w:tcBorders>
            <w:shd w:val="clear" w:color="auto" w:fill="91BBD3"/>
          </w:tcPr>
          <w:p>
            <w:pPr>
              <w:spacing w:after="0" w:line="20" w:lineRule="exact"/>
              <w:rPr>
                <w:sz w:val="1"/>
                <w:szCs w:val="1"/>
                <w:color w:val="auto"/>
              </w:rPr>
            </w:pPr>
          </w:p>
        </w:tc>
        <w:tc>
          <w:tcPr>
            <w:tcW w:w="6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0563C1"/>
            </w:tcBorders>
            <w:shd w:val="clear" w:color="auto" w:fill="91BBD3"/>
          </w:tcPr>
          <w:p>
            <w:pPr>
              <w:spacing w:after="0" w:line="20" w:lineRule="exact"/>
              <w:rPr>
                <w:sz w:val="1"/>
                <w:szCs w:val="1"/>
                <w:color w:val="auto"/>
              </w:rPr>
            </w:pPr>
          </w:p>
        </w:tc>
        <w:tc>
          <w:tcPr>
            <w:tcW w:w="300" w:type="dxa"/>
            <w:vAlign w:val="bottom"/>
            <w:tcBorders>
              <w:top w:val="single" w:sz="8" w:color="0563C1"/>
            </w:tcBorders>
            <w:shd w:val="clear" w:color="auto" w:fill="91BBD3"/>
          </w:tcPr>
          <w:p>
            <w:pPr>
              <w:spacing w:after="0" w:line="20" w:lineRule="exact"/>
              <w:rPr>
                <w:sz w:val="1"/>
                <w:szCs w:val="1"/>
                <w:color w:val="auto"/>
              </w:rPr>
            </w:pPr>
          </w:p>
        </w:tc>
        <w:tc>
          <w:tcPr>
            <w:tcW w:w="340" w:type="dxa"/>
            <w:vAlign w:val="bottom"/>
            <w:tcBorders>
              <w:top w:val="single" w:sz="8" w:color="0563C1"/>
            </w:tcBorders>
            <w:shd w:val="clear" w:color="auto" w:fill="91BBD3"/>
          </w:tcPr>
          <w:p>
            <w:pPr>
              <w:spacing w:after="0" w:line="20" w:lineRule="exact"/>
              <w:rPr>
                <w:sz w:val="1"/>
                <w:szCs w:val="1"/>
                <w:color w:val="auto"/>
              </w:rPr>
            </w:pPr>
          </w:p>
        </w:tc>
        <w:tc>
          <w:tcPr>
            <w:tcW w:w="640" w:type="dxa"/>
            <w:vAlign w:val="bottom"/>
            <w:tcBorders>
              <w:top w:val="single" w:sz="8" w:color="0563C1"/>
            </w:tcBorders>
            <w:shd w:val="clear" w:color="auto" w:fill="91BBD3"/>
          </w:tcPr>
          <w:p>
            <w:pPr>
              <w:spacing w:after="0" w:line="20" w:lineRule="exact"/>
              <w:rPr>
                <w:sz w:val="1"/>
                <w:szCs w:val="1"/>
                <w:color w:val="auto"/>
              </w:rPr>
            </w:pPr>
          </w:p>
        </w:tc>
        <w:tc>
          <w:tcPr>
            <w:tcW w:w="1280" w:type="dxa"/>
            <w:vAlign w:val="bottom"/>
            <w:tcBorders>
              <w:top w:val="single" w:sz="8" w:color="0563C1"/>
            </w:tcBorders>
            <w:shd w:val="clear" w:color="auto" w:fill="91BBD3"/>
          </w:tcPr>
          <w:p>
            <w:pPr>
              <w:spacing w:after="0" w:line="20" w:lineRule="exact"/>
              <w:rPr>
                <w:sz w:val="1"/>
                <w:szCs w:val="1"/>
                <w:color w:val="auto"/>
              </w:rPr>
            </w:pPr>
          </w:p>
        </w:tc>
        <w:tc>
          <w:tcPr>
            <w:tcW w:w="780" w:type="dxa"/>
            <w:vAlign w:val="bottom"/>
            <w:tcBorders>
              <w:top w:val="single" w:sz="8" w:color="0563C1"/>
            </w:tcBorders>
            <w:shd w:val="clear" w:color="auto" w:fill="91BBD3"/>
          </w:tcPr>
          <w:p>
            <w:pPr>
              <w:spacing w:after="0" w:line="20" w:lineRule="exact"/>
              <w:rPr>
                <w:sz w:val="1"/>
                <w:szCs w:val="1"/>
                <w:color w:val="auto"/>
              </w:rPr>
            </w:pPr>
          </w:p>
        </w:tc>
        <w:tc>
          <w:tcPr>
            <w:tcW w:w="620" w:type="dxa"/>
            <w:vAlign w:val="bottom"/>
            <w:tcBorders>
              <w:top w:val="single" w:sz="8" w:color="0563C1"/>
            </w:tcBorders>
            <w:shd w:val="clear" w:color="auto" w:fill="91BBD3"/>
          </w:tcPr>
          <w:p>
            <w:pPr>
              <w:spacing w:after="0" w:line="20" w:lineRule="exact"/>
              <w:rPr>
                <w:sz w:val="1"/>
                <w:szCs w:val="1"/>
                <w:color w:val="auto"/>
              </w:rPr>
            </w:pPr>
          </w:p>
        </w:tc>
        <w:tc>
          <w:tcPr>
            <w:tcW w:w="1380" w:type="dxa"/>
            <w:vAlign w:val="bottom"/>
            <w:tcBorders>
              <w:top w:val="single" w:sz="8" w:color="0563C1"/>
            </w:tcBorders>
            <w:shd w:val="clear" w:color="auto" w:fill="91BBD3"/>
          </w:tcPr>
          <w:p>
            <w:pPr>
              <w:spacing w:after="0" w:line="20" w:lineRule="exact"/>
              <w:rPr>
                <w:sz w:val="1"/>
                <w:szCs w:val="1"/>
                <w:color w:val="auto"/>
              </w:rPr>
            </w:pPr>
          </w:p>
        </w:tc>
        <w:tc>
          <w:tcPr>
            <w:tcW w:w="122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Calibri" w:cs="Calibri" w:eastAsia="Calibri" w:hAnsi="Calibri"/>
                <w:sz w:val="18"/>
                <w:szCs w:val="18"/>
                <w:b w:val="1"/>
                <w:bCs w:val="1"/>
                <w:color w:val="auto"/>
              </w:rPr>
              <w:t>10.36</w:t>
            </w:r>
          </w:p>
        </w:tc>
        <w:tc>
          <w:tcPr>
            <w:tcW w:w="100" w:type="dxa"/>
            <w:vAlign w:val="bottom"/>
          </w:tcPr>
          <w:p>
            <w:pPr>
              <w:spacing w:after="0"/>
              <w:rPr>
                <w:sz w:val="14"/>
                <w:szCs w:val="14"/>
                <w:color w:val="auto"/>
              </w:rPr>
            </w:pPr>
          </w:p>
        </w:tc>
        <w:tc>
          <w:tcPr>
            <w:tcW w:w="9120" w:type="dxa"/>
            <w:vAlign w:val="bottom"/>
            <w:tcBorders>
              <w:right w:val="single" w:sz="8" w:color="91BBD3"/>
            </w:tcBorders>
            <w:gridSpan w:val="15"/>
          </w:tcPr>
          <w:p>
            <w:pPr>
              <w:spacing w:after="0" w:line="169" w:lineRule="exact"/>
              <w:rPr>
                <w:rFonts w:ascii="MS PGothic" w:cs="MS PGothic" w:eastAsia="MS PGothic" w:hAnsi="MS PGothic"/>
                <w:sz w:val="18"/>
                <w:szCs w:val="18"/>
                <w:color w:val="0563C1"/>
              </w:rPr>
            </w:pPr>
            <w:hyperlink r:id="rId777">
              <w:r>
                <w:rPr>
                  <w:rFonts w:ascii="MS PGothic" w:cs="MS PGothic" w:eastAsia="MS PGothic" w:hAnsi="MS PGothic"/>
                  <w:sz w:val="18"/>
                  <w:szCs w:val="18"/>
                  <w:color w:val="0563C1"/>
                </w:rPr>
                <w:t>Martn Marieta Nonqualifed Deferred Cash Compensaton Plan Adopton Agreement (incorporated by reference to Exhibit</w:t>
              </w:r>
            </w:hyperlink>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right w:val="single" w:sz="8" w:color="91BBD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112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128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3220" w:type="dxa"/>
            <w:vAlign w:val="bottom"/>
            <w:gridSpan w:val="3"/>
            <w:shd w:val="clear" w:color="auto" w:fill="0563C1"/>
          </w:tcPr>
          <w:p>
            <w:pPr>
              <w:spacing w:after="0" w:line="20" w:lineRule="exact"/>
              <w:rPr>
                <w:sz w:val="1"/>
                <w:szCs w:val="1"/>
                <w:color w:val="auto"/>
              </w:rPr>
            </w:pPr>
          </w:p>
        </w:tc>
        <w:tc>
          <w:tcPr>
            <w:tcW w:w="140" w:type="dxa"/>
            <w:vAlign w:val="bottom"/>
            <w:tcBorders>
              <w:right w:val="single" w:sz="8" w:color="91BBD3"/>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9020" w:type="dxa"/>
            <w:vAlign w:val="bottom"/>
            <w:tcBorders>
              <w:bottom w:val="single" w:sz="8" w:color="0563C1"/>
            </w:tcBorders>
            <w:gridSpan w:val="14"/>
          </w:tcPr>
          <w:p>
            <w:pPr>
              <w:spacing w:after="0"/>
              <w:rPr>
                <w:rFonts w:ascii="MS PGothic" w:cs="MS PGothic" w:eastAsia="MS PGothic" w:hAnsi="MS PGothic"/>
                <w:sz w:val="18"/>
                <w:szCs w:val="18"/>
                <w:color w:val="0563C1"/>
              </w:rPr>
            </w:pPr>
            <w:hyperlink r:id="rId777">
              <w:r>
                <w:rPr>
                  <w:rFonts w:ascii="MS PGothic" w:cs="MS PGothic" w:eastAsia="MS PGothic" w:hAnsi="MS PGothic"/>
                  <w:sz w:val="18"/>
                  <w:szCs w:val="18"/>
                  <w:color w:val="0563C1"/>
                </w:rPr>
                <w:t>10.2 to the Martn Marieta Materials, Inc. Current Report on Form 8-K, fled on June 29, 2020 (Commission File No. 1-</w:t>
              </w:r>
            </w:hyperlink>
          </w:p>
        </w:tc>
        <w:tc>
          <w:tcPr>
            <w:tcW w:w="10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940" w:type="dxa"/>
            <w:vAlign w:val="bottom"/>
            <w:gridSpan w:val="3"/>
          </w:tcPr>
          <w:p>
            <w:pPr>
              <w:ind w:left="100"/>
              <w:spacing w:after="0"/>
              <w:rPr>
                <w:rFonts w:ascii="MS PGothic" w:cs="MS PGothic" w:eastAsia="MS PGothic" w:hAnsi="MS PGothic"/>
                <w:sz w:val="18"/>
                <w:szCs w:val="18"/>
                <w:color w:val="0563C1"/>
              </w:rPr>
            </w:pPr>
            <w:hyperlink r:id="rId777">
              <w:r>
                <w:rPr>
                  <w:rFonts w:ascii="MS PGothic" w:cs="MS PGothic" w:eastAsia="MS PGothic" w:hAnsi="MS PGothic"/>
                  <w:sz w:val="18"/>
                  <w:szCs w:val="18"/>
                  <w:color w:val="0563C1"/>
                </w:rPr>
                <w:t>12744))**</w:t>
              </w:r>
            </w:hyperlink>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right w:val="single" w:sz="8" w:color="91BBD3"/>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720" w:type="dxa"/>
            <w:vAlign w:val="bottom"/>
            <w:tcBorders>
              <w:top w:val="single" w:sz="8" w:color="0563C1"/>
              <w:bottom w:val="single" w:sz="8" w:color="91BBD3"/>
            </w:tcBorders>
          </w:tcPr>
          <w:p>
            <w:pPr>
              <w:spacing w:after="0"/>
              <w:rPr>
                <w:sz w:val="4"/>
                <w:szCs w:val="4"/>
                <w:color w:val="auto"/>
              </w:rPr>
            </w:pPr>
          </w:p>
        </w:tc>
        <w:tc>
          <w:tcPr>
            <w:tcW w:w="1120" w:type="dxa"/>
            <w:vAlign w:val="bottom"/>
            <w:tcBorders>
              <w:bottom w:val="single" w:sz="8" w:color="91BBD3"/>
            </w:tcBorders>
          </w:tcPr>
          <w:p>
            <w:pPr>
              <w:spacing w:after="0"/>
              <w:rPr>
                <w:sz w:val="4"/>
                <w:szCs w:val="4"/>
                <w:color w:val="auto"/>
              </w:rPr>
            </w:pPr>
          </w:p>
        </w:tc>
        <w:tc>
          <w:tcPr>
            <w:tcW w:w="240" w:type="dxa"/>
            <w:vAlign w:val="bottom"/>
            <w:tcBorders>
              <w:bottom w:val="single" w:sz="8" w:color="91BBD3"/>
            </w:tcBorders>
          </w:tcPr>
          <w:p>
            <w:pPr>
              <w:spacing w:after="0"/>
              <w:rPr>
                <w:sz w:val="4"/>
                <w:szCs w:val="4"/>
                <w:color w:val="auto"/>
              </w:rPr>
            </w:pPr>
          </w:p>
        </w:tc>
        <w:tc>
          <w:tcPr>
            <w:tcW w:w="60" w:type="dxa"/>
            <w:vAlign w:val="bottom"/>
            <w:tcBorders>
              <w:bottom w:val="single" w:sz="8" w:color="91BBD3"/>
            </w:tcBorders>
          </w:tcPr>
          <w:p>
            <w:pPr>
              <w:spacing w:after="0"/>
              <w:rPr>
                <w:sz w:val="4"/>
                <w:szCs w:val="4"/>
                <w:color w:val="auto"/>
              </w:rPr>
            </w:pPr>
          </w:p>
        </w:tc>
        <w:tc>
          <w:tcPr>
            <w:tcW w:w="280" w:type="dxa"/>
            <w:vAlign w:val="bottom"/>
            <w:tcBorders>
              <w:bottom w:val="single" w:sz="8" w:color="91BBD3"/>
            </w:tcBorders>
          </w:tcPr>
          <w:p>
            <w:pPr>
              <w:spacing w:after="0"/>
              <w:rPr>
                <w:sz w:val="4"/>
                <w:szCs w:val="4"/>
                <w:color w:val="auto"/>
              </w:rPr>
            </w:pPr>
          </w:p>
        </w:tc>
        <w:tc>
          <w:tcPr>
            <w:tcW w:w="300" w:type="dxa"/>
            <w:vAlign w:val="bottom"/>
            <w:tcBorders>
              <w:bottom w:val="single" w:sz="8" w:color="91BBD3"/>
            </w:tcBorders>
          </w:tcPr>
          <w:p>
            <w:pPr>
              <w:spacing w:after="0"/>
              <w:rPr>
                <w:sz w:val="4"/>
                <w:szCs w:val="4"/>
                <w:color w:val="auto"/>
              </w:rPr>
            </w:pPr>
          </w:p>
        </w:tc>
        <w:tc>
          <w:tcPr>
            <w:tcW w:w="340" w:type="dxa"/>
            <w:vAlign w:val="bottom"/>
            <w:tcBorders>
              <w:bottom w:val="single" w:sz="8" w:color="91BBD3"/>
            </w:tcBorders>
          </w:tcPr>
          <w:p>
            <w:pPr>
              <w:spacing w:after="0"/>
              <w:rPr>
                <w:sz w:val="4"/>
                <w:szCs w:val="4"/>
                <w:color w:val="auto"/>
              </w:rPr>
            </w:pPr>
          </w:p>
        </w:tc>
        <w:tc>
          <w:tcPr>
            <w:tcW w:w="640" w:type="dxa"/>
            <w:vAlign w:val="bottom"/>
            <w:tcBorders>
              <w:bottom w:val="single" w:sz="8" w:color="91BBD3"/>
            </w:tcBorders>
          </w:tcPr>
          <w:p>
            <w:pPr>
              <w:spacing w:after="0"/>
              <w:rPr>
                <w:sz w:val="4"/>
                <w:szCs w:val="4"/>
                <w:color w:val="auto"/>
              </w:rPr>
            </w:pPr>
          </w:p>
        </w:tc>
        <w:tc>
          <w:tcPr>
            <w:tcW w:w="1280" w:type="dxa"/>
            <w:vAlign w:val="bottom"/>
            <w:tcBorders>
              <w:bottom w:val="single" w:sz="8" w:color="91BBD3"/>
            </w:tcBorders>
          </w:tcPr>
          <w:p>
            <w:pPr>
              <w:spacing w:after="0"/>
              <w:rPr>
                <w:sz w:val="4"/>
                <w:szCs w:val="4"/>
                <w:color w:val="auto"/>
              </w:rPr>
            </w:pPr>
          </w:p>
        </w:tc>
        <w:tc>
          <w:tcPr>
            <w:tcW w:w="780" w:type="dxa"/>
            <w:vAlign w:val="bottom"/>
            <w:tcBorders>
              <w:bottom w:val="single" w:sz="8" w:color="91BBD3"/>
            </w:tcBorders>
          </w:tcPr>
          <w:p>
            <w:pPr>
              <w:spacing w:after="0"/>
              <w:rPr>
                <w:sz w:val="4"/>
                <w:szCs w:val="4"/>
                <w:color w:val="auto"/>
              </w:rPr>
            </w:pPr>
          </w:p>
        </w:tc>
        <w:tc>
          <w:tcPr>
            <w:tcW w:w="620" w:type="dxa"/>
            <w:vAlign w:val="bottom"/>
            <w:tcBorders>
              <w:bottom w:val="single" w:sz="8" w:color="91BBD3"/>
            </w:tcBorders>
          </w:tcPr>
          <w:p>
            <w:pPr>
              <w:spacing w:after="0"/>
              <w:rPr>
                <w:sz w:val="4"/>
                <w:szCs w:val="4"/>
                <w:color w:val="auto"/>
              </w:rPr>
            </w:pPr>
          </w:p>
        </w:tc>
        <w:tc>
          <w:tcPr>
            <w:tcW w:w="1380" w:type="dxa"/>
            <w:vAlign w:val="bottom"/>
            <w:tcBorders>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4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shd w:val="clear" w:color="auto" w:fill="DAE8F0"/>
          </w:tcPr>
          <w:p>
            <w:pPr>
              <w:ind w:left="120"/>
              <w:spacing w:after="0" w:line="169" w:lineRule="exact"/>
              <w:rPr>
                <w:sz w:val="20"/>
                <w:szCs w:val="20"/>
                <w:color w:val="auto"/>
              </w:rPr>
            </w:pPr>
            <w:r>
              <w:rPr>
                <w:rFonts w:ascii="Calibri" w:cs="Calibri" w:eastAsia="Calibri" w:hAnsi="Calibri"/>
                <w:sz w:val="18"/>
                <w:szCs w:val="18"/>
                <w:b w:val="1"/>
                <w:bCs w:val="1"/>
                <w:color w:val="auto"/>
              </w:rPr>
              <w:t>10.37</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5"/>
            <w:shd w:val="clear" w:color="auto" w:fill="DAE8F0"/>
          </w:tcPr>
          <w:p>
            <w:pPr>
              <w:spacing w:after="0" w:line="169" w:lineRule="exact"/>
              <w:rPr>
                <w:rFonts w:ascii="MS PGothic" w:cs="MS PGothic" w:eastAsia="MS PGothic" w:hAnsi="MS PGothic"/>
                <w:sz w:val="18"/>
                <w:szCs w:val="18"/>
                <w:color w:val="0563C1"/>
                <w:w w:val="98"/>
              </w:rPr>
            </w:pPr>
            <w:hyperlink r:id="rId778">
              <w:r>
                <w:rPr>
                  <w:rFonts w:ascii="MS PGothic" w:cs="MS PGothic" w:eastAsia="MS PGothic" w:hAnsi="MS PGothic"/>
                  <w:sz w:val="18"/>
                  <w:szCs w:val="18"/>
                  <w:color w:val="0563C1"/>
                  <w:w w:val="98"/>
                </w:rPr>
                <w:t>Ofer Leter, dated as of January 11, 2019, by and between Martn Marieta Materials, Inc. and Robert J. Cardin (incorporated</w:t>
              </w:r>
            </w:hyperlink>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80" w:type="dxa"/>
            <w:vAlign w:val="bottom"/>
            <w:tcBorders>
              <w:left w:val="single" w:sz="8" w:color="91BBD3"/>
              <w:right w:val="single" w:sz="8" w:color="91BBD3"/>
            </w:tcBorders>
            <w:shd w:val="clear" w:color="auto" w:fill="DAE8F0"/>
          </w:tcPr>
          <w:p>
            <w:pPr>
              <w:spacing w:after="0" w:line="20" w:lineRule="exact"/>
              <w:rPr>
                <w:sz w:val="1"/>
                <w:szCs w:val="1"/>
                <w:color w:val="auto"/>
              </w:rPr>
            </w:pPr>
          </w:p>
        </w:tc>
        <w:tc>
          <w:tcPr>
            <w:tcW w:w="100" w:type="dxa"/>
            <w:vAlign w:val="bottom"/>
            <w:shd w:val="clear" w:color="auto" w:fill="DAE8F0"/>
          </w:tcPr>
          <w:p>
            <w:pPr>
              <w:spacing w:after="0" w:line="20" w:lineRule="exact"/>
              <w:rPr>
                <w:sz w:val="1"/>
                <w:szCs w:val="1"/>
                <w:color w:val="auto"/>
              </w:rPr>
            </w:pPr>
          </w:p>
        </w:tc>
        <w:tc>
          <w:tcPr>
            <w:tcW w:w="1840" w:type="dxa"/>
            <w:vAlign w:val="bottom"/>
            <w:gridSpan w:val="2"/>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1280" w:type="dxa"/>
            <w:vAlign w:val="bottom"/>
            <w:shd w:val="clear" w:color="auto" w:fill="0563C1"/>
          </w:tcPr>
          <w:p>
            <w:pPr>
              <w:spacing w:after="0" w:line="20" w:lineRule="exact"/>
              <w:rPr>
                <w:sz w:val="1"/>
                <w:szCs w:val="1"/>
                <w:color w:val="auto"/>
              </w:rPr>
            </w:pPr>
          </w:p>
        </w:tc>
        <w:tc>
          <w:tcPr>
            <w:tcW w:w="780" w:type="dxa"/>
            <w:vAlign w:val="bottom"/>
            <w:shd w:val="clear" w:color="auto" w:fill="0563C1"/>
          </w:tcPr>
          <w:p>
            <w:pPr>
              <w:spacing w:after="0" w:line="20" w:lineRule="exact"/>
              <w:rPr>
                <w:sz w:val="1"/>
                <w:szCs w:val="1"/>
                <w:color w:val="auto"/>
              </w:rPr>
            </w:pPr>
          </w:p>
        </w:tc>
        <w:tc>
          <w:tcPr>
            <w:tcW w:w="3220" w:type="dxa"/>
            <w:vAlign w:val="bottom"/>
            <w:gridSpan w:val="3"/>
            <w:shd w:val="clear" w:color="auto" w:fill="0563C1"/>
          </w:tcPr>
          <w:p>
            <w:pPr>
              <w:spacing w:after="0" w:line="20" w:lineRule="exact"/>
              <w:rPr>
                <w:sz w:val="1"/>
                <w:szCs w:val="1"/>
                <w:color w:val="auto"/>
              </w:rPr>
            </w:pPr>
          </w:p>
        </w:tc>
        <w:tc>
          <w:tcPr>
            <w:tcW w:w="140" w:type="dxa"/>
            <w:vAlign w:val="bottom"/>
            <w:tcBorders>
              <w:left w:val="single" w:sz="8" w:color="DAE8F0"/>
              <w:right w:val="single" w:sz="8" w:color="91BBD3"/>
            </w:tcBorders>
            <w:gridSpan w:val="2"/>
            <w:shd w:val="clear" w:color="auto" w:fill="DAE8F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left w:val="single" w:sz="8" w:color="91BBD3"/>
              <w:right w:val="single" w:sz="8" w:color="91BBD3"/>
            </w:tcBorders>
            <w:shd w:val="clear" w:color="auto" w:fill="DAE8F0"/>
          </w:tcPr>
          <w:p>
            <w:pPr>
              <w:spacing w:after="0"/>
              <w:rPr>
                <w:sz w:val="17"/>
                <w:szCs w:val="17"/>
                <w:color w:val="auto"/>
              </w:rPr>
            </w:pPr>
          </w:p>
        </w:tc>
        <w:tc>
          <w:tcPr>
            <w:tcW w:w="100" w:type="dxa"/>
            <w:vAlign w:val="bottom"/>
            <w:shd w:val="clear" w:color="auto" w:fill="DAE8F0"/>
          </w:tcPr>
          <w:p>
            <w:pPr>
              <w:spacing w:after="0"/>
              <w:rPr>
                <w:sz w:val="17"/>
                <w:szCs w:val="17"/>
                <w:color w:val="auto"/>
              </w:rPr>
            </w:pPr>
          </w:p>
        </w:tc>
        <w:tc>
          <w:tcPr>
            <w:tcW w:w="9120" w:type="dxa"/>
            <w:vAlign w:val="bottom"/>
            <w:tcBorders>
              <w:right w:val="single" w:sz="8" w:color="91BBD3"/>
            </w:tcBorders>
            <w:gridSpan w:val="15"/>
            <w:shd w:val="clear" w:color="auto" w:fill="DAE8F0"/>
          </w:tcPr>
          <w:p>
            <w:pPr>
              <w:spacing w:after="0"/>
              <w:rPr>
                <w:rFonts w:ascii="MS PGothic" w:cs="MS PGothic" w:eastAsia="MS PGothic" w:hAnsi="MS PGothic"/>
                <w:sz w:val="18"/>
                <w:szCs w:val="18"/>
                <w:color w:val="0563C1"/>
                <w:w w:val="96"/>
              </w:rPr>
            </w:pPr>
            <w:hyperlink r:id="rId778">
              <w:r>
                <w:rPr>
                  <w:rFonts w:ascii="MS PGothic" w:cs="MS PGothic" w:eastAsia="MS PGothic" w:hAnsi="MS PGothic"/>
                  <w:sz w:val="18"/>
                  <w:szCs w:val="18"/>
                  <w:color w:val="0563C1"/>
                  <w:w w:val="96"/>
                </w:rPr>
                <w:t>by reference to Exhibit 10.01 to the Martn Marieta Materials, Inc. Quarterly Report on Form 10‑Q for the quarter ended June</w:t>
              </w:r>
            </w:hyperlink>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680" w:type="dxa"/>
            <w:vAlign w:val="bottom"/>
            <w:tcBorders>
              <w:top w:val="single" w:sz="8" w:color="DAE8F0"/>
              <w:left w:val="single" w:sz="8" w:color="91BBD3"/>
              <w:right w:val="single" w:sz="8" w:color="91BBD3"/>
            </w:tcBorders>
            <w:shd w:val="clear" w:color="auto" w:fill="DAE8F0"/>
          </w:tcPr>
          <w:p>
            <w:pPr>
              <w:spacing w:after="0"/>
              <w:rPr>
                <w:sz w:val="21"/>
                <w:szCs w:val="21"/>
                <w:color w:val="auto"/>
              </w:rPr>
            </w:pPr>
          </w:p>
        </w:tc>
        <w:tc>
          <w:tcPr>
            <w:tcW w:w="100" w:type="dxa"/>
            <w:vAlign w:val="bottom"/>
            <w:tcBorders>
              <w:top w:val="single" w:sz="8" w:color="DAE8F0"/>
            </w:tcBorders>
            <w:shd w:val="clear" w:color="auto" w:fill="DAE8F0"/>
          </w:tcPr>
          <w:p>
            <w:pPr>
              <w:spacing w:after="0"/>
              <w:rPr>
                <w:sz w:val="21"/>
                <w:szCs w:val="21"/>
                <w:color w:val="auto"/>
              </w:rPr>
            </w:pPr>
          </w:p>
        </w:tc>
        <w:tc>
          <w:tcPr>
            <w:tcW w:w="8980" w:type="dxa"/>
            <w:vAlign w:val="bottom"/>
            <w:tcBorders>
              <w:top w:val="single" w:sz="8" w:color="0563C1"/>
            </w:tcBorders>
            <w:gridSpan w:val="13"/>
            <w:shd w:val="clear" w:color="auto" w:fill="DAE8F0"/>
          </w:tcPr>
          <w:p>
            <w:pPr>
              <w:spacing w:after="0"/>
              <w:rPr>
                <w:rFonts w:ascii="MS PGothic" w:cs="MS PGothic" w:eastAsia="MS PGothic" w:hAnsi="MS PGothic"/>
                <w:sz w:val="18"/>
                <w:szCs w:val="18"/>
                <w:color w:val="0563C1"/>
              </w:rPr>
            </w:pPr>
            <w:hyperlink r:id="rId778">
              <w:r>
                <w:rPr>
                  <w:rFonts w:ascii="MS PGothic" w:cs="MS PGothic" w:eastAsia="MS PGothic" w:hAnsi="MS PGothic"/>
                  <w:sz w:val="18"/>
                  <w:szCs w:val="18"/>
                  <w:color w:val="0563C1"/>
                </w:rPr>
                <w:t>30, 2019) (Commission File No. 1-12744)**</w:t>
              </w:r>
            </w:hyperlink>
          </w:p>
        </w:tc>
        <w:tc>
          <w:tcPr>
            <w:tcW w:w="140" w:type="dxa"/>
            <w:vAlign w:val="bottom"/>
            <w:tcBorders>
              <w:top w:val="single" w:sz="8" w:color="DAE8F0"/>
              <w:left w:val="single" w:sz="8" w:color="DAE8F0"/>
              <w:right w:val="single" w:sz="8" w:color="91BBD3"/>
            </w:tcBorders>
            <w:gridSpan w:val="2"/>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1120" w:type="dxa"/>
            <w:vAlign w:val="bottom"/>
            <w:tcBorders>
              <w:top w:val="single" w:sz="8" w:color="0563C1"/>
            </w:tcBorders>
            <w:shd w:val="clear" w:color="auto" w:fill="91BBD3"/>
          </w:tcPr>
          <w:p>
            <w:pPr>
              <w:spacing w:after="0" w:line="20" w:lineRule="exact"/>
              <w:rPr>
                <w:sz w:val="1"/>
                <w:szCs w:val="1"/>
                <w:color w:val="auto"/>
              </w:rPr>
            </w:pPr>
          </w:p>
        </w:tc>
        <w:tc>
          <w:tcPr>
            <w:tcW w:w="240" w:type="dxa"/>
            <w:vAlign w:val="bottom"/>
            <w:tcBorders>
              <w:top w:val="single" w:sz="8" w:color="0563C1"/>
            </w:tcBorders>
            <w:shd w:val="clear" w:color="auto" w:fill="91BBD3"/>
          </w:tcPr>
          <w:p>
            <w:pPr>
              <w:spacing w:after="0" w:line="20" w:lineRule="exact"/>
              <w:rPr>
                <w:sz w:val="1"/>
                <w:szCs w:val="1"/>
                <w:color w:val="auto"/>
              </w:rPr>
            </w:pPr>
          </w:p>
        </w:tc>
        <w:tc>
          <w:tcPr>
            <w:tcW w:w="6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0563C1"/>
            </w:tcBorders>
            <w:shd w:val="clear" w:color="auto" w:fill="91BBD3"/>
          </w:tcPr>
          <w:p>
            <w:pPr>
              <w:spacing w:after="0" w:line="20" w:lineRule="exact"/>
              <w:rPr>
                <w:sz w:val="1"/>
                <w:szCs w:val="1"/>
                <w:color w:val="auto"/>
              </w:rPr>
            </w:pPr>
          </w:p>
        </w:tc>
        <w:tc>
          <w:tcPr>
            <w:tcW w:w="300" w:type="dxa"/>
            <w:vAlign w:val="bottom"/>
            <w:tcBorders>
              <w:top w:val="single" w:sz="8" w:color="0563C1"/>
            </w:tcBorders>
            <w:shd w:val="clear" w:color="auto" w:fill="91BBD3"/>
          </w:tcPr>
          <w:p>
            <w:pPr>
              <w:spacing w:after="0" w:line="20" w:lineRule="exact"/>
              <w:rPr>
                <w:sz w:val="1"/>
                <w:szCs w:val="1"/>
                <w:color w:val="auto"/>
              </w:rPr>
            </w:pPr>
          </w:p>
        </w:tc>
        <w:tc>
          <w:tcPr>
            <w:tcW w:w="340" w:type="dxa"/>
            <w:vAlign w:val="bottom"/>
            <w:tcBorders>
              <w:top w:val="single" w:sz="8" w:color="0563C1"/>
            </w:tcBorders>
            <w:shd w:val="clear" w:color="auto" w:fill="91BBD3"/>
          </w:tcPr>
          <w:p>
            <w:pPr>
              <w:spacing w:after="0" w:line="20" w:lineRule="exact"/>
              <w:rPr>
                <w:sz w:val="1"/>
                <w:szCs w:val="1"/>
                <w:color w:val="auto"/>
              </w:rPr>
            </w:pPr>
          </w:p>
        </w:tc>
        <w:tc>
          <w:tcPr>
            <w:tcW w:w="640" w:type="dxa"/>
            <w:vAlign w:val="bottom"/>
            <w:tcBorders>
              <w:top w:val="single" w:sz="8" w:color="DAE8F0"/>
            </w:tcBorders>
            <w:shd w:val="clear" w:color="auto" w:fill="91BBD3"/>
          </w:tcPr>
          <w:p>
            <w:pPr>
              <w:spacing w:after="0" w:line="20" w:lineRule="exact"/>
              <w:rPr>
                <w:sz w:val="1"/>
                <w:szCs w:val="1"/>
                <w:color w:val="auto"/>
              </w:rPr>
            </w:pPr>
          </w:p>
        </w:tc>
        <w:tc>
          <w:tcPr>
            <w:tcW w:w="1280" w:type="dxa"/>
            <w:vAlign w:val="bottom"/>
            <w:tcBorders>
              <w:top w:val="single" w:sz="8" w:color="DAE8F0"/>
            </w:tcBorders>
            <w:shd w:val="clear" w:color="auto" w:fill="91BBD3"/>
          </w:tcPr>
          <w:p>
            <w:pPr>
              <w:spacing w:after="0" w:line="20" w:lineRule="exact"/>
              <w:rPr>
                <w:sz w:val="1"/>
                <w:szCs w:val="1"/>
                <w:color w:val="auto"/>
              </w:rPr>
            </w:pPr>
          </w:p>
        </w:tc>
        <w:tc>
          <w:tcPr>
            <w:tcW w:w="78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DAE8F0"/>
            </w:tcBorders>
            <w:shd w:val="clear" w:color="auto" w:fill="91BBD3"/>
          </w:tcPr>
          <w:p>
            <w:pPr>
              <w:spacing w:after="0" w:line="20" w:lineRule="exact"/>
              <w:rPr>
                <w:sz w:val="1"/>
                <w:szCs w:val="1"/>
                <w:color w:val="auto"/>
              </w:rPr>
            </w:pPr>
          </w:p>
        </w:tc>
        <w:tc>
          <w:tcPr>
            <w:tcW w:w="1380" w:type="dxa"/>
            <w:vAlign w:val="bottom"/>
            <w:tcBorders>
              <w:top w:val="single" w:sz="8" w:color="DAE8F0"/>
            </w:tcBorders>
            <w:shd w:val="clear" w:color="auto" w:fill="91BBD3"/>
          </w:tcPr>
          <w:p>
            <w:pPr>
              <w:spacing w:after="0" w:line="20" w:lineRule="exact"/>
              <w:rPr>
                <w:sz w:val="1"/>
                <w:szCs w:val="1"/>
                <w:color w:val="auto"/>
              </w:rPr>
            </w:pPr>
          </w:p>
        </w:tc>
        <w:tc>
          <w:tcPr>
            <w:tcW w:w="122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Calibri" w:cs="Calibri" w:eastAsia="Calibri" w:hAnsi="Calibri"/>
                <w:sz w:val="18"/>
                <w:szCs w:val="18"/>
                <w:b w:val="1"/>
                <w:bCs w:val="1"/>
                <w:color w:val="auto"/>
              </w:rPr>
              <w:t>*21.01</w:t>
            </w:r>
          </w:p>
        </w:tc>
        <w:tc>
          <w:tcPr>
            <w:tcW w:w="100" w:type="dxa"/>
            <w:vAlign w:val="bottom"/>
          </w:tcPr>
          <w:p>
            <w:pPr>
              <w:spacing w:after="0"/>
              <w:rPr>
                <w:sz w:val="14"/>
                <w:szCs w:val="14"/>
                <w:color w:val="auto"/>
              </w:rPr>
            </w:pPr>
          </w:p>
        </w:tc>
        <w:tc>
          <w:tcPr>
            <w:tcW w:w="9120" w:type="dxa"/>
            <w:vAlign w:val="bottom"/>
            <w:tcBorders>
              <w:right w:val="single" w:sz="8" w:color="91BBD3"/>
            </w:tcBorders>
            <w:gridSpan w:val="15"/>
          </w:tcPr>
          <w:p>
            <w:pPr>
              <w:spacing w:after="0" w:line="169" w:lineRule="exact"/>
              <w:rPr>
                <w:sz w:val="20"/>
                <w:szCs w:val="20"/>
                <w:color w:val="auto"/>
              </w:rPr>
            </w:pPr>
            <w:r>
              <w:rPr>
                <w:rFonts w:ascii="MS PGothic" w:cs="MS PGothic" w:eastAsia="MS PGothic" w:hAnsi="MS PGothic"/>
                <w:sz w:val="18"/>
                <w:szCs w:val="18"/>
                <w:color w:val="0563C1"/>
              </w:rPr>
              <w:t>List of subsidiaries of Martn Marieta Materials, Inc.</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680" w:type="dxa"/>
            <w:vAlign w:val="bottom"/>
            <w:tcBorders>
              <w:left w:val="single" w:sz="8" w:color="91BBD3"/>
              <w:bottom w:val="single" w:sz="8" w:color="91BBD3"/>
              <w:right w:val="single" w:sz="8" w:color="91BBD3"/>
            </w:tcBorders>
          </w:tcPr>
          <w:p>
            <w:pPr>
              <w:spacing w:after="0"/>
              <w:rPr>
                <w:sz w:val="5"/>
                <w:szCs w:val="5"/>
                <w:color w:val="auto"/>
              </w:rPr>
            </w:pPr>
          </w:p>
        </w:tc>
        <w:tc>
          <w:tcPr>
            <w:tcW w:w="100" w:type="dxa"/>
            <w:vAlign w:val="bottom"/>
            <w:tcBorders>
              <w:bottom w:val="single" w:sz="8" w:color="91BBD3"/>
            </w:tcBorders>
          </w:tcPr>
          <w:p>
            <w:pPr>
              <w:spacing w:after="0"/>
              <w:rPr>
                <w:sz w:val="5"/>
                <w:szCs w:val="5"/>
                <w:color w:val="auto"/>
              </w:rPr>
            </w:pPr>
          </w:p>
        </w:tc>
        <w:tc>
          <w:tcPr>
            <w:tcW w:w="720" w:type="dxa"/>
            <w:vAlign w:val="bottom"/>
            <w:tcBorders>
              <w:top w:val="single" w:sz="8" w:color="0563C1"/>
              <w:bottom w:val="single" w:sz="8" w:color="91BBD3"/>
            </w:tcBorders>
          </w:tcPr>
          <w:p>
            <w:pPr>
              <w:spacing w:after="0"/>
              <w:rPr>
                <w:sz w:val="5"/>
                <w:szCs w:val="5"/>
                <w:color w:val="auto"/>
              </w:rPr>
            </w:pPr>
          </w:p>
        </w:tc>
        <w:tc>
          <w:tcPr>
            <w:tcW w:w="1120" w:type="dxa"/>
            <w:vAlign w:val="bottom"/>
            <w:tcBorders>
              <w:top w:val="single" w:sz="8" w:color="0563C1"/>
              <w:bottom w:val="single" w:sz="8" w:color="91BBD3"/>
            </w:tcBorders>
          </w:tcPr>
          <w:p>
            <w:pPr>
              <w:spacing w:after="0"/>
              <w:rPr>
                <w:sz w:val="5"/>
                <w:szCs w:val="5"/>
                <w:color w:val="auto"/>
              </w:rPr>
            </w:pPr>
          </w:p>
        </w:tc>
        <w:tc>
          <w:tcPr>
            <w:tcW w:w="240" w:type="dxa"/>
            <w:vAlign w:val="bottom"/>
            <w:tcBorders>
              <w:top w:val="single" w:sz="8" w:color="0563C1"/>
              <w:bottom w:val="single" w:sz="8" w:color="91BBD3"/>
            </w:tcBorders>
          </w:tcPr>
          <w:p>
            <w:pPr>
              <w:spacing w:after="0"/>
              <w:rPr>
                <w:sz w:val="5"/>
                <w:szCs w:val="5"/>
                <w:color w:val="auto"/>
              </w:rPr>
            </w:pPr>
          </w:p>
        </w:tc>
        <w:tc>
          <w:tcPr>
            <w:tcW w:w="60" w:type="dxa"/>
            <w:vAlign w:val="bottom"/>
            <w:tcBorders>
              <w:top w:val="single" w:sz="8" w:color="0563C1"/>
              <w:bottom w:val="single" w:sz="8" w:color="91BBD3"/>
            </w:tcBorders>
          </w:tcPr>
          <w:p>
            <w:pPr>
              <w:spacing w:after="0"/>
              <w:rPr>
                <w:sz w:val="5"/>
                <w:szCs w:val="5"/>
                <w:color w:val="auto"/>
              </w:rPr>
            </w:pPr>
          </w:p>
        </w:tc>
        <w:tc>
          <w:tcPr>
            <w:tcW w:w="280" w:type="dxa"/>
            <w:vAlign w:val="bottom"/>
            <w:tcBorders>
              <w:top w:val="single" w:sz="8" w:color="0563C1"/>
              <w:bottom w:val="single" w:sz="8" w:color="91BBD3"/>
            </w:tcBorders>
          </w:tcPr>
          <w:p>
            <w:pPr>
              <w:spacing w:after="0"/>
              <w:rPr>
                <w:sz w:val="5"/>
                <w:szCs w:val="5"/>
                <w:color w:val="auto"/>
              </w:rPr>
            </w:pPr>
          </w:p>
        </w:tc>
        <w:tc>
          <w:tcPr>
            <w:tcW w:w="300" w:type="dxa"/>
            <w:vAlign w:val="bottom"/>
            <w:tcBorders>
              <w:top w:val="single" w:sz="8" w:color="0563C1"/>
              <w:bottom w:val="single" w:sz="8" w:color="91BBD3"/>
            </w:tcBorders>
          </w:tcPr>
          <w:p>
            <w:pPr>
              <w:spacing w:after="0"/>
              <w:rPr>
                <w:sz w:val="5"/>
                <w:szCs w:val="5"/>
                <w:color w:val="auto"/>
              </w:rPr>
            </w:pPr>
          </w:p>
        </w:tc>
        <w:tc>
          <w:tcPr>
            <w:tcW w:w="340" w:type="dxa"/>
            <w:vAlign w:val="bottom"/>
            <w:tcBorders>
              <w:top w:val="single" w:sz="8" w:color="0563C1"/>
              <w:bottom w:val="single" w:sz="8" w:color="91BBD3"/>
            </w:tcBorders>
          </w:tcPr>
          <w:p>
            <w:pPr>
              <w:spacing w:after="0"/>
              <w:rPr>
                <w:sz w:val="5"/>
                <w:szCs w:val="5"/>
                <w:color w:val="auto"/>
              </w:rPr>
            </w:pPr>
          </w:p>
        </w:tc>
        <w:tc>
          <w:tcPr>
            <w:tcW w:w="640" w:type="dxa"/>
            <w:vAlign w:val="bottom"/>
            <w:tcBorders>
              <w:top w:val="single" w:sz="8" w:color="0563C1"/>
              <w:bottom w:val="single" w:sz="8" w:color="91BBD3"/>
            </w:tcBorders>
          </w:tcPr>
          <w:p>
            <w:pPr>
              <w:spacing w:after="0"/>
              <w:rPr>
                <w:sz w:val="5"/>
                <w:szCs w:val="5"/>
                <w:color w:val="auto"/>
              </w:rPr>
            </w:pPr>
          </w:p>
        </w:tc>
        <w:tc>
          <w:tcPr>
            <w:tcW w:w="1280" w:type="dxa"/>
            <w:vAlign w:val="bottom"/>
            <w:tcBorders>
              <w:bottom w:val="single" w:sz="8" w:color="91BBD3"/>
            </w:tcBorders>
          </w:tcPr>
          <w:p>
            <w:pPr>
              <w:spacing w:after="0"/>
              <w:rPr>
                <w:sz w:val="5"/>
                <w:szCs w:val="5"/>
                <w:color w:val="auto"/>
              </w:rPr>
            </w:pPr>
          </w:p>
        </w:tc>
        <w:tc>
          <w:tcPr>
            <w:tcW w:w="780" w:type="dxa"/>
            <w:vAlign w:val="bottom"/>
            <w:tcBorders>
              <w:bottom w:val="single" w:sz="8" w:color="91BBD3"/>
            </w:tcBorders>
          </w:tcPr>
          <w:p>
            <w:pPr>
              <w:spacing w:after="0"/>
              <w:rPr>
                <w:sz w:val="5"/>
                <w:szCs w:val="5"/>
                <w:color w:val="auto"/>
              </w:rPr>
            </w:pPr>
          </w:p>
        </w:tc>
        <w:tc>
          <w:tcPr>
            <w:tcW w:w="620" w:type="dxa"/>
            <w:vAlign w:val="bottom"/>
            <w:tcBorders>
              <w:bottom w:val="single" w:sz="8" w:color="91BBD3"/>
            </w:tcBorders>
          </w:tcPr>
          <w:p>
            <w:pPr>
              <w:spacing w:after="0"/>
              <w:rPr>
                <w:sz w:val="5"/>
                <w:szCs w:val="5"/>
                <w:color w:val="auto"/>
              </w:rPr>
            </w:pPr>
          </w:p>
        </w:tc>
        <w:tc>
          <w:tcPr>
            <w:tcW w:w="1380" w:type="dxa"/>
            <w:vAlign w:val="bottom"/>
            <w:tcBorders>
              <w:bottom w:val="single" w:sz="8" w:color="91BBD3"/>
            </w:tcBorders>
          </w:tcPr>
          <w:p>
            <w:pPr>
              <w:spacing w:after="0"/>
              <w:rPr>
                <w:sz w:val="5"/>
                <w:szCs w:val="5"/>
                <w:color w:val="auto"/>
              </w:rPr>
            </w:pPr>
          </w:p>
        </w:tc>
        <w:tc>
          <w:tcPr>
            <w:tcW w:w="1220" w:type="dxa"/>
            <w:vAlign w:val="bottom"/>
            <w:tcBorders>
              <w:bottom w:val="single" w:sz="8" w:color="91BBD3"/>
            </w:tcBorders>
          </w:tcPr>
          <w:p>
            <w:pPr>
              <w:spacing w:after="0"/>
              <w:rPr>
                <w:sz w:val="5"/>
                <w:szCs w:val="5"/>
                <w:color w:val="auto"/>
              </w:rPr>
            </w:pPr>
          </w:p>
        </w:tc>
        <w:tc>
          <w:tcPr>
            <w:tcW w:w="40" w:type="dxa"/>
            <w:vAlign w:val="bottom"/>
            <w:tcBorders>
              <w:bottom w:val="single" w:sz="8" w:color="91BBD3"/>
            </w:tcBorders>
          </w:tcPr>
          <w:p>
            <w:pPr>
              <w:spacing w:after="0"/>
              <w:rPr>
                <w:sz w:val="5"/>
                <w:szCs w:val="5"/>
                <w:color w:val="auto"/>
              </w:rPr>
            </w:pPr>
          </w:p>
        </w:tc>
        <w:tc>
          <w:tcPr>
            <w:tcW w:w="100" w:type="dxa"/>
            <w:vAlign w:val="bottom"/>
            <w:tcBorders>
              <w:bottom w:val="single" w:sz="8" w:color="91BBD3"/>
              <w:right w:val="single" w:sz="8" w:color="91BBD3"/>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shd w:val="clear" w:color="auto" w:fill="DAE8F0"/>
          </w:tcPr>
          <w:p>
            <w:pPr>
              <w:ind w:left="120"/>
              <w:spacing w:after="0" w:line="169" w:lineRule="exact"/>
              <w:rPr>
                <w:sz w:val="20"/>
                <w:szCs w:val="20"/>
                <w:color w:val="auto"/>
              </w:rPr>
            </w:pPr>
            <w:r>
              <w:rPr>
                <w:rFonts w:ascii="Calibri" w:cs="Calibri" w:eastAsia="Calibri" w:hAnsi="Calibri"/>
                <w:sz w:val="18"/>
                <w:szCs w:val="18"/>
                <w:b w:val="1"/>
                <w:bCs w:val="1"/>
                <w:color w:val="auto"/>
              </w:rPr>
              <w:t>*23.01</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5"/>
            <w:shd w:val="clear" w:color="auto" w:fill="DAE8F0"/>
          </w:tcPr>
          <w:p>
            <w:pPr>
              <w:spacing w:after="0" w:line="169" w:lineRule="exact"/>
              <w:rPr>
                <w:sz w:val="20"/>
                <w:szCs w:val="20"/>
                <w:color w:val="auto"/>
              </w:rPr>
            </w:pPr>
            <w:r>
              <w:rPr>
                <w:rFonts w:ascii="MS PGothic" w:cs="MS PGothic" w:eastAsia="MS PGothic" w:hAnsi="MS PGothic"/>
                <w:sz w:val="18"/>
                <w:szCs w:val="18"/>
                <w:color w:val="0563C1"/>
                <w:w w:val="98"/>
              </w:rPr>
              <w:t>Consent of PricewaterhouseCoopers LLP, Independent Registered Public Accountng Firm for Martn Marieta Materials, Inc.</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680" w:type="dxa"/>
            <w:vAlign w:val="bottom"/>
            <w:tcBorders>
              <w:top w:val="single" w:sz="8" w:color="DAE8F0"/>
              <w:left w:val="single" w:sz="8" w:color="91BBD3"/>
              <w:right w:val="single" w:sz="8" w:color="91BBD3"/>
            </w:tcBorders>
            <w:shd w:val="clear" w:color="auto" w:fill="DAE8F0"/>
          </w:tcPr>
          <w:p>
            <w:pPr>
              <w:spacing w:after="0"/>
              <w:rPr>
                <w:sz w:val="21"/>
                <w:szCs w:val="21"/>
                <w:color w:val="auto"/>
              </w:rPr>
            </w:pPr>
          </w:p>
        </w:tc>
        <w:tc>
          <w:tcPr>
            <w:tcW w:w="100" w:type="dxa"/>
            <w:vAlign w:val="bottom"/>
            <w:tcBorders>
              <w:top w:val="single" w:sz="8" w:color="DAE8F0"/>
            </w:tcBorders>
            <w:shd w:val="clear" w:color="auto" w:fill="DAE8F0"/>
          </w:tcPr>
          <w:p>
            <w:pPr>
              <w:spacing w:after="0"/>
              <w:rPr>
                <w:sz w:val="21"/>
                <w:szCs w:val="21"/>
                <w:color w:val="auto"/>
              </w:rPr>
            </w:pPr>
          </w:p>
        </w:tc>
        <w:tc>
          <w:tcPr>
            <w:tcW w:w="8980" w:type="dxa"/>
            <w:vAlign w:val="bottom"/>
            <w:tcBorders>
              <w:top w:val="single" w:sz="8" w:color="0563C1"/>
            </w:tcBorders>
            <w:gridSpan w:val="13"/>
            <w:shd w:val="clear" w:color="auto" w:fill="DAE8F0"/>
          </w:tcPr>
          <w:p>
            <w:pPr>
              <w:spacing w:after="0"/>
              <w:rPr>
                <w:sz w:val="20"/>
                <w:szCs w:val="20"/>
                <w:color w:val="auto"/>
              </w:rPr>
            </w:pPr>
            <w:r>
              <w:rPr>
                <w:rFonts w:ascii="MS PGothic" w:cs="MS PGothic" w:eastAsia="MS PGothic" w:hAnsi="MS PGothic"/>
                <w:sz w:val="18"/>
                <w:szCs w:val="18"/>
                <w:color w:val="0563C1"/>
              </w:rPr>
              <w:t>and consolidated subsidiaries</w:t>
            </w:r>
          </w:p>
        </w:tc>
        <w:tc>
          <w:tcPr>
            <w:tcW w:w="140" w:type="dxa"/>
            <w:vAlign w:val="bottom"/>
            <w:tcBorders>
              <w:top w:val="single" w:sz="8" w:color="DAE8F0"/>
              <w:left w:val="single" w:sz="8" w:color="DAE8F0"/>
              <w:right w:val="single" w:sz="8" w:color="91BBD3"/>
            </w:tcBorders>
            <w:gridSpan w:val="2"/>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1120" w:type="dxa"/>
            <w:vAlign w:val="bottom"/>
            <w:tcBorders>
              <w:top w:val="single" w:sz="8" w:color="0563C1"/>
            </w:tcBorders>
            <w:shd w:val="clear" w:color="auto" w:fill="91BBD3"/>
          </w:tcPr>
          <w:p>
            <w:pPr>
              <w:spacing w:after="0" w:line="20" w:lineRule="exact"/>
              <w:rPr>
                <w:sz w:val="1"/>
                <w:szCs w:val="1"/>
                <w:color w:val="auto"/>
              </w:rPr>
            </w:pPr>
          </w:p>
        </w:tc>
        <w:tc>
          <w:tcPr>
            <w:tcW w:w="240" w:type="dxa"/>
            <w:vAlign w:val="bottom"/>
            <w:tcBorders>
              <w:top w:val="single" w:sz="8" w:color="0563C1"/>
            </w:tcBorders>
            <w:shd w:val="clear" w:color="auto" w:fill="91BBD3"/>
          </w:tcPr>
          <w:p>
            <w:pPr>
              <w:spacing w:after="0" w:line="20" w:lineRule="exact"/>
              <w:rPr>
                <w:sz w:val="1"/>
                <w:szCs w:val="1"/>
                <w:color w:val="auto"/>
              </w:rPr>
            </w:pPr>
          </w:p>
        </w:tc>
        <w:tc>
          <w:tcPr>
            <w:tcW w:w="60" w:type="dxa"/>
            <w:vAlign w:val="bottom"/>
            <w:tcBorders>
              <w:top w:val="single" w:sz="8" w:color="DAE8F0"/>
            </w:tcBorders>
            <w:shd w:val="clear" w:color="auto" w:fill="91BBD3"/>
          </w:tcPr>
          <w:p>
            <w:pPr>
              <w:spacing w:after="0" w:line="20" w:lineRule="exact"/>
              <w:rPr>
                <w:sz w:val="1"/>
                <w:szCs w:val="1"/>
                <w:color w:val="auto"/>
              </w:rPr>
            </w:pPr>
          </w:p>
        </w:tc>
        <w:tc>
          <w:tcPr>
            <w:tcW w:w="280" w:type="dxa"/>
            <w:vAlign w:val="bottom"/>
            <w:tcBorders>
              <w:top w:val="single" w:sz="8" w:color="DAE8F0"/>
            </w:tcBorders>
            <w:shd w:val="clear" w:color="auto" w:fill="91BBD3"/>
          </w:tcPr>
          <w:p>
            <w:pPr>
              <w:spacing w:after="0" w:line="20" w:lineRule="exact"/>
              <w:rPr>
                <w:sz w:val="1"/>
                <w:szCs w:val="1"/>
                <w:color w:val="auto"/>
              </w:rPr>
            </w:pPr>
          </w:p>
        </w:tc>
        <w:tc>
          <w:tcPr>
            <w:tcW w:w="300" w:type="dxa"/>
            <w:vAlign w:val="bottom"/>
            <w:tcBorders>
              <w:top w:val="single" w:sz="8" w:color="DAE8F0"/>
            </w:tcBorders>
            <w:shd w:val="clear" w:color="auto" w:fill="91BBD3"/>
          </w:tcPr>
          <w:p>
            <w:pPr>
              <w:spacing w:after="0" w:line="20" w:lineRule="exact"/>
              <w:rPr>
                <w:sz w:val="1"/>
                <w:szCs w:val="1"/>
                <w:color w:val="auto"/>
              </w:rPr>
            </w:pPr>
          </w:p>
        </w:tc>
        <w:tc>
          <w:tcPr>
            <w:tcW w:w="340" w:type="dxa"/>
            <w:vAlign w:val="bottom"/>
            <w:tcBorders>
              <w:top w:val="single" w:sz="8" w:color="DAE8F0"/>
            </w:tcBorders>
            <w:shd w:val="clear" w:color="auto" w:fill="91BBD3"/>
          </w:tcPr>
          <w:p>
            <w:pPr>
              <w:spacing w:after="0" w:line="20" w:lineRule="exact"/>
              <w:rPr>
                <w:sz w:val="1"/>
                <w:szCs w:val="1"/>
                <w:color w:val="auto"/>
              </w:rPr>
            </w:pPr>
          </w:p>
        </w:tc>
        <w:tc>
          <w:tcPr>
            <w:tcW w:w="640" w:type="dxa"/>
            <w:vAlign w:val="bottom"/>
            <w:tcBorders>
              <w:top w:val="single" w:sz="8" w:color="DAE8F0"/>
            </w:tcBorders>
            <w:shd w:val="clear" w:color="auto" w:fill="91BBD3"/>
          </w:tcPr>
          <w:p>
            <w:pPr>
              <w:spacing w:after="0" w:line="20" w:lineRule="exact"/>
              <w:rPr>
                <w:sz w:val="1"/>
                <w:szCs w:val="1"/>
                <w:color w:val="auto"/>
              </w:rPr>
            </w:pPr>
          </w:p>
        </w:tc>
        <w:tc>
          <w:tcPr>
            <w:tcW w:w="1280" w:type="dxa"/>
            <w:vAlign w:val="bottom"/>
            <w:tcBorders>
              <w:top w:val="single" w:sz="8" w:color="DAE8F0"/>
            </w:tcBorders>
            <w:shd w:val="clear" w:color="auto" w:fill="91BBD3"/>
          </w:tcPr>
          <w:p>
            <w:pPr>
              <w:spacing w:after="0" w:line="20" w:lineRule="exact"/>
              <w:rPr>
                <w:sz w:val="1"/>
                <w:szCs w:val="1"/>
                <w:color w:val="auto"/>
              </w:rPr>
            </w:pPr>
          </w:p>
        </w:tc>
        <w:tc>
          <w:tcPr>
            <w:tcW w:w="78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DAE8F0"/>
            </w:tcBorders>
            <w:shd w:val="clear" w:color="auto" w:fill="91BBD3"/>
          </w:tcPr>
          <w:p>
            <w:pPr>
              <w:spacing w:after="0" w:line="20" w:lineRule="exact"/>
              <w:rPr>
                <w:sz w:val="1"/>
                <w:szCs w:val="1"/>
                <w:color w:val="auto"/>
              </w:rPr>
            </w:pPr>
          </w:p>
        </w:tc>
        <w:tc>
          <w:tcPr>
            <w:tcW w:w="1380" w:type="dxa"/>
            <w:vAlign w:val="bottom"/>
            <w:tcBorders>
              <w:top w:val="single" w:sz="8" w:color="DAE8F0"/>
            </w:tcBorders>
            <w:shd w:val="clear" w:color="auto" w:fill="91BBD3"/>
          </w:tcPr>
          <w:p>
            <w:pPr>
              <w:spacing w:after="0" w:line="20" w:lineRule="exact"/>
              <w:rPr>
                <w:sz w:val="1"/>
                <w:szCs w:val="1"/>
                <w:color w:val="auto"/>
              </w:rPr>
            </w:pPr>
          </w:p>
        </w:tc>
        <w:tc>
          <w:tcPr>
            <w:tcW w:w="122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Calibri" w:cs="Calibri" w:eastAsia="Calibri" w:hAnsi="Calibri"/>
                <w:sz w:val="18"/>
                <w:szCs w:val="18"/>
                <w:b w:val="1"/>
                <w:bCs w:val="1"/>
                <w:color w:val="auto"/>
              </w:rPr>
              <w:t>*24.01</w:t>
            </w:r>
          </w:p>
        </w:tc>
        <w:tc>
          <w:tcPr>
            <w:tcW w:w="100" w:type="dxa"/>
            <w:vAlign w:val="bottom"/>
          </w:tcPr>
          <w:p>
            <w:pPr>
              <w:spacing w:after="0"/>
              <w:rPr>
                <w:sz w:val="14"/>
                <w:szCs w:val="14"/>
                <w:color w:val="auto"/>
              </w:rPr>
            </w:pPr>
          </w:p>
        </w:tc>
        <w:tc>
          <w:tcPr>
            <w:tcW w:w="9120" w:type="dxa"/>
            <w:vAlign w:val="bottom"/>
            <w:tcBorders>
              <w:right w:val="single" w:sz="8" w:color="91BBD3"/>
            </w:tcBorders>
            <w:gridSpan w:val="15"/>
          </w:tcPr>
          <w:p>
            <w:pPr>
              <w:spacing w:after="0" w:line="169" w:lineRule="exact"/>
              <w:rPr>
                <w:sz w:val="20"/>
                <w:szCs w:val="20"/>
                <w:color w:val="auto"/>
              </w:rPr>
            </w:pPr>
            <w:r>
              <w:rPr>
                <w:rFonts w:ascii="MS PGothic" w:cs="MS PGothic" w:eastAsia="MS PGothic" w:hAnsi="MS PGothic"/>
                <w:sz w:val="18"/>
                <w:szCs w:val="18"/>
                <w:color w:val="0563C1"/>
              </w:rPr>
              <w:t>Powers of Atorney (included in this Form 10-K immediately following Signatures)</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680" w:type="dxa"/>
            <w:vAlign w:val="bottom"/>
            <w:tcBorders>
              <w:left w:val="single" w:sz="8" w:color="91BBD3"/>
              <w:bottom w:val="single" w:sz="8" w:color="91BBD3"/>
              <w:right w:val="single" w:sz="8" w:color="91BBD3"/>
            </w:tcBorders>
          </w:tcPr>
          <w:p>
            <w:pPr>
              <w:spacing w:after="0"/>
              <w:rPr>
                <w:sz w:val="5"/>
                <w:szCs w:val="5"/>
                <w:color w:val="auto"/>
              </w:rPr>
            </w:pPr>
          </w:p>
        </w:tc>
        <w:tc>
          <w:tcPr>
            <w:tcW w:w="100" w:type="dxa"/>
            <w:vAlign w:val="bottom"/>
            <w:tcBorders>
              <w:bottom w:val="single" w:sz="8" w:color="91BBD3"/>
            </w:tcBorders>
          </w:tcPr>
          <w:p>
            <w:pPr>
              <w:spacing w:after="0"/>
              <w:rPr>
                <w:sz w:val="5"/>
                <w:szCs w:val="5"/>
                <w:color w:val="auto"/>
              </w:rPr>
            </w:pPr>
          </w:p>
        </w:tc>
        <w:tc>
          <w:tcPr>
            <w:tcW w:w="720" w:type="dxa"/>
            <w:vAlign w:val="bottom"/>
            <w:tcBorders>
              <w:top w:val="single" w:sz="8" w:color="0563C1"/>
              <w:bottom w:val="single" w:sz="8" w:color="91BBD3"/>
            </w:tcBorders>
          </w:tcPr>
          <w:p>
            <w:pPr>
              <w:spacing w:after="0"/>
              <w:rPr>
                <w:sz w:val="5"/>
                <w:szCs w:val="5"/>
                <w:color w:val="auto"/>
              </w:rPr>
            </w:pPr>
          </w:p>
        </w:tc>
        <w:tc>
          <w:tcPr>
            <w:tcW w:w="1120" w:type="dxa"/>
            <w:vAlign w:val="bottom"/>
            <w:tcBorders>
              <w:top w:val="single" w:sz="8" w:color="0563C1"/>
              <w:bottom w:val="single" w:sz="8" w:color="91BBD3"/>
            </w:tcBorders>
          </w:tcPr>
          <w:p>
            <w:pPr>
              <w:spacing w:after="0"/>
              <w:rPr>
                <w:sz w:val="5"/>
                <w:szCs w:val="5"/>
                <w:color w:val="auto"/>
              </w:rPr>
            </w:pPr>
          </w:p>
        </w:tc>
        <w:tc>
          <w:tcPr>
            <w:tcW w:w="240" w:type="dxa"/>
            <w:vAlign w:val="bottom"/>
            <w:tcBorders>
              <w:top w:val="single" w:sz="8" w:color="0563C1"/>
              <w:bottom w:val="single" w:sz="8" w:color="91BBD3"/>
            </w:tcBorders>
          </w:tcPr>
          <w:p>
            <w:pPr>
              <w:spacing w:after="0"/>
              <w:rPr>
                <w:sz w:val="5"/>
                <w:szCs w:val="5"/>
                <w:color w:val="auto"/>
              </w:rPr>
            </w:pPr>
          </w:p>
        </w:tc>
        <w:tc>
          <w:tcPr>
            <w:tcW w:w="60" w:type="dxa"/>
            <w:vAlign w:val="bottom"/>
            <w:tcBorders>
              <w:top w:val="single" w:sz="8" w:color="0563C1"/>
              <w:bottom w:val="single" w:sz="8" w:color="91BBD3"/>
            </w:tcBorders>
          </w:tcPr>
          <w:p>
            <w:pPr>
              <w:spacing w:after="0"/>
              <w:rPr>
                <w:sz w:val="5"/>
                <w:szCs w:val="5"/>
                <w:color w:val="auto"/>
              </w:rPr>
            </w:pPr>
          </w:p>
        </w:tc>
        <w:tc>
          <w:tcPr>
            <w:tcW w:w="280" w:type="dxa"/>
            <w:vAlign w:val="bottom"/>
            <w:tcBorders>
              <w:top w:val="single" w:sz="8" w:color="0563C1"/>
              <w:bottom w:val="single" w:sz="8" w:color="91BBD3"/>
            </w:tcBorders>
          </w:tcPr>
          <w:p>
            <w:pPr>
              <w:spacing w:after="0"/>
              <w:rPr>
                <w:sz w:val="5"/>
                <w:szCs w:val="5"/>
                <w:color w:val="auto"/>
              </w:rPr>
            </w:pPr>
          </w:p>
        </w:tc>
        <w:tc>
          <w:tcPr>
            <w:tcW w:w="300" w:type="dxa"/>
            <w:vAlign w:val="bottom"/>
            <w:tcBorders>
              <w:top w:val="single" w:sz="8" w:color="0563C1"/>
              <w:bottom w:val="single" w:sz="8" w:color="91BBD3"/>
            </w:tcBorders>
          </w:tcPr>
          <w:p>
            <w:pPr>
              <w:spacing w:after="0"/>
              <w:rPr>
                <w:sz w:val="5"/>
                <w:szCs w:val="5"/>
                <w:color w:val="auto"/>
              </w:rPr>
            </w:pPr>
          </w:p>
        </w:tc>
        <w:tc>
          <w:tcPr>
            <w:tcW w:w="340" w:type="dxa"/>
            <w:vAlign w:val="bottom"/>
            <w:tcBorders>
              <w:top w:val="single" w:sz="8" w:color="0563C1"/>
              <w:bottom w:val="single" w:sz="8" w:color="91BBD3"/>
            </w:tcBorders>
          </w:tcPr>
          <w:p>
            <w:pPr>
              <w:spacing w:after="0"/>
              <w:rPr>
                <w:sz w:val="5"/>
                <w:szCs w:val="5"/>
                <w:color w:val="auto"/>
              </w:rPr>
            </w:pPr>
          </w:p>
        </w:tc>
        <w:tc>
          <w:tcPr>
            <w:tcW w:w="640" w:type="dxa"/>
            <w:vAlign w:val="bottom"/>
            <w:tcBorders>
              <w:top w:val="single" w:sz="8" w:color="0563C1"/>
              <w:bottom w:val="single" w:sz="8" w:color="91BBD3"/>
            </w:tcBorders>
          </w:tcPr>
          <w:p>
            <w:pPr>
              <w:spacing w:after="0"/>
              <w:rPr>
                <w:sz w:val="5"/>
                <w:szCs w:val="5"/>
                <w:color w:val="auto"/>
              </w:rPr>
            </w:pPr>
          </w:p>
        </w:tc>
        <w:tc>
          <w:tcPr>
            <w:tcW w:w="1280" w:type="dxa"/>
            <w:vAlign w:val="bottom"/>
            <w:tcBorders>
              <w:top w:val="single" w:sz="8" w:color="0563C1"/>
              <w:bottom w:val="single" w:sz="8" w:color="91BBD3"/>
            </w:tcBorders>
          </w:tcPr>
          <w:p>
            <w:pPr>
              <w:spacing w:after="0"/>
              <w:rPr>
                <w:sz w:val="5"/>
                <w:szCs w:val="5"/>
                <w:color w:val="auto"/>
              </w:rPr>
            </w:pPr>
          </w:p>
        </w:tc>
        <w:tc>
          <w:tcPr>
            <w:tcW w:w="780" w:type="dxa"/>
            <w:vAlign w:val="bottom"/>
            <w:tcBorders>
              <w:top w:val="single" w:sz="8" w:color="0563C1"/>
              <w:bottom w:val="single" w:sz="8" w:color="91BBD3"/>
            </w:tcBorders>
          </w:tcPr>
          <w:p>
            <w:pPr>
              <w:spacing w:after="0"/>
              <w:rPr>
                <w:sz w:val="5"/>
                <w:szCs w:val="5"/>
                <w:color w:val="auto"/>
              </w:rPr>
            </w:pPr>
          </w:p>
        </w:tc>
        <w:tc>
          <w:tcPr>
            <w:tcW w:w="620" w:type="dxa"/>
            <w:vAlign w:val="bottom"/>
            <w:tcBorders>
              <w:bottom w:val="single" w:sz="8" w:color="91BBD3"/>
            </w:tcBorders>
          </w:tcPr>
          <w:p>
            <w:pPr>
              <w:spacing w:after="0"/>
              <w:rPr>
                <w:sz w:val="5"/>
                <w:szCs w:val="5"/>
                <w:color w:val="auto"/>
              </w:rPr>
            </w:pPr>
          </w:p>
        </w:tc>
        <w:tc>
          <w:tcPr>
            <w:tcW w:w="1380" w:type="dxa"/>
            <w:vAlign w:val="bottom"/>
            <w:tcBorders>
              <w:bottom w:val="single" w:sz="8" w:color="91BBD3"/>
            </w:tcBorders>
          </w:tcPr>
          <w:p>
            <w:pPr>
              <w:spacing w:after="0"/>
              <w:rPr>
                <w:sz w:val="5"/>
                <w:szCs w:val="5"/>
                <w:color w:val="auto"/>
              </w:rPr>
            </w:pPr>
          </w:p>
        </w:tc>
        <w:tc>
          <w:tcPr>
            <w:tcW w:w="1220" w:type="dxa"/>
            <w:vAlign w:val="bottom"/>
            <w:tcBorders>
              <w:bottom w:val="single" w:sz="8" w:color="91BBD3"/>
            </w:tcBorders>
          </w:tcPr>
          <w:p>
            <w:pPr>
              <w:spacing w:after="0"/>
              <w:rPr>
                <w:sz w:val="5"/>
                <w:szCs w:val="5"/>
                <w:color w:val="auto"/>
              </w:rPr>
            </w:pPr>
          </w:p>
        </w:tc>
        <w:tc>
          <w:tcPr>
            <w:tcW w:w="40" w:type="dxa"/>
            <w:vAlign w:val="bottom"/>
            <w:tcBorders>
              <w:bottom w:val="single" w:sz="8" w:color="91BBD3"/>
            </w:tcBorders>
          </w:tcPr>
          <w:p>
            <w:pPr>
              <w:spacing w:after="0"/>
              <w:rPr>
                <w:sz w:val="5"/>
                <w:szCs w:val="5"/>
                <w:color w:val="auto"/>
              </w:rPr>
            </w:pPr>
          </w:p>
        </w:tc>
        <w:tc>
          <w:tcPr>
            <w:tcW w:w="100" w:type="dxa"/>
            <w:vAlign w:val="bottom"/>
            <w:tcBorders>
              <w:bottom w:val="single" w:sz="8" w:color="91BBD3"/>
              <w:right w:val="single" w:sz="8" w:color="91BBD3"/>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bottom w:val="single" w:sz="8" w:color="DAE8F0"/>
              <w:right w:val="single" w:sz="8" w:color="91BBD3"/>
            </w:tcBorders>
            <w:shd w:val="clear" w:color="auto" w:fill="DAE8F0"/>
          </w:tcPr>
          <w:p>
            <w:pPr>
              <w:ind w:left="120"/>
              <w:spacing w:after="0" w:line="169" w:lineRule="exact"/>
              <w:rPr>
                <w:sz w:val="20"/>
                <w:szCs w:val="20"/>
                <w:color w:val="auto"/>
              </w:rPr>
            </w:pPr>
            <w:r>
              <w:rPr>
                <w:rFonts w:ascii="Calibri" w:cs="Calibri" w:eastAsia="Calibri" w:hAnsi="Calibri"/>
                <w:sz w:val="18"/>
                <w:szCs w:val="18"/>
                <w:b w:val="1"/>
                <w:bCs w:val="1"/>
                <w:color w:val="auto"/>
              </w:rPr>
              <w:t>*31.01</w:t>
            </w:r>
          </w:p>
        </w:tc>
        <w:tc>
          <w:tcPr>
            <w:tcW w:w="100" w:type="dxa"/>
            <w:vAlign w:val="bottom"/>
            <w:tcBorders>
              <w:bottom w:val="single" w:sz="8" w:color="DAE8F0"/>
            </w:tcBorders>
            <w:shd w:val="clear" w:color="auto" w:fill="DAE8F0"/>
          </w:tcPr>
          <w:p>
            <w:pPr>
              <w:spacing w:after="0"/>
              <w:rPr>
                <w:sz w:val="14"/>
                <w:szCs w:val="14"/>
                <w:color w:val="auto"/>
              </w:rPr>
            </w:pPr>
          </w:p>
        </w:tc>
        <w:tc>
          <w:tcPr>
            <w:tcW w:w="8980" w:type="dxa"/>
            <w:vAlign w:val="bottom"/>
            <w:tcBorders>
              <w:bottom w:val="single" w:sz="8" w:color="0563C1"/>
            </w:tcBorders>
            <w:gridSpan w:val="13"/>
            <w:shd w:val="clear" w:color="auto" w:fill="DAE8F0"/>
          </w:tcPr>
          <w:p>
            <w:pPr>
              <w:spacing w:after="0" w:line="169" w:lineRule="exact"/>
              <w:rPr>
                <w:sz w:val="20"/>
                <w:szCs w:val="20"/>
                <w:color w:val="auto"/>
              </w:rPr>
            </w:pPr>
            <w:r>
              <w:rPr>
                <w:rFonts w:ascii="MS PGothic" w:cs="MS PGothic" w:eastAsia="MS PGothic" w:hAnsi="MS PGothic"/>
                <w:sz w:val="18"/>
                <w:szCs w:val="18"/>
                <w:color w:val="0563C1"/>
                <w:w w:val="96"/>
              </w:rPr>
              <w:t>Certfcaton dated February 23, 2024 of Chief Executve Ofcer pursuant to Securites and Exchange Act of 1934, rule 13a‑14,</w:t>
            </w:r>
          </w:p>
        </w:tc>
        <w:tc>
          <w:tcPr>
            <w:tcW w:w="140" w:type="dxa"/>
            <w:vAlign w:val="bottom"/>
            <w:tcBorders>
              <w:left w:val="single" w:sz="8" w:color="DAE8F0"/>
              <w:bottom w:val="single" w:sz="8" w:color="DAE8F0"/>
              <w:right w:val="single" w:sz="8" w:color="91BBD3"/>
            </w:tcBorders>
            <w:gridSpan w:val="2"/>
            <w:shd w:val="clear" w:color="auto" w:fill="DAE8F0"/>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680" w:type="dxa"/>
            <w:vAlign w:val="bottom"/>
            <w:tcBorders>
              <w:left w:val="single" w:sz="8" w:color="91BBD3"/>
              <w:right w:val="single" w:sz="8" w:color="91BBD3"/>
            </w:tcBorders>
            <w:shd w:val="clear" w:color="auto" w:fill="DAE8F0"/>
          </w:tcPr>
          <w:p>
            <w:pPr>
              <w:spacing w:after="0"/>
              <w:rPr>
                <w:sz w:val="21"/>
                <w:szCs w:val="21"/>
                <w:color w:val="auto"/>
              </w:rPr>
            </w:pPr>
          </w:p>
        </w:tc>
        <w:tc>
          <w:tcPr>
            <w:tcW w:w="100" w:type="dxa"/>
            <w:vAlign w:val="bottom"/>
            <w:shd w:val="clear" w:color="auto" w:fill="DAE8F0"/>
          </w:tcPr>
          <w:p>
            <w:pPr>
              <w:spacing w:after="0"/>
              <w:rPr>
                <w:sz w:val="21"/>
                <w:szCs w:val="21"/>
                <w:color w:val="auto"/>
              </w:rPr>
            </w:pPr>
          </w:p>
        </w:tc>
        <w:tc>
          <w:tcPr>
            <w:tcW w:w="9120" w:type="dxa"/>
            <w:vAlign w:val="bottom"/>
            <w:tcBorders>
              <w:right w:val="single" w:sz="8" w:color="91BBD3"/>
            </w:tcBorders>
            <w:gridSpan w:val="15"/>
            <w:shd w:val="clear" w:color="auto" w:fill="DAE8F0"/>
          </w:tcPr>
          <w:p>
            <w:pPr>
              <w:spacing w:after="0"/>
              <w:rPr>
                <w:sz w:val="20"/>
                <w:szCs w:val="20"/>
                <w:color w:val="auto"/>
              </w:rPr>
            </w:pPr>
            <w:r>
              <w:rPr>
                <w:rFonts w:ascii="MS PGothic" w:cs="MS PGothic" w:eastAsia="MS PGothic" w:hAnsi="MS PGothic"/>
                <w:sz w:val="18"/>
                <w:szCs w:val="18"/>
                <w:color w:val="0563C1"/>
              </w:rPr>
              <w:t>as adopted pursuant to Secton 302 of the Sarbanes-Oxley Act of 2002</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1120" w:type="dxa"/>
            <w:vAlign w:val="bottom"/>
            <w:tcBorders>
              <w:top w:val="single" w:sz="8" w:color="0563C1"/>
            </w:tcBorders>
            <w:shd w:val="clear" w:color="auto" w:fill="91BBD3"/>
          </w:tcPr>
          <w:p>
            <w:pPr>
              <w:spacing w:after="0" w:line="20" w:lineRule="exact"/>
              <w:rPr>
                <w:sz w:val="1"/>
                <w:szCs w:val="1"/>
                <w:color w:val="auto"/>
              </w:rPr>
            </w:pPr>
          </w:p>
        </w:tc>
        <w:tc>
          <w:tcPr>
            <w:tcW w:w="240" w:type="dxa"/>
            <w:vAlign w:val="bottom"/>
            <w:tcBorders>
              <w:top w:val="single" w:sz="8" w:color="0563C1"/>
            </w:tcBorders>
            <w:shd w:val="clear" w:color="auto" w:fill="91BBD3"/>
          </w:tcPr>
          <w:p>
            <w:pPr>
              <w:spacing w:after="0" w:line="20" w:lineRule="exact"/>
              <w:rPr>
                <w:sz w:val="1"/>
                <w:szCs w:val="1"/>
                <w:color w:val="auto"/>
              </w:rPr>
            </w:pPr>
          </w:p>
        </w:tc>
        <w:tc>
          <w:tcPr>
            <w:tcW w:w="6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0563C1"/>
            </w:tcBorders>
            <w:shd w:val="clear" w:color="auto" w:fill="91BBD3"/>
          </w:tcPr>
          <w:p>
            <w:pPr>
              <w:spacing w:after="0" w:line="20" w:lineRule="exact"/>
              <w:rPr>
                <w:sz w:val="1"/>
                <w:szCs w:val="1"/>
                <w:color w:val="auto"/>
              </w:rPr>
            </w:pPr>
          </w:p>
        </w:tc>
        <w:tc>
          <w:tcPr>
            <w:tcW w:w="300" w:type="dxa"/>
            <w:vAlign w:val="bottom"/>
            <w:tcBorders>
              <w:top w:val="single" w:sz="8" w:color="0563C1"/>
            </w:tcBorders>
            <w:shd w:val="clear" w:color="auto" w:fill="91BBD3"/>
          </w:tcPr>
          <w:p>
            <w:pPr>
              <w:spacing w:after="0" w:line="20" w:lineRule="exact"/>
              <w:rPr>
                <w:sz w:val="1"/>
                <w:szCs w:val="1"/>
                <w:color w:val="auto"/>
              </w:rPr>
            </w:pPr>
          </w:p>
        </w:tc>
        <w:tc>
          <w:tcPr>
            <w:tcW w:w="340" w:type="dxa"/>
            <w:vAlign w:val="bottom"/>
            <w:tcBorders>
              <w:top w:val="single" w:sz="8" w:color="0563C1"/>
            </w:tcBorders>
            <w:shd w:val="clear" w:color="auto" w:fill="91BBD3"/>
          </w:tcPr>
          <w:p>
            <w:pPr>
              <w:spacing w:after="0" w:line="20" w:lineRule="exact"/>
              <w:rPr>
                <w:sz w:val="1"/>
                <w:szCs w:val="1"/>
                <w:color w:val="auto"/>
              </w:rPr>
            </w:pPr>
          </w:p>
        </w:tc>
        <w:tc>
          <w:tcPr>
            <w:tcW w:w="640" w:type="dxa"/>
            <w:vAlign w:val="bottom"/>
            <w:tcBorders>
              <w:top w:val="single" w:sz="8" w:color="0563C1"/>
            </w:tcBorders>
            <w:shd w:val="clear" w:color="auto" w:fill="91BBD3"/>
          </w:tcPr>
          <w:p>
            <w:pPr>
              <w:spacing w:after="0" w:line="20" w:lineRule="exact"/>
              <w:rPr>
                <w:sz w:val="1"/>
                <w:szCs w:val="1"/>
                <w:color w:val="auto"/>
              </w:rPr>
            </w:pPr>
          </w:p>
        </w:tc>
        <w:tc>
          <w:tcPr>
            <w:tcW w:w="1280" w:type="dxa"/>
            <w:vAlign w:val="bottom"/>
            <w:tcBorders>
              <w:top w:val="single" w:sz="8" w:color="0563C1"/>
            </w:tcBorders>
            <w:shd w:val="clear" w:color="auto" w:fill="91BBD3"/>
          </w:tcPr>
          <w:p>
            <w:pPr>
              <w:spacing w:after="0" w:line="20" w:lineRule="exact"/>
              <w:rPr>
                <w:sz w:val="1"/>
                <w:szCs w:val="1"/>
                <w:color w:val="auto"/>
              </w:rPr>
            </w:pPr>
          </w:p>
        </w:tc>
        <w:tc>
          <w:tcPr>
            <w:tcW w:w="78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DAE8F0"/>
            </w:tcBorders>
            <w:shd w:val="clear" w:color="auto" w:fill="91BBD3"/>
          </w:tcPr>
          <w:p>
            <w:pPr>
              <w:spacing w:after="0" w:line="20" w:lineRule="exact"/>
              <w:rPr>
                <w:sz w:val="1"/>
                <w:szCs w:val="1"/>
                <w:color w:val="auto"/>
              </w:rPr>
            </w:pPr>
          </w:p>
        </w:tc>
        <w:tc>
          <w:tcPr>
            <w:tcW w:w="1380" w:type="dxa"/>
            <w:vAlign w:val="bottom"/>
            <w:tcBorders>
              <w:top w:val="single" w:sz="8" w:color="DAE8F0"/>
            </w:tcBorders>
            <w:shd w:val="clear" w:color="auto" w:fill="91BBD3"/>
          </w:tcPr>
          <w:p>
            <w:pPr>
              <w:spacing w:after="0" w:line="20" w:lineRule="exact"/>
              <w:rPr>
                <w:sz w:val="1"/>
                <w:szCs w:val="1"/>
                <w:color w:val="auto"/>
              </w:rPr>
            </w:pPr>
          </w:p>
        </w:tc>
        <w:tc>
          <w:tcPr>
            <w:tcW w:w="122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Calibri" w:cs="Calibri" w:eastAsia="Calibri" w:hAnsi="Calibri"/>
                <w:sz w:val="18"/>
                <w:szCs w:val="18"/>
                <w:b w:val="1"/>
                <w:bCs w:val="1"/>
                <w:color w:val="auto"/>
              </w:rPr>
              <w:t>*31.02</w:t>
            </w:r>
          </w:p>
        </w:tc>
        <w:tc>
          <w:tcPr>
            <w:tcW w:w="100" w:type="dxa"/>
            <w:vAlign w:val="bottom"/>
          </w:tcPr>
          <w:p>
            <w:pPr>
              <w:spacing w:after="0"/>
              <w:rPr>
                <w:sz w:val="14"/>
                <w:szCs w:val="14"/>
                <w:color w:val="auto"/>
              </w:rPr>
            </w:pPr>
          </w:p>
        </w:tc>
        <w:tc>
          <w:tcPr>
            <w:tcW w:w="9120" w:type="dxa"/>
            <w:vAlign w:val="bottom"/>
            <w:tcBorders>
              <w:right w:val="single" w:sz="8" w:color="91BBD3"/>
            </w:tcBorders>
            <w:gridSpan w:val="15"/>
          </w:tcPr>
          <w:p>
            <w:pPr>
              <w:spacing w:after="0" w:line="169" w:lineRule="exact"/>
              <w:rPr>
                <w:sz w:val="20"/>
                <w:szCs w:val="20"/>
                <w:color w:val="auto"/>
              </w:rPr>
            </w:pPr>
            <w:r>
              <w:rPr>
                <w:rFonts w:ascii="MS PGothic" w:cs="MS PGothic" w:eastAsia="MS PGothic" w:hAnsi="MS PGothic"/>
                <w:sz w:val="18"/>
                <w:szCs w:val="18"/>
                <w:color w:val="0563C1"/>
                <w:w w:val="98"/>
              </w:rPr>
              <w:t>Certfcaton dated February 23, 2024 of Chief Financial Ofcer pursuant to Securites and Exchange Act of 1934, rule 13a‑14,</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top w:val="single" w:sz="8" w:color="0563C1"/>
            </w:tcBorders>
            <w:gridSpan w:val="13"/>
          </w:tcPr>
          <w:p>
            <w:pPr>
              <w:spacing w:after="0"/>
              <w:rPr>
                <w:sz w:val="20"/>
                <w:szCs w:val="20"/>
                <w:color w:val="auto"/>
              </w:rPr>
            </w:pPr>
            <w:r>
              <w:rPr>
                <w:rFonts w:ascii="MS PGothic" w:cs="MS PGothic" w:eastAsia="MS PGothic" w:hAnsi="MS PGothic"/>
                <w:sz w:val="18"/>
                <w:szCs w:val="18"/>
                <w:color w:val="0563C1"/>
              </w:rPr>
              <w:t>as adopted pursuant to Secton 302 of the Sarbanes-Oxley Act of 2002</w:t>
            </w:r>
          </w:p>
        </w:tc>
        <w:tc>
          <w:tcPr>
            <w:tcW w:w="140" w:type="dxa"/>
            <w:vAlign w:val="bottom"/>
            <w:tcBorders>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720" w:type="dxa"/>
            <w:vAlign w:val="bottom"/>
            <w:tcBorders>
              <w:top w:val="single" w:sz="8" w:color="0563C1"/>
              <w:bottom w:val="single" w:sz="8" w:color="91BBD3"/>
            </w:tcBorders>
          </w:tcPr>
          <w:p>
            <w:pPr>
              <w:spacing w:after="0"/>
              <w:rPr>
                <w:sz w:val="4"/>
                <w:szCs w:val="4"/>
                <w:color w:val="auto"/>
              </w:rPr>
            </w:pPr>
          </w:p>
        </w:tc>
        <w:tc>
          <w:tcPr>
            <w:tcW w:w="1120" w:type="dxa"/>
            <w:vAlign w:val="bottom"/>
            <w:tcBorders>
              <w:top w:val="single" w:sz="8" w:color="0563C1"/>
              <w:bottom w:val="single" w:sz="8" w:color="91BBD3"/>
            </w:tcBorders>
          </w:tcPr>
          <w:p>
            <w:pPr>
              <w:spacing w:after="0"/>
              <w:rPr>
                <w:sz w:val="4"/>
                <w:szCs w:val="4"/>
                <w:color w:val="auto"/>
              </w:rPr>
            </w:pPr>
          </w:p>
        </w:tc>
        <w:tc>
          <w:tcPr>
            <w:tcW w:w="240" w:type="dxa"/>
            <w:vAlign w:val="bottom"/>
            <w:tcBorders>
              <w:top w:val="single" w:sz="8" w:color="0563C1"/>
              <w:bottom w:val="single" w:sz="8" w:color="91BBD3"/>
            </w:tcBorders>
          </w:tcPr>
          <w:p>
            <w:pPr>
              <w:spacing w:after="0"/>
              <w:rPr>
                <w:sz w:val="4"/>
                <w:szCs w:val="4"/>
                <w:color w:val="auto"/>
              </w:rPr>
            </w:pPr>
          </w:p>
        </w:tc>
        <w:tc>
          <w:tcPr>
            <w:tcW w:w="60" w:type="dxa"/>
            <w:vAlign w:val="bottom"/>
            <w:tcBorders>
              <w:top w:val="single" w:sz="8" w:color="0563C1"/>
              <w:bottom w:val="single" w:sz="8" w:color="91BBD3"/>
            </w:tcBorders>
          </w:tcPr>
          <w:p>
            <w:pPr>
              <w:spacing w:after="0"/>
              <w:rPr>
                <w:sz w:val="4"/>
                <w:szCs w:val="4"/>
                <w:color w:val="auto"/>
              </w:rPr>
            </w:pPr>
          </w:p>
        </w:tc>
        <w:tc>
          <w:tcPr>
            <w:tcW w:w="280" w:type="dxa"/>
            <w:vAlign w:val="bottom"/>
            <w:tcBorders>
              <w:top w:val="single" w:sz="8" w:color="0563C1"/>
              <w:bottom w:val="single" w:sz="8" w:color="91BBD3"/>
            </w:tcBorders>
          </w:tcPr>
          <w:p>
            <w:pPr>
              <w:spacing w:after="0"/>
              <w:rPr>
                <w:sz w:val="4"/>
                <w:szCs w:val="4"/>
                <w:color w:val="auto"/>
              </w:rPr>
            </w:pPr>
          </w:p>
        </w:tc>
        <w:tc>
          <w:tcPr>
            <w:tcW w:w="300" w:type="dxa"/>
            <w:vAlign w:val="bottom"/>
            <w:tcBorders>
              <w:top w:val="single" w:sz="8" w:color="0563C1"/>
              <w:bottom w:val="single" w:sz="8" w:color="91BBD3"/>
            </w:tcBorders>
          </w:tcPr>
          <w:p>
            <w:pPr>
              <w:spacing w:after="0"/>
              <w:rPr>
                <w:sz w:val="4"/>
                <w:szCs w:val="4"/>
                <w:color w:val="auto"/>
              </w:rPr>
            </w:pPr>
          </w:p>
        </w:tc>
        <w:tc>
          <w:tcPr>
            <w:tcW w:w="340" w:type="dxa"/>
            <w:vAlign w:val="bottom"/>
            <w:tcBorders>
              <w:top w:val="single" w:sz="8" w:color="0563C1"/>
              <w:bottom w:val="single" w:sz="8" w:color="91BBD3"/>
            </w:tcBorders>
          </w:tcPr>
          <w:p>
            <w:pPr>
              <w:spacing w:after="0"/>
              <w:rPr>
                <w:sz w:val="4"/>
                <w:szCs w:val="4"/>
                <w:color w:val="auto"/>
              </w:rPr>
            </w:pPr>
          </w:p>
        </w:tc>
        <w:tc>
          <w:tcPr>
            <w:tcW w:w="640" w:type="dxa"/>
            <w:vAlign w:val="bottom"/>
            <w:tcBorders>
              <w:top w:val="single" w:sz="8" w:color="0563C1"/>
              <w:bottom w:val="single" w:sz="8" w:color="91BBD3"/>
            </w:tcBorders>
          </w:tcPr>
          <w:p>
            <w:pPr>
              <w:spacing w:after="0"/>
              <w:rPr>
                <w:sz w:val="4"/>
                <w:szCs w:val="4"/>
                <w:color w:val="auto"/>
              </w:rPr>
            </w:pPr>
          </w:p>
        </w:tc>
        <w:tc>
          <w:tcPr>
            <w:tcW w:w="1280" w:type="dxa"/>
            <w:vAlign w:val="bottom"/>
            <w:tcBorders>
              <w:top w:val="single" w:sz="8" w:color="0563C1"/>
              <w:bottom w:val="single" w:sz="8" w:color="91BBD3"/>
            </w:tcBorders>
          </w:tcPr>
          <w:p>
            <w:pPr>
              <w:spacing w:after="0"/>
              <w:rPr>
                <w:sz w:val="4"/>
                <w:szCs w:val="4"/>
                <w:color w:val="auto"/>
              </w:rPr>
            </w:pPr>
          </w:p>
        </w:tc>
        <w:tc>
          <w:tcPr>
            <w:tcW w:w="780" w:type="dxa"/>
            <w:vAlign w:val="bottom"/>
            <w:tcBorders>
              <w:bottom w:val="single" w:sz="8" w:color="91BBD3"/>
            </w:tcBorders>
          </w:tcPr>
          <w:p>
            <w:pPr>
              <w:spacing w:after="0"/>
              <w:rPr>
                <w:sz w:val="4"/>
                <w:szCs w:val="4"/>
                <w:color w:val="auto"/>
              </w:rPr>
            </w:pPr>
          </w:p>
        </w:tc>
        <w:tc>
          <w:tcPr>
            <w:tcW w:w="620" w:type="dxa"/>
            <w:vAlign w:val="bottom"/>
            <w:tcBorders>
              <w:bottom w:val="single" w:sz="8" w:color="91BBD3"/>
            </w:tcBorders>
          </w:tcPr>
          <w:p>
            <w:pPr>
              <w:spacing w:after="0"/>
              <w:rPr>
                <w:sz w:val="4"/>
                <w:szCs w:val="4"/>
                <w:color w:val="auto"/>
              </w:rPr>
            </w:pPr>
          </w:p>
        </w:tc>
        <w:tc>
          <w:tcPr>
            <w:tcW w:w="1380" w:type="dxa"/>
            <w:vAlign w:val="bottom"/>
            <w:tcBorders>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4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shd w:val="clear" w:color="auto" w:fill="DAE8F0"/>
          </w:tcPr>
          <w:p>
            <w:pPr>
              <w:ind w:left="120"/>
              <w:spacing w:after="0" w:line="169" w:lineRule="exact"/>
              <w:rPr>
                <w:sz w:val="20"/>
                <w:szCs w:val="20"/>
                <w:color w:val="auto"/>
              </w:rPr>
            </w:pPr>
            <w:r>
              <w:rPr>
                <w:rFonts w:ascii="Calibri" w:cs="Calibri" w:eastAsia="Calibri" w:hAnsi="Calibri"/>
                <w:sz w:val="18"/>
                <w:szCs w:val="18"/>
                <w:b w:val="1"/>
                <w:bCs w:val="1"/>
                <w:color w:val="auto"/>
              </w:rPr>
              <w:t>*32.01</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5"/>
            <w:shd w:val="clear" w:color="auto" w:fill="DAE8F0"/>
          </w:tcPr>
          <w:p>
            <w:pPr>
              <w:spacing w:after="0" w:line="169" w:lineRule="exact"/>
              <w:rPr>
                <w:sz w:val="20"/>
                <w:szCs w:val="20"/>
                <w:color w:val="auto"/>
              </w:rPr>
            </w:pPr>
            <w:r>
              <w:rPr>
                <w:rFonts w:ascii="MS PGothic" w:cs="MS PGothic" w:eastAsia="MS PGothic" w:hAnsi="MS PGothic"/>
                <w:sz w:val="18"/>
                <w:szCs w:val="18"/>
                <w:color w:val="0563C1"/>
              </w:rPr>
              <w:t>Certfcaton dated February 23, 2024 of Chief Executve Ofcer required by 18 U.S.C. 1350, as adopted pursuant to Secton</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680" w:type="dxa"/>
            <w:vAlign w:val="bottom"/>
            <w:tcBorders>
              <w:top w:val="single" w:sz="8" w:color="DAE8F0"/>
              <w:left w:val="single" w:sz="8" w:color="91BBD3"/>
              <w:right w:val="single" w:sz="8" w:color="91BBD3"/>
            </w:tcBorders>
            <w:shd w:val="clear" w:color="auto" w:fill="DAE8F0"/>
          </w:tcPr>
          <w:p>
            <w:pPr>
              <w:spacing w:after="0"/>
              <w:rPr>
                <w:sz w:val="21"/>
                <w:szCs w:val="21"/>
                <w:color w:val="auto"/>
              </w:rPr>
            </w:pPr>
          </w:p>
        </w:tc>
        <w:tc>
          <w:tcPr>
            <w:tcW w:w="100" w:type="dxa"/>
            <w:vAlign w:val="bottom"/>
            <w:tcBorders>
              <w:top w:val="single" w:sz="8" w:color="DAE8F0"/>
            </w:tcBorders>
            <w:shd w:val="clear" w:color="auto" w:fill="DAE8F0"/>
          </w:tcPr>
          <w:p>
            <w:pPr>
              <w:spacing w:after="0"/>
              <w:rPr>
                <w:sz w:val="21"/>
                <w:szCs w:val="21"/>
                <w:color w:val="auto"/>
              </w:rPr>
            </w:pPr>
          </w:p>
        </w:tc>
        <w:tc>
          <w:tcPr>
            <w:tcW w:w="8980" w:type="dxa"/>
            <w:vAlign w:val="bottom"/>
            <w:tcBorders>
              <w:top w:val="single" w:sz="8" w:color="0563C1"/>
            </w:tcBorders>
            <w:gridSpan w:val="13"/>
            <w:shd w:val="clear" w:color="auto" w:fill="DAE8F0"/>
          </w:tcPr>
          <w:p>
            <w:pPr>
              <w:spacing w:after="0"/>
              <w:rPr>
                <w:sz w:val="20"/>
                <w:szCs w:val="20"/>
                <w:color w:val="auto"/>
              </w:rPr>
            </w:pPr>
            <w:r>
              <w:rPr>
                <w:rFonts w:ascii="MS PGothic" w:cs="MS PGothic" w:eastAsia="MS PGothic" w:hAnsi="MS PGothic"/>
                <w:sz w:val="18"/>
                <w:szCs w:val="18"/>
                <w:color w:val="0563C1"/>
              </w:rPr>
              <w:t>906 of the Sarbanes-Oxley Act of 2002</w:t>
            </w:r>
          </w:p>
        </w:tc>
        <w:tc>
          <w:tcPr>
            <w:tcW w:w="140" w:type="dxa"/>
            <w:vAlign w:val="bottom"/>
            <w:tcBorders>
              <w:top w:val="single" w:sz="8" w:color="DAE8F0"/>
              <w:left w:val="single" w:sz="8" w:color="DAE8F0"/>
              <w:right w:val="single" w:sz="8" w:color="91BBD3"/>
            </w:tcBorders>
            <w:gridSpan w:val="2"/>
            <w:shd w:val="clear" w:color="auto" w:fill="DAE8F0"/>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DAE8F0"/>
              <w:left w:val="single" w:sz="8" w:color="91BBD3"/>
              <w:righ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tcBorders>
            <w:shd w:val="clear" w:color="auto" w:fill="91BBD3"/>
          </w:tcPr>
          <w:p>
            <w:pPr>
              <w:spacing w:after="0" w:line="20" w:lineRule="exact"/>
              <w:rPr>
                <w:sz w:val="1"/>
                <w:szCs w:val="1"/>
                <w:color w:val="auto"/>
              </w:rPr>
            </w:pPr>
          </w:p>
        </w:tc>
        <w:tc>
          <w:tcPr>
            <w:tcW w:w="720" w:type="dxa"/>
            <w:vAlign w:val="bottom"/>
            <w:tcBorders>
              <w:top w:val="single" w:sz="8" w:color="0563C1"/>
            </w:tcBorders>
            <w:shd w:val="clear" w:color="auto" w:fill="91BBD3"/>
          </w:tcPr>
          <w:p>
            <w:pPr>
              <w:spacing w:after="0" w:line="20" w:lineRule="exact"/>
              <w:rPr>
                <w:sz w:val="1"/>
                <w:szCs w:val="1"/>
                <w:color w:val="auto"/>
              </w:rPr>
            </w:pPr>
          </w:p>
        </w:tc>
        <w:tc>
          <w:tcPr>
            <w:tcW w:w="1120" w:type="dxa"/>
            <w:vAlign w:val="bottom"/>
            <w:tcBorders>
              <w:top w:val="single" w:sz="8" w:color="0563C1"/>
            </w:tcBorders>
            <w:shd w:val="clear" w:color="auto" w:fill="91BBD3"/>
          </w:tcPr>
          <w:p>
            <w:pPr>
              <w:spacing w:after="0" w:line="20" w:lineRule="exact"/>
              <w:rPr>
                <w:sz w:val="1"/>
                <w:szCs w:val="1"/>
                <w:color w:val="auto"/>
              </w:rPr>
            </w:pPr>
          </w:p>
        </w:tc>
        <w:tc>
          <w:tcPr>
            <w:tcW w:w="240" w:type="dxa"/>
            <w:vAlign w:val="bottom"/>
            <w:tcBorders>
              <w:top w:val="single" w:sz="8" w:color="0563C1"/>
            </w:tcBorders>
            <w:shd w:val="clear" w:color="auto" w:fill="91BBD3"/>
          </w:tcPr>
          <w:p>
            <w:pPr>
              <w:spacing w:after="0" w:line="20" w:lineRule="exact"/>
              <w:rPr>
                <w:sz w:val="1"/>
                <w:szCs w:val="1"/>
                <w:color w:val="auto"/>
              </w:rPr>
            </w:pPr>
          </w:p>
        </w:tc>
        <w:tc>
          <w:tcPr>
            <w:tcW w:w="60" w:type="dxa"/>
            <w:vAlign w:val="bottom"/>
            <w:tcBorders>
              <w:top w:val="single" w:sz="8" w:color="0563C1"/>
            </w:tcBorders>
            <w:shd w:val="clear" w:color="auto" w:fill="91BBD3"/>
          </w:tcPr>
          <w:p>
            <w:pPr>
              <w:spacing w:after="0" w:line="20" w:lineRule="exact"/>
              <w:rPr>
                <w:sz w:val="1"/>
                <w:szCs w:val="1"/>
                <w:color w:val="auto"/>
              </w:rPr>
            </w:pPr>
          </w:p>
        </w:tc>
        <w:tc>
          <w:tcPr>
            <w:tcW w:w="280" w:type="dxa"/>
            <w:vAlign w:val="bottom"/>
            <w:tcBorders>
              <w:top w:val="single" w:sz="8" w:color="0563C1"/>
            </w:tcBorders>
            <w:shd w:val="clear" w:color="auto" w:fill="91BBD3"/>
          </w:tcPr>
          <w:p>
            <w:pPr>
              <w:spacing w:after="0" w:line="20" w:lineRule="exact"/>
              <w:rPr>
                <w:sz w:val="1"/>
                <w:szCs w:val="1"/>
                <w:color w:val="auto"/>
              </w:rPr>
            </w:pPr>
          </w:p>
        </w:tc>
        <w:tc>
          <w:tcPr>
            <w:tcW w:w="300" w:type="dxa"/>
            <w:vAlign w:val="bottom"/>
            <w:tcBorders>
              <w:top w:val="single" w:sz="8" w:color="0563C1"/>
            </w:tcBorders>
            <w:shd w:val="clear" w:color="auto" w:fill="91BBD3"/>
          </w:tcPr>
          <w:p>
            <w:pPr>
              <w:spacing w:after="0" w:line="20" w:lineRule="exact"/>
              <w:rPr>
                <w:sz w:val="1"/>
                <w:szCs w:val="1"/>
                <w:color w:val="auto"/>
              </w:rPr>
            </w:pPr>
          </w:p>
        </w:tc>
        <w:tc>
          <w:tcPr>
            <w:tcW w:w="340" w:type="dxa"/>
            <w:vAlign w:val="bottom"/>
            <w:tcBorders>
              <w:top w:val="single" w:sz="8" w:color="DAE8F0"/>
            </w:tcBorders>
            <w:shd w:val="clear" w:color="auto" w:fill="91BBD3"/>
          </w:tcPr>
          <w:p>
            <w:pPr>
              <w:spacing w:after="0" w:line="20" w:lineRule="exact"/>
              <w:rPr>
                <w:sz w:val="1"/>
                <w:szCs w:val="1"/>
                <w:color w:val="auto"/>
              </w:rPr>
            </w:pPr>
          </w:p>
        </w:tc>
        <w:tc>
          <w:tcPr>
            <w:tcW w:w="640" w:type="dxa"/>
            <w:vAlign w:val="bottom"/>
            <w:tcBorders>
              <w:top w:val="single" w:sz="8" w:color="DAE8F0"/>
            </w:tcBorders>
            <w:shd w:val="clear" w:color="auto" w:fill="91BBD3"/>
          </w:tcPr>
          <w:p>
            <w:pPr>
              <w:spacing w:after="0" w:line="20" w:lineRule="exact"/>
              <w:rPr>
                <w:sz w:val="1"/>
                <w:szCs w:val="1"/>
                <w:color w:val="auto"/>
              </w:rPr>
            </w:pPr>
          </w:p>
        </w:tc>
        <w:tc>
          <w:tcPr>
            <w:tcW w:w="1280" w:type="dxa"/>
            <w:vAlign w:val="bottom"/>
            <w:tcBorders>
              <w:top w:val="single" w:sz="8" w:color="DAE8F0"/>
            </w:tcBorders>
            <w:shd w:val="clear" w:color="auto" w:fill="91BBD3"/>
          </w:tcPr>
          <w:p>
            <w:pPr>
              <w:spacing w:after="0" w:line="20" w:lineRule="exact"/>
              <w:rPr>
                <w:sz w:val="1"/>
                <w:szCs w:val="1"/>
                <w:color w:val="auto"/>
              </w:rPr>
            </w:pPr>
          </w:p>
        </w:tc>
        <w:tc>
          <w:tcPr>
            <w:tcW w:w="780" w:type="dxa"/>
            <w:vAlign w:val="bottom"/>
            <w:tcBorders>
              <w:top w:val="single" w:sz="8" w:color="DAE8F0"/>
            </w:tcBorders>
            <w:shd w:val="clear" w:color="auto" w:fill="91BBD3"/>
          </w:tcPr>
          <w:p>
            <w:pPr>
              <w:spacing w:after="0" w:line="20" w:lineRule="exact"/>
              <w:rPr>
                <w:sz w:val="1"/>
                <w:szCs w:val="1"/>
                <w:color w:val="auto"/>
              </w:rPr>
            </w:pPr>
          </w:p>
        </w:tc>
        <w:tc>
          <w:tcPr>
            <w:tcW w:w="620" w:type="dxa"/>
            <w:vAlign w:val="bottom"/>
            <w:tcBorders>
              <w:top w:val="single" w:sz="8" w:color="DAE8F0"/>
            </w:tcBorders>
            <w:shd w:val="clear" w:color="auto" w:fill="91BBD3"/>
          </w:tcPr>
          <w:p>
            <w:pPr>
              <w:spacing w:after="0" w:line="20" w:lineRule="exact"/>
              <w:rPr>
                <w:sz w:val="1"/>
                <w:szCs w:val="1"/>
                <w:color w:val="auto"/>
              </w:rPr>
            </w:pPr>
          </w:p>
        </w:tc>
        <w:tc>
          <w:tcPr>
            <w:tcW w:w="1380" w:type="dxa"/>
            <w:vAlign w:val="bottom"/>
            <w:tcBorders>
              <w:top w:val="single" w:sz="8" w:color="DAE8F0"/>
            </w:tcBorders>
            <w:shd w:val="clear" w:color="auto" w:fill="91BBD3"/>
          </w:tcPr>
          <w:p>
            <w:pPr>
              <w:spacing w:after="0" w:line="20" w:lineRule="exact"/>
              <w:rPr>
                <w:sz w:val="1"/>
                <w:szCs w:val="1"/>
                <w:color w:val="auto"/>
              </w:rPr>
            </w:pPr>
          </w:p>
        </w:tc>
        <w:tc>
          <w:tcPr>
            <w:tcW w:w="1220" w:type="dxa"/>
            <w:vAlign w:val="bottom"/>
            <w:tcBorders>
              <w:top w:val="single" w:sz="8" w:color="DAE8F0"/>
            </w:tcBorders>
            <w:shd w:val="clear" w:color="auto" w:fill="91BBD3"/>
          </w:tcPr>
          <w:p>
            <w:pPr>
              <w:spacing w:after="0" w:line="20" w:lineRule="exact"/>
              <w:rPr>
                <w:sz w:val="1"/>
                <w:szCs w:val="1"/>
                <w:color w:val="auto"/>
              </w:rPr>
            </w:pPr>
          </w:p>
        </w:tc>
        <w:tc>
          <w:tcPr>
            <w:tcW w:w="40" w:type="dxa"/>
            <w:vAlign w:val="bottom"/>
            <w:tcBorders>
              <w:top w:val="single" w:sz="8" w:color="DAE8F0"/>
              <w:left w:val="single" w:sz="8" w:color="91BBD3"/>
            </w:tcBorders>
            <w:shd w:val="clear" w:color="auto" w:fill="91BBD3"/>
          </w:tcPr>
          <w:p>
            <w:pPr>
              <w:spacing w:after="0" w:line="20" w:lineRule="exact"/>
              <w:rPr>
                <w:sz w:val="1"/>
                <w:szCs w:val="1"/>
                <w:color w:val="auto"/>
              </w:rPr>
            </w:pPr>
          </w:p>
        </w:tc>
        <w:tc>
          <w:tcPr>
            <w:tcW w:w="100" w:type="dxa"/>
            <w:vAlign w:val="bottom"/>
            <w:tcBorders>
              <w:top w:val="single" w:sz="8" w:color="DAE8F0"/>
              <w:right w:val="single" w:sz="8" w:color="91BBD3"/>
            </w:tcBorders>
            <w:shd w:val="clear" w:color="auto" w:fill="91BBD3"/>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Calibri" w:cs="Calibri" w:eastAsia="Calibri" w:hAnsi="Calibri"/>
                <w:sz w:val="18"/>
                <w:szCs w:val="18"/>
                <w:b w:val="1"/>
                <w:bCs w:val="1"/>
                <w:color w:val="auto"/>
              </w:rPr>
              <w:t>*32.02</w:t>
            </w:r>
          </w:p>
        </w:tc>
        <w:tc>
          <w:tcPr>
            <w:tcW w:w="100" w:type="dxa"/>
            <w:vAlign w:val="bottom"/>
          </w:tcPr>
          <w:p>
            <w:pPr>
              <w:spacing w:after="0"/>
              <w:rPr>
                <w:sz w:val="14"/>
                <w:szCs w:val="14"/>
                <w:color w:val="auto"/>
              </w:rPr>
            </w:pPr>
          </w:p>
        </w:tc>
        <w:tc>
          <w:tcPr>
            <w:tcW w:w="9120" w:type="dxa"/>
            <w:vAlign w:val="bottom"/>
            <w:tcBorders>
              <w:right w:val="single" w:sz="8" w:color="91BBD3"/>
            </w:tcBorders>
            <w:gridSpan w:val="15"/>
          </w:tcPr>
          <w:p>
            <w:pPr>
              <w:spacing w:after="0" w:line="169" w:lineRule="exact"/>
              <w:rPr>
                <w:sz w:val="20"/>
                <w:szCs w:val="20"/>
                <w:color w:val="auto"/>
              </w:rPr>
            </w:pPr>
            <w:r>
              <w:rPr>
                <w:rFonts w:ascii="MS PGothic" w:cs="MS PGothic" w:eastAsia="MS PGothic" w:hAnsi="MS PGothic"/>
                <w:sz w:val="18"/>
                <w:szCs w:val="18"/>
                <w:color w:val="0563C1"/>
                <w:w w:val="97"/>
              </w:rPr>
              <w:t>Certfcaton dated February 23, 2024 of Chief Financial Ofcer required by 18 U.S.C. 1350, as adopted pursuant to Secton 906</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91BBD3"/>
              <w:right w:val="single" w:sz="8" w:color="91BBD3"/>
            </w:tcBorders>
          </w:tcPr>
          <w:p>
            <w:pPr>
              <w:spacing w:after="0"/>
              <w:rPr>
                <w:sz w:val="17"/>
                <w:szCs w:val="17"/>
                <w:color w:val="auto"/>
              </w:rPr>
            </w:pPr>
          </w:p>
        </w:tc>
        <w:tc>
          <w:tcPr>
            <w:tcW w:w="100" w:type="dxa"/>
            <w:vAlign w:val="bottom"/>
          </w:tcPr>
          <w:p>
            <w:pPr>
              <w:spacing w:after="0"/>
              <w:rPr>
                <w:sz w:val="17"/>
                <w:szCs w:val="17"/>
                <w:color w:val="auto"/>
              </w:rPr>
            </w:pPr>
          </w:p>
        </w:tc>
        <w:tc>
          <w:tcPr>
            <w:tcW w:w="8980" w:type="dxa"/>
            <w:vAlign w:val="bottom"/>
            <w:tcBorders>
              <w:top w:val="single" w:sz="8" w:color="0563C1"/>
            </w:tcBorders>
            <w:gridSpan w:val="13"/>
          </w:tcPr>
          <w:p>
            <w:pPr>
              <w:spacing w:after="0"/>
              <w:rPr>
                <w:sz w:val="20"/>
                <w:szCs w:val="20"/>
                <w:color w:val="auto"/>
              </w:rPr>
            </w:pPr>
            <w:r>
              <w:rPr>
                <w:rFonts w:ascii="MS PGothic" w:cs="MS PGothic" w:eastAsia="MS PGothic" w:hAnsi="MS PGothic"/>
                <w:sz w:val="18"/>
                <w:szCs w:val="18"/>
                <w:color w:val="0563C1"/>
              </w:rPr>
              <w:t>of the Sarbanes-Oxley Act of 2002</w:t>
            </w:r>
          </w:p>
        </w:tc>
        <w:tc>
          <w:tcPr>
            <w:tcW w:w="140" w:type="dxa"/>
            <w:vAlign w:val="bottom"/>
            <w:tcBorders>
              <w:right w:val="single" w:sz="8" w:color="91BBD3"/>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680" w:type="dxa"/>
            <w:vAlign w:val="bottom"/>
            <w:tcBorders>
              <w:left w:val="single" w:sz="8" w:color="91BBD3"/>
              <w:bottom w:val="single" w:sz="8" w:color="91BBD3"/>
              <w:right w:val="single" w:sz="8" w:color="91BBD3"/>
            </w:tcBorders>
          </w:tcPr>
          <w:p>
            <w:pPr>
              <w:spacing w:after="0"/>
              <w:rPr>
                <w:sz w:val="4"/>
                <w:szCs w:val="4"/>
                <w:color w:val="auto"/>
              </w:rPr>
            </w:pPr>
          </w:p>
        </w:tc>
        <w:tc>
          <w:tcPr>
            <w:tcW w:w="100" w:type="dxa"/>
            <w:vAlign w:val="bottom"/>
            <w:tcBorders>
              <w:bottom w:val="single" w:sz="8" w:color="91BBD3"/>
            </w:tcBorders>
          </w:tcPr>
          <w:p>
            <w:pPr>
              <w:spacing w:after="0"/>
              <w:rPr>
                <w:sz w:val="4"/>
                <w:szCs w:val="4"/>
                <w:color w:val="auto"/>
              </w:rPr>
            </w:pPr>
          </w:p>
        </w:tc>
        <w:tc>
          <w:tcPr>
            <w:tcW w:w="720" w:type="dxa"/>
            <w:vAlign w:val="bottom"/>
            <w:tcBorders>
              <w:top w:val="single" w:sz="8" w:color="0563C1"/>
              <w:bottom w:val="single" w:sz="8" w:color="91BBD3"/>
            </w:tcBorders>
          </w:tcPr>
          <w:p>
            <w:pPr>
              <w:spacing w:after="0"/>
              <w:rPr>
                <w:sz w:val="4"/>
                <w:szCs w:val="4"/>
                <w:color w:val="auto"/>
              </w:rPr>
            </w:pPr>
          </w:p>
        </w:tc>
        <w:tc>
          <w:tcPr>
            <w:tcW w:w="1120" w:type="dxa"/>
            <w:vAlign w:val="bottom"/>
            <w:tcBorders>
              <w:top w:val="single" w:sz="8" w:color="0563C1"/>
              <w:bottom w:val="single" w:sz="8" w:color="91BBD3"/>
            </w:tcBorders>
          </w:tcPr>
          <w:p>
            <w:pPr>
              <w:spacing w:after="0"/>
              <w:rPr>
                <w:sz w:val="4"/>
                <w:szCs w:val="4"/>
                <w:color w:val="auto"/>
              </w:rPr>
            </w:pPr>
          </w:p>
        </w:tc>
        <w:tc>
          <w:tcPr>
            <w:tcW w:w="240" w:type="dxa"/>
            <w:vAlign w:val="bottom"/>
            <w:tcBorders>
              <w:top w:val="single" w:sz="8" w:color="0563C1"/>
              <w:bottom w:val="single" w:sz="8" w:color="91BBD3"/>
            </w:tcBorders>
          </w:tcPr>
          <w:p>
            <w:pPr>
              <w:spacing w:after="0"/>
              <w:rPr>
                <w:sz w:val="4"/>
                <w:szCs w:val="4"/>
                <w:color w:val="auto"/>
              </w:rPr>
            </w:pPr>
          </w:p>
        </w:tc>
        <w:tc>
          <w:tcPr>
            <w:tcW w:w="60" w:type="dxa"/>
            <w:vAlign w:val="bottom"/>
            <w:tcBorders>
              <w:top w:val="single" w:sz="8" w:color="0563C1"/>
              <w:bottom w:val="single" w:sz="8" w:color="91BBD3"/>
            </w:tcBorders>
          </w:tcPr>
          <w:p>
            <w:pPr>
              <w:spacing w:after="0"/>
              <w:rPr>
                <w:sz w:val="4"/>
                <w:szCs w:val="4"/>
                <w:color w:val="auto"/>
              </w:rPr>
            </w:pPr>
          </w:p>
        </w:tc>
        <w:tc>
          <w:tcPr>
            <w:tcW w:w="280" w:type="dxa"/>
            <w:vAlign w:val="bottom"/>
            <w:tcBorders>
              <w:top w:val="single" w:sz="8" w:color="0563C1"/>
              <w:bottom w:val="single" w:sz="8" w:color="91BBD3"/>
            </w:tcBorders>
          </w:tcPr>
          <w:p>
            <w:pPr>
              <w:spacing w:after="0"/>
              <w:rPr>
                <w:sz w:val="4"/>
                <w:szCs w:val="4"/>
                <w:color w:val="auto"/>
              </w:rPr>
            </w:pPr>
          </w:p>
        </w:tc>
        <w:tc>
          <w:tcPr>
            <w:tcW w:w="300" w:type="dxa"/>
            <w:vAlign w:val="bottom"/>
            <w:tcBorders>
              <w:bottom w:val="single" w:sz="8" w:color="91BBD3"/>
            </w:tcBorders>
          </w:tcPr>
          <w:p>
            <w:pPr>
              <w:spacing w:after="0"/>
              <w:rPr>
                <w:sz w:val="4"/>
                <w:szCs w:val="4"/>
                <w:color w:val="auto"/>
              </w:rPr>
            </w:pPr>
          </w:p>
        </w:tc>
        <w:tc>
          <w:tcPr>
            <w:tcW w:w="340" w:type="dxa"/>
            <w:vAlign w:val="bottom"/>
            <w:tcBorders>
              <w:bottom w:val="single" w:sz="8" w:color="91BBD3"/>
            </w:tcBorders>
          </w:tcPr>
          <w:p>
            <w:pPr>
              <w:spacing w:after="0"/>
              <w:rPr>
                <w:sz w:val="4"/>
                <w:szCs w:val="4"/>
                <w:color w:val="auto"/>
              </w:rPr>
            </w:pPr>
          </w:p>
        </w:tc>
        <w:tc>
          <w:tcPr>
            <w:tcW w:w="640" w:type="dxa"/>
            <w:vAlign w:val="bottom"/>
            <w:tcBorders>
              <w:bottom w:val="single" w:sz="8" w:color="91BBD3"/>
            </w:tcBorders>
          </w:tcPr>
          <w:p>
            <w:pPr>
              <w:spacing w:after="0"/>
              <w:rPr>
                <w:sz w:val="4"/>
                <w:szCs w:val="4"/>
                <w:color w:val="auto"/>
              </w:rPr>
            </w:pPr>
          </w:p>
        </w:tc>
        <w:tc>
          <w:tcPr>
            <w:tcW w:w="1280" w:type="dxa"/>
            <w:vAlign w:val="bottom"/>
            <w:tcBorders>
              <w:bottom w:val="single" w:sz="8" w:color="91BBD3"/>
            </w:tcBorders>
          </w:tcPr>
          <w:p>
            <w:pPr>
              <w:spacing w:after="0"/>
              <w:rPr>
                <w:sz w:val="4"/>
                <w:szCs w:val="4"/>
                <w:color w:val="auto"/>
              </w:rPr>
            </w:pPr>
          </w:p>
        </w:tc>
        <w:tc>
          <w:tcPr>
            <w:tcW w:w="780" w:type="dxa"/>
            <w:vAlign w:val="bottom"/>
            <w:tcBorders>
              <w:bottom w:val="single" w:sz="8" w:color="91BBD3"/>
            </w:tcBorders>
          </w:tcPr>
          <w:p>
            <w:pPr>
              <w:spacing w:after="0"/>
              <w:rPr>
                <w:sz w:val="4"/>
                <w:szCs w:val="4"/>
                <w:color w:val="auto"/>
              </w:rPr>
            </w:pPr>
          </w:p>
        </w:tc>
        <w:tc>
          <w:tcPr>
            <w:tcW w:w="620" w:type="dxa"/>
            <w:vAlign w:val="bottom"/>
            <w:tcBorders>
              <w:bottom w:val="single" w:sz="8" w:color="91BBD3"/>
            </w:tcBorders>
          </w:tcPr>
          <w:p>
            <w:pPr>
              <w:spacing w:after="0"/>
              <w:rPr>
                <w:sz w:val="4"/>
                <w:szCs w:val="4"/>
                <w:color w:val="auto"/>
              </w:rPr>
            </w:pPr>
          </w:p>
        </w:tc>
        <w:tc>
          <w:tcPr>
            <w:tcW w:w="1380" w:type="dxa"/>
            <w:vAlign w:val="bottom"/>
            <w:tcBorders>
              <w:bottom w:val="single" w:sz="8" w:color="91BBD3"/>
            </w:tcBorders>
          </w:tcPr>
          <w:p>
            <w:pPr>
              <w:spacing w:after="0"/>
              <w:rPr>
                <w:sz w:val="4"/>
                <w:szCs w:val="4"/>
                <w:color w:val="auto"/>
              </w:rPr>
            </w:pPr>
          </w:p>
        </w:tc>
        <w:tc>
          <w:tcPr>
            <w:tcW w:w="1220" w:type="dxa"/>
            <w:vAlign w:val="bottom"/>
            <w:tcBorders>
              <w:bottom w:val="single" w:sz="8" w:color="91BBD3"/>
            </w:tcBorders>
          </w:tcPr>
          <w:p>
            <w:pPr>
              <w:spacing w:after="0"/>
              <w:rPr>
                <w:sz w:val="4"/>
                <w:szCs w:val="4"/>
                <w:color w:val="auto"/>
              </w:rPr>
            </w:pPr>
          </w:p>
        </w:tc>
        <w:tc>
          <w:tcPr>
            <w:tcW w:w="40" w:type="dxa"/>
            <w:vAlign w:val="bottom"/>
            <w:tcBorders>
              <w:bottom w:val="single" w:sz="8" w:color="91BBD3"/>
            </w:tcBorders>
          </w:tcPr>
          <w:p>
            <w:pPr>
              <w:spacing w:after="0"/>
              <w:rPr>
                <w:sz w:val="4"/>
                <w:szCs w:val="4"/>
                <w:color w:val="auto"/>
              </w:rPr>
            </w:pPr>
          </w:p>
        </w:tc>
        <w:tc>
          <w:tcPr>
            <w:tcW w:w="100" w:type="dxa"/>
            <w:vAlign w:val="bottom"/>
            <w:tcBorders>
              <w:bottom w:val="single" w:sz="8" w:color="91BBD3"/>
              <w:right w:val="single" w:sz="8" w:color="91BBD3"/>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shd w:val="clear" w:color="auto" w:fill="DAE8F0"/>
          </w:tcPr>
          <w:p>
            <w:pPr>
              <w:ind w:left="120"/>
              <w:spacing w:after="0" w:line="169" w:lineRule="exact"/>
              <w:rPr>
                <w:sz w:val="20"/>
                <w:szCs w:val="20"/>
                <w:color w:val="auto"/>
              </w:rPr>
            </w:pPr>
            <w:r>
              <w:rPr>
                <w:rFonts w:ascii="Calibri" w:cs="Calibri" w:eastAsia="Calibri" w:hAnsi="Calibri"/>
                <w:sz w:val="18"/>
                <w:szCs w:val="18"/>
                <w:b w:val="1"/>
                <w:bCs w:val="1"/>
                <w:color w:val="auto"/>
              </w:rPr>
              <w:t>*95</w:t>
            </w:r>
          </w:p>
        </w:tc>
        <w:tc>
          <w:tcPr>
            <w:tcW w:w="100" w:type="dxa"/>
            <w:vAlign w:val="bottom"/>
            <w:shd w:val="clear" w:color="auto" w:fill="DAE8F0"/>
          </w:tcPr>
          <w:p>
            <w:pPr>
              <w:spacing w:after="0"/>
              <w:rPr>
                <w:sz w:val="14"/>
                <w:szCs w:val="14"/>
                <w:color w:val="auto"/>
              </w:rPr>
            </w:pPr>
          </w:p>
        </w:tc>
        <w:tc>
          <w:tcPr>
            <w:tcW w:w="9120" w:type="dxa"/>
            <w:vAlign w:val="bottom"/>
            <w:tcBorders>
              <w:right w:val="single" w:sz="8" w:color="91BBD3"/>
            </w:tcBorders>
            <w:gridSpan w:val="15"/>
            <w:shd w:val="clear" w:color="auto" w:fill="DAE8F0"/>
          </w:tcPr>
          <w:p>
            <w:pPr>
              <w:spacing w:after="0" w:line="169" w:lineRule="exact"/>
              <w:rPr>
                <w:sz w:val="20"/>
                <w:szCs w:val="20"/>
                <w:color w:val="auto"/>
              </w:rPr>
            </w:pPr>
            <w:r>
              <w:rPr>
                <w:rFonts w:ascii="MS PGothic" w:cs="MS PGothic" w:eastAsia="MS PGothic" w:hAnsi="MS PGothic"/>
                <w:sz w:val="18"/>
                <w:szCs w:val="18"/>
                <w:color w:val="007DC6"/>
              </w:rPr>
              <w:t>Mine Safety Disclosure Exhibit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680" w:type="dxa"/>
            <w:vAlign w:val="bottom"/>
            <w:tcBorders>
              <w:top w:val="single" w:sz="8" w:color="DAE8F0"/>
              <w:left w:val="single" w:sz="8" w:color="91BBD3"/>
              <w:bottom w:val="single" w:sz="8" w:color="91BBD3"/>
              <w:right w:val="single" w:sz="8" w:color="91BBD3"/>
            </w:tcBorders>
            <w:shd w:val="clear" w:color="auto" w:fill="DAE8F0"/>
          </w:tcPr>
          <w:p>
            <w:pPr>
              <w:spacing w:after="0"/>
              <w:rPr>
                <w:sz w:val="5"/>
                <w:szCs w:val="5"/>
                <w:color w:val="auto"/>
              </w:rPr>
            </w:pPr>
          </w:p>
        </w:tc>
        <w:tc>
          <w:tcPr>
            <w:tcW w:w="100" w:type="dxa"/>
            <w:vAlign w:val="bottom"/>
            <w:tcBorders>
              <w:top w:val="single" w:sz="8" w:color="DAE8F0"/>
              <w:bottom w:val="single" w:sz="8" w:color="91BBD3"/>
            </w:tcBorders>
            <w:shd w:val="clear" w:color="auto" w:fill="DAE8F0"/>
          </w:tcPr>
          <w:p>
            <w:pPr>
              <w:spacing w:after="0"/>
              <w:rPr>
                <w:sz w:val="5"/>
                <w:szCs w:val="5"/>
                <w:color w:val="auto"/>
              </w:rPr>
            </w:pPr>
          </w:p>
        </w:tc>
        <w:tc>
          <w:tcPr>
            <w:tcW w:w="720" w:type="dxa"/>
            <w:vAlign w:val="bottom"/>
            <w:tcBorders>
              <w:top w:val="single" w:sz="8" w:color="007DC6"/>
              <w:bottom w:val="single" w:sz="8" w:color="91BBD3"/>
            </w:tcBorders>
            <w:shd w:val="clear" w:color="auto" w:fill="DAE8F0"/>
          </w:tcPr>
          <w:p>
            <w:pPr>
              <w:spacing w:after="0"/>
              <w:rPr>
                <w:sz w:val="5"/>
                <w:szCs w:val="5"/>
                <w:color w:val="auto"/>
              </w:rPr>
            </w:pPr>
          </w:p>
        </w:tc>
        <w:tc>
          <w:tcPr>
            <w:tcW w:w="1120" w:type="dxa"/>
            <w:vAlign w:val="bottom"/>
            <w:tcBorders>
              <w:top w:val="single" w:sz="8" w:color="007DC6"/>
              <w:bottom w:val="single" w:sz="8" w:color="91BBD3"/>
            </w:tcBorders>
            <w:shd w:val="clear" w:color="auto" w:fill="DAE8F0"/>
          </w:tcPr>
          <w:p>
            <w:pPr>
              <w:spacing w:after="0"/>
              <w:rPr>
                <w:sz w:val="5"/>
                <w:szCs w:val="5"/>
                <w:color w:val="auto"/>
              </w:rPr>
            </w:pPr>
          </w:p>
        </w:tc>
        <w:tc>
          <w:tcPr>
            <w:tcW w:w="240" w:type="dxa"/>
            <w:vAlign w:val="bottom"/>
            <w:tcBorders>
              <w:top w:val="single" w:sz="8" w:color="007DC6"/>
              <w:bottom w:val="single" w:sz="8" w:color="91BBD3"/>
            </w:tcBorders>
            <w:shd w:val="clear" w:color="auto" w:fill="DAE8F0"/>
          </w:tcPr>
          <w:p>
            <w:pPr>
              <w:spacing w:after="0"/>
              <w:rPr>
                <w:sz w:val="5"/>
                <w:szCs w:val="5"/>
                <w:color w:val="auto"/>
              </w:rPr>
            </w:pPr>
          </w:p>
        </w:tc>
        <w:tc>
          <w:tcPr>
            <w:tcW w:w="60" w:type="dxa"/>
            <w:vAlign w:val="bottom"/>
            <w:tcBorders>
              <w:top w:val="single" w:sz="8" w:color="007DC6"/>
              <w:bottom w:val="single" w:sz="8" w:color="91BBD3"/>
            </w:tcBorders>
            <w:shd w:val="clear" w:color="auto" w:fill="DAE8F0"/>
          </w:tcPr>
          <w:p>
            <w:pPr>
              <w:spacing w:after="0"/>
              <w:rPr>
                <w:sz w:val="5"/>
                <w:szCs w:val="5"/>
                <w:color w:val="auto"/>
              </w:rPr>
            </w:pPr>
          </w:p>
        </w:tc>
        <w:tc>
          <w:tcPr>
            <w:tcW w:w="280" w:type="dxa"/>
            <w:vAlign w:val="bottom"/>
            <w:tcBorders>
              <w:top w:val="single" w:sz="8" w:color="DAE8F0"/>
              <w:bottom w:val="single" w:sz="8" w:color="91BBD3"/>
            </w:tcBorders>
            <w:shd w:val="clear" w:color="auto" w:fill="DAE8F0"/>
          </w:tcPr>
          <w:p>
            <w:pPr>
              <w:spacing w:after="0"/>
              <w:rPr>
                <w:sz w:val="5"/>
                <w:szCs w:val="5"/>
                <w:color w:val="auto"/>
              </w:rPr>
            </w:pPr>
          </w:p>
        </w:tc>
        <w:tc>
          <w:tcPr>
            <w:tcW w:w="300" w:type="dxa"/>
            <w:vAlign w:val="bottom"/>
            <w:tcBorders>
              <w:top w:val="single" w:sz="8" w:color="DAE8F0"/>
              <w:bottom w:val="single" w:sz="8" w:color="91BBD3"/>
            </w:tcBorders>
            <w:shd w:val="clear" w:color="auto" w:fill="DAE8F0"/>
          </w:tcPr>
          <w:p>
            <w:pPr>
              <w:spacing w:after="0"/>
              <w:rPr>
                <w:sz w:val="5"/>
                <w:szCs w:val="5"/>
                <w:color w:val="auto"/>
              </w:rPr>
            </w:pPr>
          </w:p>
        </w:tc>
        <w:tc>
          <w:tcPr>
            <w:tcW w:w="340" w:type="dxa"/>
            <w:vAlign w:val="bottom"/>
            <w:tcBorders>
              <w:top w:val="single" w:sz="8" w:color="DAE8F0"/>
              <w:bottom w:val="single" w:sz="8" w:color="91BBD3"/>
            </w:tcBorders>
            <w:shd w:val="clear" w:color="auto" w:fill="DAE8F0"/>
          </w:tcPr>
          <w:p>
            <w:pPr>
              <w:spacing w:after="0"/>
              <w:rPr>
                <w:sz w:val="5"/>
                <w:szCs w:val="5"/>
                <w:color w:val="auto"/>
              </w:rPr>
            </w:pPr>
          </w:p>
        </w:tc>
        <w:tc>
          <w:tcPr>
            <w:tcW w:w="640" w:type="dxa"/>
            <w:vAlign w:val="bottom"/>
            <w:tcBorders>
              <w:top w:val="single" w:sz="8" w:color="DAE8F0"/>
              <w:bottom w:val="single" w:sz="8" w:color="91BBD3"/>
            </w:tcBorders>
            <w:shd w:val="clear" w:color="auto" w:fill="DAE8F0"/>
          </w:tcPr>
          <w:p>
            <w:pPr>
              <w:spacing w:after="0"/>
              <w:rPr>
                <w:sz w:val="5"/>
                <w:szCs w:val="5"/>
                <w:color w:val="auto"/>
              </w:rPr>
            </w:pPr>
          </w:p>
        </w:tc>
        <w:tc>
          <w:tcPr>
            <w:tcW w:w="1280" w:type="dxa"/>
            <w:vAlign w:val="bottom"/>
            <w:tcBorders>
              <w:top w:val="single" w:sz="8" w:color="DAE8F0"/>
              <w:bottom w:val="single" w:sz="8" w:color="91BBD3"/>
            </w:tcBorders>
            <w:shd w:val="clear" w:color="auto" w:fill="DAE8F0"/>
          </w:tcPr>
          <w:p>
            <w:pPr>
              <w:spacing w:after="0"/>
              <w:rPr>
                <w:sz w:val="5"/>
                <w:szCs w:val="5"/>
                <w:color w:val="auto"/>
              </w:rPr>
            </w:pPr>
          </w:p>
        </w:tc>
        <w:tc>
          <w:tcPr>
            <w:tcW w:w="780" w:type="dxa"/>
            <w:vAlign w:val="bottom"/>
            <w:tcBorders>
              <w:top w:val="single" w:sz="8" w:color="DAE8F0"/>
              <w:bottom w:val="single" w:sz="8" w:color="91BBD3"/>
            </w:tcBorders>
            <w:shd w:val="clear" w:color="auto" w:fill="DAE8F0"/>
          </w:tcPr>
          <w:p>
            <w:pPr>
              <w:spacing w:after="0"/>
              <w:rPr>
                <w:sz w:val="5"/>
                <w:szCs w:val="5"/>
                <w:color w:val="auto"/>
              </w:rPr>
            </w:pPr>
          </w:p>
        </w:tc>
        <w:tc>
          <w:tcPr>
            <w:tcW w:w="620" w:type="dxa"/>
            <w:vAlign w:val="bottom"/>
            <w:tcBorders>
              <w:top w:val="single" w:sz="8" w:color="DAE8F0"/>
              <w:bottom w:val="single" w:sz="8" w:color="91BBD3"/>
            </w:tcBorders>
            <w:shd w:val="clear" w:color="auto" w:fill="DAE8F0"/>
          </w:tcPr>
          <w:p>
            <w:pPr>
              <w:spacing w:after="0"/>
              <w:rPr>
                <w:sz w:val="5"/>
                <w:szCs w:val="5"/>
                <w:color w:val="auto"/>
              </w:rPr>
            </w:pPr>
          </w:p>
        </w:tc>
        <w:tc>
          <w:tcPr>
            <w:tcW w:w="1380" w:type="dxa"/>
            <w:vAlign w:val="bottom"/>
            <w:tcBorders>
              <w:top w:val="single" w:sz="8" w:color="DAE8F0"/>
              <w:bottom w:val="single" w:sz="8" w:color="91BBD3"/>
            </w:tcBorders>
            <w:shd w:val="clear" w:color="auto" w:fill="DAE8F0"/>
          </w:tcPr>
          <w:p>
            <w:pPr>
              <w:spacing w:after="0"/>
              <w:rPr>
                <w:sz w:val="5"/>
                <w:szCs w:val="5"/>
                <w:color w:val="auto"/>
              </w:rPr>
            </w:pPr>
          </w:p>
        </w:tc>
        <w:tc>
          <w:tcPr>
            <w:tcW w:w="1220" w:type="dxa"/>
            <w:vAlign w:val="bottom"/>
            <w:tcBorders>
              <w:top w:val="single" w:sz="8" w:color="DAE8F0"/>
              <w:bottom w:val="single" w:sz="8" w:color="91BBD3"/>
            </w:tcBorders>
            <w:shd w:val="clear" w:color="auto" w:fill="DAE8F0"/>
          </w:tcPr>
          <w:p>
            <w:pPr>
              <w:spacing w:after="0"/>
              <w:rPr>
                <w:sz w:val="5"/>
                <w:szCs w:val="5"/>
                <w:color w:val="auto"/>
              </w:rPr>
            </w:pPr>
          </w:p>
        </w:tc>
        <w:tc>
          <w:tcPr>
            <w:tcW w:w="40" w:type="dxa"/>
            <w:vAlign w:val="bottom"/>
            <w:tcBorders>
              <w:top w:val="single" w:sz="8" w:color="DAE8F0"/>
              <w:left w:val="single" w:sz="8" w:color="DAE8F0"/>
              <w:bottom w:val="single" w:sz="8" w:color="91BBD3"/>
            </w:tcBorders>
            <w:shd w:val="clear" w:color="auto" w:fill="DAE8F0"/>
          </w:tcPr>
          <w:p>
            <w:pPr>
              <w:spacing w:after="0"/>
              <w:rPr>
                <w:sz w:val="5"/>
                <w:szCs w:val="5"/>
                <w:color w:val="auto"/>
              </w:rPr>
            </w:pPr>
          </w:p>
        </w:tc>
        <w:tc>
          <w:tcPr>
            <w:tcW w:w="100" w:type="dxa"/>
            <w:vAlign w:val="bottom"/>
            <w:tcBorders>
              <w:top w:val="single" w:sz="8" w:color="DAE8F0"/>
              <w:bottom w:val="single" w:sz="8" w:color="91BBD3"/>
              <w:right w:val="single" w:sz="8" w:color="91BBD3"/>
            </w:tcBorders>
            <w:shd w:val="clear" w:color="auto" w:fill="DAE8F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680" w:type="dxa"/>
            <w:vAlign w:val="bottom"/>
            <w:tcBorders>
              <w:left w:val="single" w:sz="8" w:color="91BBD3"/>
              <w:right w:val="single" w:sz="8" w:color="91BBD3"/>
            </w:tcBorders>
          </w:tcPr>
          <w:p>
            <w:pPr>
              <w:ind w:left="120"/>
              <w:spacing w:after="0" w:line="169" w:lineRule="exact"/>
              <w:rPr>
                <w:sz w:val="20"/>
                <w:szCs w:val="20"/>
                <w:color w:val="auto"/>
              </w:rPr>
            </w:pPr>
            <w:r>
              <w:rPr>
                <w:rFonts w:ascii="Calibri" w:cs="Calibri" w:eastAsia="Calibri" w:hAnsi="Calibri"/>
                <w:sz w:val="18"/>
                <w:szCs w:val="18"/>
                <w:b w:val="1"/>
                <w:bCs w:val="1"/>
                <w:color w:val="auto"/>
              </w:rPr>
              <w:t>*97</w:t>
            </w:r>
          </w:p>
        </w:tc>
        <w:tc>
          <w:tcPr>
            <w:tcW w:w="100" w:type="dxa"/>
            <w:vAlign w:val="bottom"/>
          </w:tcPr>
          <w:p>
            <w:pPr>
              <w:spacing w:after="0"/>
              <w:rPr>
                <w:sz w:val="14"/>
                <w:szCs w:val="14"/>
                <w:color w:val="auto"/>
              </w:rPr>
            </w:pPr>
          </w:p>
        </w:tc>
        <w:tc>
          <w:tcPr>
            <w:tcW w:w="9120" w:type="dxa"/>
            <w:vAlign w:val="bottom"/>
            <w:tcBorders>
              <w:right w:val="single" w:sz="8" w:color="91BBD3"/>
            </w:tcBorders>
            <w:gridSpan w:val="15"/>
          </w:tcPr>
          <w:p>
            <w:pPr>
              <w:spacing w:after="0" w:line="169" w:lineRule="exact"/>
              <w:rPr>
                <w:sz w:val="20"/>
                <w:szCs w:val="20"/>
                <w:color w:val="auto"/>
              </w:rPr>
            </w:pPr>
            <w:r>
              <w:rPr>
                <w:rFonts w:ascii="MS PGothic" w:cs="MS PGothic" w:eastAsia="MS PGothic" w:hAnsi="MS PGothic"/>
                <w:sz w:val="18"/>
                <w:szCs w:val="18"/>
                <w:color w:val="0563C1"/>
              </w:rPr>
              <w:t>Executve Clawback Policy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1680" w:type="dxa"/>
            <w:vAlign w:val="bottom"/>
            <w:tcBorders>
              <w:left w:val="single" w:sz="8" w:color="91BBD3"/>
              <w:bottom w:val="single" w:sz="8" w:color="91BBD3"/>
              <w:right w:val="single" w:sz="8" w:color="91BBD3"/>
            </w:tcBorders>
          </w:tcPr>
          <w:p>
            <w:pPr>
              <w:spacing w:after="0"/>
              <w:rPr>
                <w:sz w:val="5"/>
                <w:szCs w:val="5"/>
                <w:color w:val="auto"/>
              </w:rPr>
            </w:pPr>
          </w:p>
        </w:tc>
        <w:tc>
          <w:tcPr>
            <w:tcW w:w="100" w:type="dxa"/>
            <w:vAlign w:val="bottom"/>
            <w:tcBorders>
              <w:bottom w:val="single" w:sz="8" w:color="91BBD3"/>
            </w:tcBorders>
          </w:tcPr>
          <w:p>
            <w:pPr>
              <w:spacing w:after="0"/>
              <w:rPr>
                <w:sz w:val="5"/>
                <w:szCs w:val="5"/>
                <w:color w:val="auto"/>
              </w:rPr>
            </w:pPr>
          </w:p>
        </w:tc>
        <w:tc>
          <w:tcPr>
            <w:tcW w:w="720" w:type="dxa"/>
            <w:vAlign w:val="bottom"/>
            <w:tcBorders>
              <w:top w:val="single" w:sz="8" w:color="0563C1"/>
              <w:bottom w:val="single" w:sz="8" w:color="91BBD3"/>
            </w:tcBorders>
          </w:tcPr>
          <w:p>
            <w:pPr>
              <w:spacing w:after="0"/>
              <w:rPr>
                <w:sz w:val="5"/>
                <w:szCs w:val="5"/>
                <w:color w:val="auto"/>
              </w:rPr>
            </w:pPr>
          </w:p>
        </w:tc>
        <w:tc>
          <w:tcPr>
            <w:tcW w:w="1120" w:type="dxa"/>
            <w:vAlign w:val="bottom"/>
            <w:tcBorders>
              <w:top w:val="single" w:sz="8" w:color="0563C1"/>
              <w:bottom w:val="single" w:sz="8" w:color="91BBD3"/>
            </w:tcBorders>
          </w:tcPr>
          <w:p>
            <w:pPr>
              <w:spacing w:after="0"/>
              <w:rPr>
                <w:sz w:val="5"/>
                <w:szCs w:val="5"/>
                <w:color w:val="auto"/>
              </w:rPr>
            </w:pPr>
          </w:p>
        </w:tc>
        <w:tc>
          <w:tcPr>
            <w:tcW w:w="240" w:type="dxa"/>
            <w:vAlign w:val="bottom"/>
            <w:tcBorders>
              <w:bottom w:val="single" w:sz="8" w:color="91BBD3"/>
            </w:tcBorders>
          </w:tcPr>
          <w:p>
            <w:pPr>
              <w:spacing w:after="0"/>
              <w:rPr>
                <w:sz w:val="5"/>
                <w:szCs w:val="5"/>
                <w:color w:val="auto"/>
              </w:rPr>
            </w:pPr>
          </w:p>
        </w:tc>
        <w:tc>
          <w:tcPr>
            <w:tcW w:w="60" w:type="dxa"/>
            <w:vAlign w:val="bottom"/>
            <w:tcBorders>
              <w:bottom w:val="single" w:sz="8" w:color="91BBD3"/>
            </w:tcBorders>
          </w:tcPr>
          <w:p>
            <w:pPr>
              <w:spacing w:after="0"/>
              <w:rPr>
                <w:sz w:val="5"/>
                <w:szCs w:val="5"/>
                <w:color w:val="auto"/>
              </w:rPr>
            </w:pPr>
          </w:p>
        </w:tc>
        <w:tc>
          <w:tcPr>
            <w:tcW w:w="280" w:type="dxa"/>
            <w:vAlign w:val="bottom"/>
            <w:tcBorders>
              <w:bottom w:val="single" w:sz="8" w:color="91BBD3"/>
            </w:tcBorders>
          </w:tcPr>
          <w:p>
            <w:pPr>
              <w:spacing w:after="0"/>
              <w:rPr>
                <w:sz w:val="5"/>
                <w:szCs w:val="5"/>
                <w:color w:val="auto"/>
              </w:rPr>
            </w:pPr>
          </w:p>
        </w:tc>
        <w:tc>
          <w:tcPr>
            <w:tcW w:w="300" w:type="dxa"/>
            <w:vAlign w:val="bottom"/>
            <w:tcBorders>
              <w:bottom w:val="single" w:sz="8" w:color="91BBD3"/>
            </w:tcBorders>
          </w:tcPr>
          <w:p>
            <w:pPr>
              <w:spacing w:after="0"/>
              <w:rPr>
                <w:sz w:val="5"/>
                <w:szCs w:val="5"/>
                <w:color w:val="auto"/>
              </w:rPr>
            </w:pPr>
          </w:p>
        </w:tc>
        <w:tc>
          <w:tcPr>
            <w:tcW w:w="340" w:type="dxa"/>
            <w:vAlign w:val="bottom"/>
            <w:tcBorders>
              <w:bottom w:val="single" w:sz="8" w:color="91BBD3"/>
            </w:tcBorders>
          </w:tcPr>
          <w:p>
            <w:pPr>
              <w:spacing w:after="0"/>
              <w:rPr>
                <w:sz w:val="5"/>
                <w:szCs w:val="5"/>
                <w:color w:val="auto"/>
              </w:rPr>
            </w:pPr>
          </w:p>
        </w:tc>
        <w:tc>
          <w:tcPr>
            <w:tcW w:w="640" w:type="dxa"/>
            <w:vAlign w:val="bottom"/>
            <w:tcBorders>
              <w:bottom w:val="single" w:sz="8" w:color="91BBD3"/>
            </w:tcBorders>
          </w:tcPr>
          <w:p>
            <w:pPr>
              <w:spacing w:after="0"/>
              <w:rPr>
                <w:sz w:val="5"/>
                <w:szCs w:val="5"/>
                <w:color w:val="auto"/>
              </w:rPr>
            </w:pPr>
          </w:p>
        </w:tc>
        <w:tc>
          <w:tcPr>
            <w:tcW w:w="1280" w:type="dxa"/>
            <w:vAlign w:val="bottom"/>
            <w:tcBorders>
              <w:bottom w:val="single" w:sz="8" w:color="91BBD3"/>
            </w:tcBorders>
          </w:tcPr>
          <w:p>
            <w:pPr>
              <w:spacing w:after="0"/>
              <w:rPr>
                <w:sz w:val="5"/>
                <w:szCs w:val="5"/>
                <w:color w:val="auto"/>
              </w:rPr>
            </w:pPr>
          </w:p>
        </w:tc>
        <w:tc>
          <w:tcPr>
            <w:tcW w:w="780" w:type="dxa"/>
            <w:vAlign w:val="bottom"/>
            <w:tcBorders>
              <w:bottom w:val="single" w:sz="8" w:color="91BBD3"/>
            </w:tcBorders>
          </w:tcPr>
          <w:p>
            <w:pPr>
              <w:spacing w:after="0"/>
              <w:rPr>
                <w:sz w:val="5"/>
                <w:szCs w:val="5"/>
                <w:color w:val="auto"/>
              </w:rPr>
            </w:pPr>
          </w:p>
        </w:tc>
        <w:tc>
          <w:tcPr>
            <w:tcW w:w="620" w:type="dxa"/>
            <w:vAlign w:val="bottom"/>
            <w:tcBorders>
              <w:bottom w:val="single" w:sz="8" w:color="91BBD3"/>
            </w:tcBorders>
          </w:tcPr>
          <w:p>
            <w:pPr>
              <w:spacing w:after="0"/>
              <w:rPr>
                <w:sz w:val="5"/>
                <w:szCs w:val="5"/>
                <w:color w:val="auto"/>
              </w:rPr>
            </w:pPr>
          </w:p>
        </w:tc>
        <w:tc>
          <w:tcPr>
            <w:tcW w:w="1380" w:type="dxa"/>
            <w:vAlign w:val="bottom"/>
            <w:tcBorders>
              <w:bottom w:val="single" w:sz="8" w:color="91BBD3"/>
            </w:tcBorders>
          </w:tcPr>
          <w:p>
            <w:pPr>
              <w:spacing w:after="0"/>
              <w:rPr>
                <w:sz w:val="5"/>
                <w:szCs w:val="5"/>
                <w:color w:val="auto"/>
              </w:rPr>
            </w:pPr>
          </w:p>
        </w:tc>
        <w:tc>
          <w:tcPr>
            <w:tcW w:w="1220" w:type="dxa"/>
            <w:vAlign w:val="bottom"/>
            <w:tcBorders>
              <w:bottom w:val="single" w:sz="8" w:color="91BBD3"/>
            </w:tcBorders>
          </w:tcPr>
          <w:p>
            <w:pPr>
              <w:spacing w:after="0"/>
              <w:rPr>
                <w:sz w:val="5"/>
                <w:szCs w:val="5"/>
                <w:color w:val="auto"/>
              </w:rPr>
            </w:pPr>
          </w:p>
        </w:tc>
        <w:tc>
          <w:tcPr>
            <w:tcW w:w="40" w:type="dxa"/>
            <w:vAlign w:val="bottom"/>
            <w:tcBorders>
              <w:bottom w:val="single" w:sz="8" w:color="91BBD3"/>
            </w:tcBorders>
          </w:tcPr>
          <w:p>
            <w:pPr>
              <w:spacing w:after="0"/>
              <w:rPr>
                <w:sz w:val="5"/>
                <w:szCs w:val="5"/>
                <w:color w:val="auto"/>
              </w:rPr>
            </w:pPr>
          </w:p>
        </w:tc>
        <w:tc>
          <w:tcPr>
            <w:tcW w:w="100" w:type="dxa"/>
            <w:vAlign w:val="bottom"/>
            <w:tcBorders>
              <w:bottom w:val="single" w:sz="8" w:color="91BBD3"/>
              <w:right w:val="single" w:sz="8" w:color="91BBD3"/>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1680" w:type="dxa"/>
            <w:vAlign w:val="bottom"/>
            <w:tcBorders>
              <w:left w:val="single" w:sz="8" w:color="91BBD3"/>
              <w:bottom w:val="single" w:sz="8" w:color="DAE8F0"/>
              <w:right w:val="single" w:sz="8" w:color="91BBD3"/>
            </w:tcBorders>
            <w:shd w:val="clear" w:color="auto" w:fill="DAE8F0"/>
          </w:tcPr>
          <w:p>
            <w:pPr>
              <w:ind w:left="120"/>
              <w:spacing w:after="0" w:line="208" w:lineRule="exact"/>
              <w:rPr>
                <w:sz w:val="20"/>
                <w:szCs w:val="20"/>
                <w:color w:val="auto"/>
              </w:rPr>
            </w:pPr>
            <w:r>
              <w:rPr>
                <w:rFonts w:ascii="Calibri" w:cs="Calibri" w:eastAsia="Calibri" w:hAnsi="Calibri"/>
                <w:sz w:val="18"/>
                <w:szCs w:val="18"/>
                <w:b w:val="1"/>
                <w:bCs w:val="1"/>
                <w:color w:val="auto"/>
              </w:rPr>
              <w:t>*101</w:t>
            </w:r>
          </w:p>
        </w:tc>
        <w:tc>
          <w:tcPr>
            <w:tcW w:w="100" w:type="dxa"/>
            <w:vAlign w:val="bottom"/>
            <w:tcBorders>
              <w:bottom w:val="single" w:sz="8" w:color="DAE8F0"/>
            </w:tcBorders>
            <w:shd w:val="clear" w:color="auto" w:fill="DAE8F0"/>
          </w:tcPr>
          <w:p>
            <w:pPr>
              <w:spacing w:after="0"/>
              <w:rPr>
                <w:sz w:val="21"/>
                <w:szCs w:val="21"/>
                <w:color w:val="auto"/>
              </w:rPr>
            </w:pPr>
          </w:p>
        </w:tc>
        <w:tc>
          <w:tcPr>
            <w:tcW w:w="9120" w:type="dxa"/>
            <w:vAlign w:val="bottom"/>
            <w:tcBorders>
              <w:bottom w:val="single" w:sz="8" w:color="DAE8F0"/>
              <w:right w:val="single" w:sz="8" w:color="91BBD3"/>
            </w:tcBorders>
            <w:gridSpan w:val="15"/>
            <w:shd w:val="clear" w:color="auto" w:fill="DAE8F0"/>
          </w:tcPr>
          <w:p>
            <w:pPr>
              <w:spacing w:after="0"/>
              <w:rPr>
                <w:sz w:val="20"/>
                <w:szCs w:val="20"/>
                <w:color w:val="auto"/>
              </w:rPr>
            </w:pPr>
            <w:r>
              <w:rPr>
                <w:rFonts w:ascii="MS PGothic" w:cs="MS PGothic" w:eastAsia="MS PGothic" w:hAnsi="MS PGothic"/>
                <w:sz w:val="18"/>
                <w:szCs w:val="18"/>
                <w:color w:val="auto"/>
              </w:rPr>
              <w:t>The following fnancial informaton formated in Inline XBRL:</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680" w:type="dxa"/>
            <w:vAlign w:val="bottom"/>
            <w:tcBorders>
              <w:top w:val="single" w:sz="8" w:color="91BBD3"/>
              <w:left w:val="single" w:sz="8" w:color="91BBD3"/>
              <w:right w:val="single" w:sz="8" w:color="91BBD3"/>
            </w:tcBorders>
          </w:tcPr>
          <w:p>
            <w:pPr>
              <w:ind w:left="120"/>
              <w:spacing w:after="0" w:line="201" w:lineRule="exact"/>
              <w:rPr>
                <w:sz w:val="20"/>
                <w:szCs w:val="20"/>
                <w:color w:val="auto"/>
              </w:rPr>
            </w:pPr>
            <w:r>
              <w:rPr>
                <w:rFonts w:ascii="Calibri" w:cs="Calibri" w:eastAsia="Calibri" w:hAnsi="Calibri"/>
                <w:sz w:val="18"/>
                <w:szCs w:val="18"/>
                <w:b w:val="1"/>
                <w:bCs w:val="1"/>
                <w:color w:val="auto"/>
              </w:rPr>
              <w:t>*101.INS</w:t>
            </w:r>
          </w:p>
        </w:tc>
        <w:tc>
          <w:tcPr>
            <w:tcW w:w="100" w:type="dxa"/>
            <w:vAlign w:val="bottom"/>
            <w:tcBorders>
              <w:top w:val="single" w:sz="8" w:color="91BBD3"/>
            </w:tcBorders>
          </w:tcPr>
          <w:p>
            <w:pPr>
              <w:spacing w:after="0"/>
              <w:rPr>
                <w:sz w:val="17"/>
                <w:szCs w:val="17"/>
                <w:color w:val="auto"/>
              </w:rPr>
            </w:pPr>
          </w:p>
        </w:tc>
        <w:tc>
          <w:tcPr>
            <w:tcW w:w="9120" w:type="dxa"/>
            <w:vAlign w:val="bottom"/>
            <w:tcBorders>
              <w:top w:val="single" w:sz="8" w:color="91BBD3"/>
              <w:right w:val="single" w:sz="8" w:color="91BBD3"/>
            </w:tcBorders>
            <w:gridSpan w:val="15"/>
          </w:tcPr>
          <w:p>
            <w:pPr>
              <w:spacing w:after="0"/>
              <w:rPr>
                <w:sz w:val="20"/>
                <w:szCs w:val="20"/>
                <w:color w:val="auto"/>
              </w:rPr>
            </w:pPr>
            <w:r>
              <w:rPr>
                <w:rFonts w:ascii="MS PGothic" w:cs="MS PGothic" w:eastAsia="MS PGothic" w:hAnsi="MS PGothic"/>
                <w:sz w:val="18"/>
                <w:szCs w:val="18"/>
                <w:color w:val="auto"/>
                <w:w w:val="93"/>
              </w:rPr>
              <w:t>Inline XBRL Instance Document – The instance document does not appear in the Interactve Data File because its XBRL tags are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680" w:type="dxa"/>
            <w:vAlign w:val="bottom"/>
            <w:tcBorders>
              <w:left w:val="single" w:sz="8" w:color="91BBD3"/>
              <w:right w:val="single" w:sz="8" w:color="91BBD3"/>
            </w:tcBorders>
          </w:tcPr>
          <w:p>
            <w:pPr>
              <w:spacing w:after="0"/>
              <w:rPr>
                <w:sz w:val="18"/>
                <w:szCs w:val="18"/>
                <w:color w:val="auto"/>
              </w:rPr>
            </w:pPr>
          </w:p>
        </w:tc>
        <w:tc>
          <w:tcPr>
            <w:tcW w:w="100" w:type="dxa"/>
            <w:vAlign w:val="bottom"/>
          </w:tcPr>
          <w:p>
            <w:pPr>
              <w:spacing w:after="0"/>
              <w:rPr>
                <w:sz w:val="18"/>
                <w:szCs w:val="18"/>
                <w:color w:val="auto"/>
              </w:rPr>
            </w:pPr>
          </w:p>
        </w:tc>
        <w:tc>
          <w:tcPr>
            <w:tcW w:w="9120" w:type="dxa"/>
            <w:vAlign w:val="bottom"/>
            <w:tcBorders>
              <w:right w:val="single" w:sz="8" w:color="91BBD3"/>
            </w:tcBorders>
            <w:gridSpan w:val="15"/>
          </w:tcPr>
          <w:p>
            <w:pPr>
              <w:spacing w:after="0"/>
              <w:rPr>
                <w:sz w:val="20"/>
                <w:szCs w:val="20"/>
                <w:color w:val="auto"/>
              </w:rPr>
            </w:pPr>
            <w:r>
              <w:rPr>
                <w:rFonts w:ascii="MS PGothic" w:cs="MS PGothic" w:eastAsia="MS PGothic" w:hAnsi="MS PGothic"/>
                <w:sz w:val="18"/>
                <w:szCs w:val="18"/>
                <w:color w:val="auto"/>
              </w:rPr>
              <w:t>embedded within the Inline XBRL document.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680" w:type="dxa"/>
            <w:vAlign w:val="bottom"/>
            <w:tcBorders>
              <w:left w:val="single" w:sz="8" w:color="91BBD3"/>
              <w:bottom w:val="single" w:sz="8" w:color="91BBD3"/>
              <w:right w:val="single" w:sz="8" w:color="91BBD3"/>
            </w:tcBorders>
          </w:tcPr>
          <w:p>
            <w:pPr>
              <w:spacing w:after="0"/>
              <w:rPr>
                <w:sz w:val="3"/>
                <w:szCs w:val="3"/>
                <w:color w:val="auto"/>
              </w:rPr>
            </w:pPr>
          </w:p>
        </w:tc>
        <w:tc>
          <w:tcPr>
            <w:tcW w:w="100" w:type="dxa"/>
            <w:vAlign w:val="bottom"/>
            <w:tcBorders>
              <w:bottom w:val="single" w:sz="8" w:color="91BBD3"/>
            </w:tcBorders>
          </w:tcPr>
          <w:p>
            <w:pPr>
              <w:spacing w:after="0"/>
              <w:rPr>
                <w:sz w:val="3"/>
                <w:szCs w:val="3"/>
                <w:color w:val="auto"/>
              </w:rPr>
            </w:pPr>
          </w:p>
        </w:tc>
        <w:tc>
          <w:tcPr>
            <w:tcW w:w="720" w:type="dxa"/>
            <w:vAlign w:val="bottom"/>
            <w:tcBorders>
              <w:bottom w:val="single" w:sz="8" w:color="91BBD3"/>
            </w:tcBorders>
          </w:tcPr>
          <w:p>
            <w:pPr>
              <w:spacing w:after="0"/>
              <w:rPr>
                <w:sz w:val="3"/>
                <w:szCs w:val="3"/>
                <w:color w:val="auto"/>
              </w:rPr>
            </w:pPr>
          </w:p>
        </w:tc>
        <w:tc>
          <w:tcPr>
            <w:tcW w:w="1120" w:type="dxa"/>
            <w:vAlign w:val="bottom"/>
            <w:tcBorders>
              <w:bottom w:val="single" w:sz="8" w:color="91BBD3"/>
            </w:tcBorders>
          </w:tcPr>
          <w:p>
            <w:pPr>
              <w:spacing w:after="0"/>
              <w:rPr>
                <w:sz w:val="3"/>
                <w:szCs w:val="3"/>
                <w:color w:val="auto"/>
              </w:rPr>
            </w:pPr>
          </w:p>
        </w:tc>
        <w:tc>
          <w:tcPr>
            <w:tcW w:w="240" w:type="dxa"/>
            <w:vAlign w:val="bottom"/>
            <w:tcBorders>
              <w:bottom w:val="single" w:sz="8" w:color="91BBD3"/>
            </w:tcBorders>
          </w:tcPr>
          <w:p>
            <w:pPr>
              <w:spacing w:after="0"/>
              <w:rPr>
                <w:sz w:val="3"/>
                <w:szCs w:val="3"/>
                <w:color w:val="auto"/>
              </w:rPr>
            </w:pPr>
          </w:p>
        </w:tc>
        <w:tc>
          <w:tcPr>
            <w:tcW w:w="60" w:type="dxa"/>
            <w:vAlign w:val="bottom"/>
            <w:tcBorders>
              <w:bottom w:val="single" w:sz="8" w:color="91BBD3"/>
            </w:tcBorders>
          </w:tcPr>
          <w:p>
            <w:pPr>
              <w:spacing w:after="0"/>
              <w:rPr>
                <w:sz w:val="3"/>
                <w:szCs w:val="3"/>
                <w:color w:val="auto"/>
              </w:rPr>
            </w:pPr>
          </w:p>
        </w:tc>
        <w:tc>
          <w:tcPr>
            <w:tcW w:w="280" w:type="dxa"/>
            <w:vAlign w:val="bottom"/>
            <w:tcBorders>
              <w:bottom w:val="single" w:sz="8" w:color="91BBD3"/>
            </w:tcBorders>
          </w:tcPr>
          <w:p>
            <w:pPr>
              <w:spacing w:after="0"/>
              <w:rPr>
                <w:sz w:val="3"/>
                <w:szCs w:val="3"/>
                <w:color w:val="auto"/>
              </w:rPr>
            </w:pPr>
          </w:p>
        </w:tc>
        <w:tc>
          <w:tcPr>
            <w:tcW w:w="300" w:type="dxa"/>
            <w:vAlign w:val="bottom"/>
            <w:tcBorders>
              <w:bottom w:val="single" w:sz="8" w:color="91BBD3"/>
            </w:tcBorders>
          </w:tcPr>
          <w:p>
            <w:pPr>
              <w:spacing w:after="0"/>
              <w:rPr>
                <w:sz w:val="3"/>
                <w:szCs w:val="3"/>
                <w:color w:val="auto"/>
              </w:rPr>
            </w:pPr>
          </w:p>
        </w:tc>
        <w:tc>
          <w:tcPr>
            <w:tcW w:w="340" w:type="dxa"/>
            <w:vAlign w:val="bottom"/>
            <w:tcBorders>
              <w:bottom w:val="single" w:sz="8" w:color="91BBD3"/>
            </w:tcBorders>
          </w:tcPr>
          <w:p>
            <w:pPr>
              <w:spacing w:after="0"/>
              <w:rPr>
                <w:sz w:val="3"/>
                <w:szCs w:val="3"/>
                <w:color w:val="auto"/>
              </w:rPr>
            </w:pPr>
          </w:p>
        </w:tc>
        <w:tc>
          <w:tcPr>
            <w:tcW w:w="640" w:type="dxa"/>
            <w:vAlign w:val="bottom"/>
            <w:tcBorders>
              <w:bottom w:val="single" w:sz="8" w:color="91BBD3"/>
            </w:tcBorders>
          </w:tcPr>
          <w:p>
            <w:pPr>
              <w:spacing w:after="0"/>
              <w:rPr>
                <w:sz w:val="3"/>
                <w:szCs w:val="3"/>
                <w:color w:val="auto"/>
              </w:rPr>
            </w:pPr>
          </w:p>
        </w:tc>
        <w:tc>
          <w:tcPr>
            <w:tcW w:w="1280" w:type="dxa"/>
            <w:vAlign w:val="bottom"/>
            <w:tcBorders>
              <w:bottom w:val="single" w:sz="8" w:color="91BBD3"/>
            </w:tcBorders>
          </w:tcPr>
          <w:p>
            <w:pPr>
              <w:spacing w:after="0"/>
              <w:rPr>
                <w:sz w:val="3"/>
                <w:szCs w:val="3"/>
                <w:color w:val="auto"/>
              </w:rPr>
            </w:pPr>
          </w:p>
        </w:tc>
        <w:tc>
          <w:tcPr>
            <w:tcW w:w="780" w:type="dxa"/>
            <w:vAlign w:val="bottom"/>
            <w:tcBorders>
              <w:bottom w:val="single" w:sz="8" w:color="91BBD3"/>
            </w:tcBorders>
          </w:tcPr>
          <w:p>
            <w:pPr>
              <w:spacing w:after="0"/>
              <w:rPr>
                <w:sz w:val="3"/>
                <w:szCs w:val="3"/>
                <w:color w:val="auto"/>
              </w:rPr>
            </w:pPr>
          </w:p>
        </w:tc>
        <w:tc>
          <w:tcPr>
            <w:tcW w:w="620" w:type="dxa"/>
            <w:vAlign w:val="bottom"/>
            <w:tcBorders>
              <w:bottom w:val="single" w:sz="8" w:color="91BBD3"/>
            </w:tcBorders>
          </w:tcPr>
          <w:p>
            <w:pPr>
              <w:spacing w:after="0"/>
              <w:rPr>
                <w:sz w:val="3"/>
                <w:szCs w:val="3"/>
                <w:color w:val="auto"/>
              </w:rPr>
            </w:pPr>
          </w:p>
        </w:tc>
        <w:tc>
          <w:tcPr>
            <w:tcW w:w="1380" w:type="dxa"/>
            <w:vAlign w:val="bottom"/>
            <w:tcBorders>
              <w:bottom w:val="single" w:sz="8" w:color="91BBD3"/>
            </w:tcBorders>
          </w:tcPr>
          <w:p>
            <w:pPr>
              <w:spacing w:after="0"/>
              <w:rPr>
                <w:sz w:val="3"/>
                <w:szCs w:val="3"/>
                <w:color w:val="auto"/>
              </w:rPr>
            </w:pPr>
          </w:p>
        </w:tc>
        <w:tc>
          <w:tcPr>
            <w:tcW w:w="1220" w:type="dxa"/>
            <w:vAlign w:val="bottom"/>
            <w:tcBorders>
              <w:bottom w:val="single" w:sz="8" w:color="91BBD3"/>
            </w:tcBorders>
          </w:tcPr>
          <w:p>
            <w:pPr>
              <w:spacing w:after="0"/>
              <w:rPr>
                <w:sz w:val="3"/>
                <w:szCs w:val="3"/>
                <w:color w:val="auto"/>
              </w:rPr>
            </w:pPr>
          </w:p>
        </w:tc>
        <w:tc>
          <w:tcPr>
            <w:tcW w:w="40" w:type="dxa"/>
            <w:vAlign w:val="bottom"/>
            <w:tcBorders>
              <w:bottom w:val="single" w:sz="8" w:color="91BBD3"/>
            </w:tcBorders>
          </w:tcPr>
          <w:p>
            <w:pPr>
              <w:spacing w:after="0"/>
              <w:rPr>
                <w:sz w:val="3"/>
                <w:szCs w:val="3"/>
                <w:color w:val="auto"/>
              </w:rPr>
            </w:pPr>
          </w:p>
        </w:tc>
        <w:tc>
          <w:tcPr>
            <w:tcW w:w="100" w:type="dxa"/>
            <w:vAlign w:val="bottom"/>
            <w:tcBorders>
              <w:bottom w:val="single" w:sz="8" w:color="91BBD3"/>
              <w:right w:val="single" w:sz="8" w:color="91BBD3"/>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1680" w:type="dxa"/>
            <w:vAlign w:val="bottom"/>
            <w:tcBorders>
              <w:left w:val="single" w:sz="8" w:color="91BBD3"/>
              <w:bottom w:val="single" w:sz="8" w:color="DAE8F0"/>
              <w:right w:val="single" w:sz="8" w:color="91BBD3"/>
            </w:tcBorders>
            <w:shd w:val="clear" w:color="auto" w:fill="DAE8F0"/>
          </w:tcPr>
          <w:p>
            <w:pPr>
              <w:ind w:left="120"/>
              <w:spacing w:after="0" w:line="208" w:lineRule="exact"/>
              <w:rPr>
                <w:sz w:val="20"/>
                <w:szCs w:val="20"/>
                <w:color w:val="auto"/>
              </w:rPr>
            </w:pPr>
            <w:r>
              <w:rPr>
                <w:rFonts w:ascii="Calibri" w:cs="Calibri" w:eastAsia="Calibri" w:hAnsi="Calibri"/>
                <w:sz w:val="18"/>
                <w:szCs w:val="18"/>
                <w:b w:val="1"/>
                <w:bCs w:val="1"/>
                <w:color w:val="auto"/>
              </w:rPr>
              <w:t>*101.SCH</w:t>
            </w:r>
          </w:p>
        </w:tc>
        <w:tc>
          <w:tcPr>
            <w:tcW w:w="100" w:type="dxa"/>
            <w:vAlign w:val="bottom"/>
            <w:tcBorders>
              <w:bottom w:val="single" w:sz="8" w:color="DAE8F0"/>
            </w:tcBorders>
            <w:shd w:val="clear" w:color="auto" w:fill="DAE8F0"/>
          </w:tcPr>
          <w:p>
            <w:pPr>
              <w:spacing w:after="0"/>
              <w:rPr>
                <w:sz w:val="21"/>
                <w:szCs w:val="21"/>
                <w:color w:val="auto"/>
              </w:rPr>
            </w:pPr>
          </w:p>
        </w:tc>
        <w:tc>
          <w:tcPr>
            <w:tcW w:w="9120" w:type="dxa"/>
            <w:vAlign w:val="bottom"/>
            <w:tcBorders>
              <w:bottom w:val="single" w:sz="8" w:color="DAE8F0"/>
              <w:right w:val="single" w:sz="8" w:color="91BBD3"/>
            </w:tcBorders>
            <w:gridSpan w:val="15"/>
            <w:shd w:val="clear" w:color="auto" w:fill="DAE8F0"/>
          </w:tcPr>
          <w:p>
            <w:pPr>
              <w:spacing w:after="0"/>
              <w:rPr>
                <w:sz w:val="20"/>
                <w:szCs w:val="20"/>
                <w:color w:val="auto"/>
              </w:rPr>
            </w:pPr>
            <w:r>
              <w:rPr>
                <w:rFonts w:ascii="MS PGothic" w:cs="MS PGothic" w:eastAsia="MS PGothic" w:hAnsi="MS PGothic"/>
                <w:sz w:val="18"/>
                <w:szCs w:val="18"/>
                <w:color w:val="auto"/>
              </w:rPr>
              <w:t>Inline XBRL Taxonomy Extension Schema With Embedded Linkbase Documents</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680" w:type="dxa"/>
            <w:vAlign w:val="bottom"/>
            <w:tcBorders>
              <w:top w:val="single" w:sz="8" w:color="91BBD3"/>
              <w:left w:val="single" w:sz="8" w:color="91BBD3"/>
              <w:right w:val="single" w:sz="8" w:color="91BBD3"/>
            </w:tcBorders>
          </w:tcPr>
          <w:p>
            <w:pPr>
              <w:ind w:left="120"/>
              <w:spacing w:after="0" w:line="208" w:lineRule="exact"/>
              <w:rPr>
                <w:sz w:val="20"/>
                <w:szCs w:val="20"/>
                <w:color w:val="auto"/>
              </w:rPr>
            </w:pPr>
            <w:r>
              <w:rPr>
                <w:rFonts w:ascii="Calibri" w:cs="Calibri" w:eastAsia="Calibri" w:hAnsi="Calibri"/>
                <w:sz w:val="18"/>
                <w:szCs w:val="18"/>
                <w:b w:val="1"/>
                <w:bCs w:val="1"/>
                <w:color w:val="auto"/>
              </w:rPr>
              <w:t>*104</w:t>
            </w:r>
          </w:p>
        </w:tc>
        <w:tc>
          <w:tcPr>
            <w:tcW w:w="100" w:type="dxa"/>
            <w:vAlign w:val="bottom"/>
            <w:tcBorders>
              <w:top w:val="single" w:sz="8" w:color="91BBD3"/>
            </w:tcBorders>
          </w:tcPr>
          <w:p>
            <w:pPr>
              <w:spacing w:after="0"/>
              <w:rPr>
                <w:sz w:val="18"/>
                <w:szCs w:val="18"/>
                <w:color w:val="auto"/>
              </w:rPr>
            </w:pPr>
          </w:p>
        </w:tc>
        <w:tc>
          <w:tcPr>
            <w:tcW w:w="9120" w:type="dxa"/>
            <w:vAlign w:val="bottom"/>
            <w:tcBorders>
              <w:top w:val="single" w:sz="8" w:color="91BBD3"/>
              <w:right w:val="single" w:sz="8" w:color="91BBD3"/>
            </w:tcBorders>
            <w:gridSpan w:val="15"/>
          </w:tcPr>
          <w:p>
            <w:pPr>
              <w:spacing w:after="0"/>
              <w:rPr>
                <w:sz w:val="20"/>
                <w:szCs w:val="20"/>
                <w:color w:val="auto"/>
              </w:rPr>
            </w:pPr>
            <w:r>
              <w:rPr>
                <w:rFonts w:ascii="MS PGothic" w:cs="MS PGothic" w:eastAsia="MS PGothic" w:hAnsi="MS PGothic"/>
                <w:sz w:val="18"/>
                <w:szCs w:val="18"/>
                <w:color w:val="auto"/>
              </w:rPr>
              <w:t>The cover page fnancial informaton formated in Inline XBRL (included as Exhibit 101).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1680" w:type="dxa"/>
            <w:vAlign w:val="bottom"/>
            <w:tcBorders>
              <w:left w:val="single" w:sz="8" w:color="91BBD3"/>
              <w:bottom w:val="single" w:sz="8" w:color="91BBD3"/>
              <w:right w:val="single" w:sz="8" w:color="91BBD3"/>
            </w:tcBorders>
          </w:tcPr>
          <w:p>
            <w:pPr>
              <w:spacing w:after="0"/>
              <w:rPr>
                <w:sz w:val="3"/>
                <w:szCs w:val="3"/>
                <w:color w:val="auto"/>
              </w:rPr>
            </w:pPr>
          </w:p>
        </w:tc>
        <w:tc>
          <w:tcPr>
            <w:tcW w:w="100" w:type="dxa"/>
            <w:vAlign w:val="bottom"/>
            <w:tcBorders>
              <w:bottom w:val="single" w:sz="8" w:color="91BBD3"/>
            </w:tcBorders>
          </w:tcPr>
          <w:p>
            <w:pPr>
              <w:spacing w:after="0"/>
              <w:rPr>
                <w:sz w:val="3"/>
                <w:szCs w:val="3"/>
                <w:color w:val="auto"/>
              </w:rPr>
            </w:pPr>
          </w:p>
        </w:tc>
        <w:tc>
          <w:tcPr>
            <w:tcW w:w="720" w:type="dxa"/>
            <w:vAlign w:val="bottom"/>
            <w:tcBorders>
              <w:bottom w:val="single" w:sz="8" w:color="91BBD3"/>
            </w:tcBorders>
          </w:tcPr>
          <w:p>
            <w:pPr>
              <w:spacing w:after="0"/>
              <w:rPr>
                <w:sz w:val="3"/>
                <w:szCs w:val="3"/>
                <w:color w:val="auto"/>
              </w:rPr>
            </w:pPr>
          </w:p>
        </w:tc>
        <w:tc>
          <w:tcPr>
            <w:tcW w:w="1120" w:type="dxa"/>
            <w:vAlign w:val="bottom"/>
            <w:tcBorders>
              <w:bottom w:val="single" w:sz="8" w:color="91BBD3"/>
            </w:tcBorders>
          </w:tcPr>
          <w:p>
            <w:pPr>
              <w:spacing w:after="0"/>
              <w:rPr>
                <w:sz w:val="3"/>
                <w:szCs w:val="3"/>
                <w:color w:val="auto"/>
              </w:rPr>
            </w:pPr>
          </w:p>
        </w:tc>
        <w:tc>
          <w:tcPr>
            <w:tcW w:w="240" w:type="dxa"/>
            <w:vAlign w:val="bottom"/>
            <w:tcBorders>
              <w:bottom w:val="single" w:sz="8" w:color="91BBD3"/>
            </w:tcBorders>
          </w:tcPr>
          <w:p>
            <w:pPr>
              <w:spacing w:after="0"/>
              <w:rPr>
                <w:sz w:val="3"/>
                <w:szCs w:val="3"/>
                <w:color w:val="auto"/>
              </w:rPr>
            </w:pPr>
          </w:p>
        </w:tc>
        <w:tc>
          <w:tcPr>
            <w:tcW w:w="60" w:type="dxa"/>
            <w:vAlign w:val="bottom"/>
            <w:tcBorders>
              <w:bottom w:val="single" w:sz="8" w:color="91BBD3"/>
            </w:tcBorders>
          </w:tcPr>
          <w:p>
            <w:pPr>
              <w:spacing w:after="0"/>
              <w:rPr>
                <w:sz w:val="3"/>
                <w:szCs w:val="3"/>
                <w:color w:val="auto"/>
              </w:rPr>
            </w:pPr>
          </w:p>
        </w:tc>
        <w:tc>
          <w:tcPr>
            <w:tcW w:w="280" w:type="dxa"/>
            <w:vAlign w:val="bottom"/>
            <w:tcBorders>
              <w:bottom w:val="single" w:sz="8" w:color="91BBD3"/>
            </w:tcBorders>
          </w:tcPr>
          <w:p>
            <w:pPr>
              <w:spacing w:after="0"/>
              <w:rPr>
                <w:sz w:val="3"/>
                <w:szCs w:val="3"/>
                <w:color w:val="auto"/>
              </w:rPr>
            </w:pPr>
          </w:p>
        </w:tc>
        <w:tc>
          <w:tcPr>
            <w:tcW w:w="300" w:type="dxa"/>
            <w:vAlign w:val="bottom"/>
            <w:tcBorders>
              <w:bottom w:val="single" w:sz="8" w:color="91BBD3"/>
            </w:tcBorders>
          </w:tcPr>
          <w:p>
            <w:pPr>
              <w:spacing w:after="0"/>
              <w:rPr>
                <w:sz w:val="3"/>
                <w:szCs w:val="3"/>
                <w:color w:val="auto"/>
              </w:rPr>
            </w:pPr>
          </w:p>
        </w:tc>
        <w:tc>
          <w:tcPr>
            <w:tcW w:w="340" w:type="dxa"/>
            <w:vAlign w:val="bottom"/>
            <w:tcBorders>
              <w:bottom w:val="single" w:sz="8" w:color="91BBD3"/>
            </w:tcBorders>
          </w:tcPr>
          <w:p>
            <w:pPr>
              <w:spacing w:after="0"/>
              <w:rPr>
                <w:sz w:val="3"/>
                <w:szCs w:val="3"/>
                <w:color w:val="auto"/>
              </w:rPr>
            </w:pPr>
          </w:p>
        </w:tc>
        <w:tc>
          <w:tcPr>
            <w:tcW w:w="640" w:type="dxa"/>
            <w:vAlign w:val="bottom"/>
            <w:tcBorders>
              <w:bottom w:val="single" w:sz="8" w:color="91BBD3"/>
            </w:tcBorders>
          </w:tcPr>
          <w:p>
            <w:pPr>
              <w:spacing w:after="0"/>
              <w:rPr>
                <w:sz w:val="3"/>
                <w:szCs w:val="3"/>
                <w:color w:val="auto"/>
              </w:rPr>
            </w:pPr>
          </w:p>
        </w:tc>
        <w:tc>
          <w:tcPr>
            <w:tcW w:w="1280" w:type="dxa"/>
            <w:vAlign w:val="bottom"/>
            <w:tcBorders>
              <w:bottom w:val="single" w:sz="8" w:color="91BBD3"/>
            </w:tcBorders>
          </w:tcPr>
          <w:p>
            <w:pPr>
              <w:spacing w:after="0"/>
              <w:rPr>
                <w:sz w:val="3"/>
                <w:szCs w:val="3"/>
                <w:color w:val="auto"/>
              </w:rPr>
            </w:pPr>
          </w:p>
        </w:tc>
        <w:tc>
          <w:tcPr>
            <w:tcW w:w="780" w:type="dxa"/>
            <w:vAlign w:val="bottom"/>
            <w:tcBorders>
              <w:bottom w:val="single" w:sz="8" w:color="91BBD3"/>
            </w:tcBorders>
          </w:tcPr>
          <w:p>
            <w:pPr>
              <w:spacing w:after="0"/>
              <w:rPr>
                <w:sz w:val="3"/>
                <w:szCs w:val="3"/>
                <w:color w:val="auto"/>
              </w:rPr>
            </w:pPr>
          </w:p>
        </w:tc>
        <w:tc>
          <w:tcPr>
            <w:tcW w:w="620" w:type="dxa"/>
            <w:vAlign w:val="bottom"/>
            <w:tcBorders>
              <w:bottom w:val="single" w:sz="8" w:color="91BBD3"/>
            </w:tcBorders>
          </w:tcPr>
          <w:p>
            <w:pPr>
              <w:spacing w:after="0"/>
              <w:rPr>
                <w:sz w:val="3"/>
                <w:szCs w:val="3"/>
                <w:color w:val="auto"/>
              </w:rPr>
            </w:pPr>
          </w:p>
        </w:tc>
        <w:tc>
          <w:tcPr>
            <w:tcW w:w="1380" w:type="dxa"/>
            <w:vAlign w:val="bottom"/>
            <w:tcBorders>
              <w:bottom w:val="single" w:sz="8" w:color="91BBD3"/>
            </w:tcBorders>
          </w:tcPr>
          <w:p>
            <w:pPr>
              <w:spacing w:after="0"/>
              <w:rPr>
                <w:sz w:val="3"/>
                <w:szCs w:val="3"/>
                <w:color w:val="auto"/>
              </w:rPr>
            </w:pPr>
          </w:p>
        </w:tc>
        <w:tc>
          <w:tcPr>
            <w:tcW w:w="1220" w:type="dxa"/>
            <w:vAlign w:val="bottom"/>
            <w:tcBorders>
              <w:bottom w:val="single" w:sz="8" w:color="91BBD3"/>
            </w:tcBorders>
          </w:tcPr>
          <w:p>
            <w:pPr>
              <w:spacing w:after="0"/>
              <w:rPr>
                <w:sz w:val="3"/>
                <w:szCs w:val="3"/>
                <w:color w:val="auto"/>
              </w:rPr>
            </w:pPr>
          </w:p>
        </w:tc>
        <w:tc>
          <w:tcPr>
            <w:tcW w:w="40" w:type="dxa"/>
            <w:vAlign w:val="bottom"/>
            <w:tcBorders>
              <w:bottom w:val="single" w:sz="8" w:color="91BBD3"/>
            </w:tcBorders>
          </w:tcPr>
          <w:p>
            <w:pPr>
              <w:spacing w:after="0"/>
              <w:rPr>
                <w:sz w:val="3"/>
                <w:szCs w:val="3"/>
                <w:color w:val="auto"/>
              </w:rPr>
            </w:pPr>
          </w:p>
        </w:tc>
        <w:tc>
          <w:tcPr>
            <w:tcW w:w="100" w:type="dxa"/>
            <w:vAlign w:val="bottom"/>
            <w:tcBorders>
              <w:bottom w:val="single" w:sz="8" w:color="91BBD3"/>
              <w:right w:val="single" w:sz="8" w:color="91BBD3"/>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MS PGothic" w:cs="MS PGothic" w:eastAsia="MS PGothic" w:hAnsi="MS PGothic"/>
          <w:sz w:val="18"/>
          <w:szCs w:val="18"/>
          <w:color w:val="auto"/>
        </w:rPr>
        <w:t>Other material incorporated by reference:</w:t>
      </w:r>
    </w:p>
    <w:p>
      <w:pPr>
        <w:spacing w:after="0" w:line="144" w:lineRule="exact"/>
        <w:rPr>
          <w:sz w:val="20"/>
          <w:szCs w:val="20"/>
          <w:color w:val="auto"/>
        </w:rPr>
      </w:pPr>
    </w:p>
    <w:p>
      <w:pPr>
        <w:jc w:val="both"/>
        <w:spacing w:after="0" w:line="368" w:lineRule="auto"/>
        <w:rPr>
          <w:sz w:val="20"/>
          <w:szCs w:val="20"/>
          <w:color w:val="auto"/>
        </w:rPr>
      </w:pPr>
      <w:r>
        <w:rPr>
          <w:rFonts w:ascii="MS PGothic" w:cs="MS PGothic" w:eastAsia="MS PGothic" w:hAnsi="MS PGothic"/>
          <w:sz w:val="17"/>
          <w:szCs w:val="17"/>
          <w:color w:val="auto"/>
        </w:rPr>
        <w:t>Martn Marieta Materials, Inc.’s 2024 Proxy Statement to be fled pursuant to Regulaton 14A, portons of which are incorporated by reference in this Form 10-K. Those portons of the 2024 Proxy Statement which are not incorporated by reference shall not be deemed to be “fled” as part of this report.</w:t>
      </w:r>
    </w:p>
    <w:p>
      <w:pPr>
        <w:spacing w:after="0" w:line="19" w:lineRule="exact"/>
        <w:rPr>
          <w:sz w:val="20"/>
          <w:szCs w:val="20"/>
          <w:color w:val="auto"/>
        </w:rPr>
      </w:pPr>
    </w:p>
    <w:p>
      <w:pPr>
        <w:spacing w:after="0"/>
        <w:tabs>
          <w:tab w:leader="none" w:pos="280" w:val="left"/>
        </w:tabs>
        <w:rPr>
          <w:sz w:val="20"/>
          <w:szCs w:val="20"/>
          <w:color w:val="auto"/>
        </w:rPr>
      </w:pPr>
      <w:r>
        <w:rPr>
          <w:rFonts w:ascii="MS PGothic" w:cs="MS PGothic" w:eastAsia="MS PGothic" w:hAnsi="MS PGothic"/>
          <w:sz w:val="18"/>
          <w:szCs w:val="18"/>
          <w:color w:val="auto"/>
        </w:rPr>
        <w:t>*</w:t>
        <w:tab/>
        <w:t>Filed herewith</w:t>
      </w:r>
    </w:p>
    <w:p>
      <w:pPr>
        <w:spacing w:after="0" w:line="144" w:lineRule="exact"/>
        <w:rPr>
          <w:sz w:val="20"/>
          <w:szCs w:val="20"/>
          <w:color w:val="auto"/>
        </w:rPr>
      </w:pPr>
    </w:p>
    <w:p>
      <w:pPr>
        <w:spacing w:after="0"/>
        <w:rPr>
          <w:sz w:val="20"/>
          <w:szCs w:val="20"/>
          <w:color w:val="auto"/>
        </w:rPr>
      </w:pPr>
      <w:r>
        <w:rPr>
          <w:rFonts w:ascii="MS PGothic" w:cs="MS PGothic" w:eastAsia="MS PGothic" w:hAnsi="MS PGothic"/>
          <w:sz w:val="18"/>
          <w:szCs w:val="18"/>
          <w:color w:val="auto"/>
        </w:rPr>
        <w:t>** Management contract or compensatory plan or arrangement required to be fled as an exhibit pursuant to Item 14(c)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114300</wp:posOffset>
            </wp:positionV>
            <wp:extent cx="325755" cy="1968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79">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83" w:lineRule="exact"/>
        <w:rPr>
          <w:sz w:val="20"/>
          <w:szCs w:val="20"/>
          <w:color w:val="auto"/>
        </w:rPr>
      </w:pPr>
    </w:p>
    <w:p>
      <w:pPr>
        <w:ind w:left="20"/>
        <w:spacing w:after="0"/>
        <w:rPr>
          <w:sz w:val="20"/>
          <w:szCs w:val="20"/>
          <w:color w:val="auto"/>
        </w:rPr>
      </w:pPr>
      <w:r>
        <w:rPr>
          <w:rFonts w:ascii="MS PGothic" w:cs="MS PGothic" w:eastAsia="MS PGothic" w:hAnsi="MS PGothic"/>
          <w:sz w:val="18"/>
          <w:szCs w:val="18"/>
          <w:color w:val="auto"/>
        </w:rPr>
        <w:t xml:space="preserve">Form 10-K </w:t>
      </w:r>
      <w:r>
        <w:rPr>
          <w:rFonts w:ascii="Arial" w:cs="Arial" w:eastAsia="Arial" w:hAnsi="Arial"/>
          <w:sz w:val="23"/>
          <w:szCs w:val="23"/>
          <w:color w:val="0070C0"/>
        </w:rPr>
        <w:t>♦</w:t>
      </w:r>
      <w:r>
        <w:rPr>
          <w:rFonts w:ascii="MS PGothic" w:cs="MS PGothic" w:eastAsia="MS PGothic" w:hAnsi="MS PGothic"/>
          <w:sz w:val="18"/>
          <w:szCs w:val="18"/>
          <w:color w:val="auto"/>
        </w:rPr>
        <w:t xml:space="preserve">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601980</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21" w:name="page122"/>
    <w:bookmarkEnd w:id="121"/>
    <w:p>
      <w:pPr>
        <w:ind w:left="6720"/>
        <w:spacing w:after="0"/>
        <w:rPr>
          <w:sz w:val="20"/>
          <w:szCs w:val="20"/>
          <w:color w:val="auto"/>
        </w:rPr>
      </w:pPr>
      <w:r>
        <w:rPr>
          <w:rFonts w:ascii="Calibri" w:cs="Calibri" w:eastAsia="Calibri" w:hAnsi="Calibri"/>
          <w:sz w:val="17"/>
          <w:szCs w:val="17"/>
          <w:color w:val="auto"/>
        </w:rPr>
        <w:t xml:space="preserve">Part IV </w:t>
      </w:r>
      <w:r>
        <w:rPr>
          <w:rFonts w:ascii="Arial" w:cs="Arial" w:eastAsia="Arial" w:hAnsi="Arial"/>
          <w:sz w:val="22"/>
          <w:szCs w:val="22"/>
          <w:color w:val="0070C0"/>
        </w:rPr>
        <w:t>♦</w:t>
      </w:r>
      <w:r>
        <w:rPr>
          <w:rFonts w:ascii="Calibri" w:cs="Calibri" w:eastAsia="Calibri" w:hAnsi="Calibri"/>
          <w:sz w:val="17"/>
          <w:szCs w:val="17"/>
          <w:color w:val="auto"/>
        </w:rPr>
        <w:t xml:space="preserve"> Item 15 – Exhibits and Financial Statement Schedules</w:t>
      </w:r>
    </w:p>
    <w:p>
      <w:pPr>
        <w:spacing w:after="0" w:line="221" w:lineRule="exact"/>
        <w:rPr>
          <w:sz w:val="20"/>
          <w:szCs w:val="20"/>
          <w:color w:val="auto"/>
        </w:rPr>
      </w:pPr>
    </w:p>
    <w:p>
      <w:pPr>
        <w:spacing w:after="0"/>
        <w:tabs>
          <w:tab w:leader="none" w:pos="400" w:val="left"/>
        </w:tabs>
        <w:rPr>
          <w:sz w:val="20"/>
          <w:szCs w:val="20"/>
          <w:color w:val="auto"/>
        </w:rPr>
      </w:pPr>
      <w:r>
        <w:rPr>
          <w:rFonts w:ascii="Calibri" w:cs="Calibri" w:eastAsia="Calibri" w:hAnsi="Calibri"/>
          <w:sz w:val="22"/>
          <w:szCs w:val="22"/>
          <w:b w:val="1"/>
          <w:bCs w:val="1"/>
          <w:color w:val="965F6E"/>
        </w:rPr>
        <w:t>(c)</w:t>
      </w:r>
      <w:r>
        <w:rPr>
          <w:sz w:val="20"/>
          <w:szCs w:val="20"/>
          <w:color w:val="auto"/>
        </w:rPr>
        <w:tab/>
      </w:r>
      <w:r>
        <w:rPr>
          <w:rFonts w:ascii="Calibri" w:cs="Calibri" w:eastAsia="Calibri" w:hAnsi="Calibri"/>
          <w:sz w:val="21"/>
          <w:szCs w:val="21"/>
          <w:b w:val="1"/>
          <w:bCs w:val="1"/>
          <w:color w:val="965F6E"/>
        </w:rPr>
        <w:t>Financial Statement Schedule</w:t>
      </w:r>
    </w:p>
    <w:p>
      <w:pPr>
        <w:spacing w:after="0" w:line="110"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SCHEDULE II – VALUATION AND QUALIFYING ACCOUNTS</w:t>
      </w:r>
    </w:p>
    <w:p>
      <w:pPr>
        <w:spacing w:after="0" w:line="50"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MARTIN MARIETTA MATERIALS, INC. AND CONSOLIDATED SUBSIDIARIES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Borders>
              <w:right w:val="single" w:sz="8" w:color="007CBA"/>
            </w:tcBorders>
            <w:shd w:val="clear" w:color="auto" w:fill="007CBA"/>
          </w:tcPr>
          <w:p>
            <w:pPr>
              <w:ind w:left="100"/>
              <w:spacing w:after="0"/>
              <w:rPr>
                <w:sz w:val="20"/>
                <w:szCs w:val="20"/>
                <w:color w:val="auto"/>
              </w:rPr>
            </w:pPr>
            <w:r>
              <w:rPr>
                <w:rFonts w:ascii="Calibri" w:cs="Calibri" w:eastAsia="Calibri" w:hAnsi="Calibri"/>
                <w:sz w:val="14"/>
                <w:szCs w:val="14"/>
                <w:b w:val="1"/>
                <w:bCs w:val="1"/>
                <w:color w:val="FFFFFF"/>
              </w:rPr>
              <w:t>Col A</w:t>
            </w:r>
          </w:p>
        </w:tc>
        <w:tc>
          <w:tcPr>
            <w:tcW w:w="280" w:type="dxa"/>
            <w:vAlign w:val="bottom"/>
            <w:shd w:val="clear" w:color="auto" w:fill="007CBA"/>
          </w:tcPr>
          <w:p>
            <w:pPr>
              <w:spacing w:after="0"/>
              <w:rPr>
                <w:sz w:val="16"/>
                <w:szCs w:val="16"/>
                <w:color w:val="auto"/>
              </w:rPr>
            </w:pPr>
          </w:p>
        </w:tc>
        <w:tc>
          <w:tcPr>
            <w:tcW w:w="960" w:type="dxa"/>
            <w:vAlign w:val="bottom"/>
            <w:tcBorders>
              <w:right w:val="single" w:sz="8" w:color="007CBA"/>
            </w:tcBorders>
            <w:shd w:val="clear" w:color="auto" w:fill="007CBA"/>
          </w:tcPr>
          <w:p>
            <w:pPr>
              <w:jc w:val="center"/>
              <w:ind w:right="183"/>
              <w:spacing w:after="0"/>
              <w:rPr>
                <w:sz w:val="20"/>
                <w:szCs w:val="20"/>
                <w:color w:val="auto"/>
              </w:rPr>
            </w:pPr>
            <w:r>
              <w:rPr>
                <w:rFonts w:ascii="Calibri" w:cs="Calibri" w:eastAsia="Calibri" w:hAnsi="Calibri"/>
                <w:sz w:val="14"/>
                <w:szCs w:val="14"/>
                <w:b w:val="1"/>
                <w:bCs w:val="1"/>
                <w:color w:val="FFFFFF"/>
              </w:rPr>
              <w:t>Col B</w:t>
            </w:r>
          </w:p>
        </w:tc>
        <w:tc>
          <w:tcPr>
            <w:tcW w:w="280" w:type="dxa"/>
            <w:vAlign w:val="bottom"/>
            <w:shd w:val="clear" w:color="auto" w:fill="007CBA"/>
          </w:tcPr>
          <w:p>
            <w:pPr>
              <w:spacing w:after="0"/>
              <w:rPr>
                <w:sz w:val="16"/>
                <w:szCs w:val="16"/>
                <w:color w:val="auto"/>
              </w:rPr>
            </w:pPr>
          </w:p>
        </w:tc>
        <w:tc>
          <w:tcPr>
            <w:tcW w:w="1220" w:type="dxa"/>
            <w:vAlign w:val="bottom"/>
            <w:gridSpan w:val="2"/>
            <w:shd w:val="clear" w:color="auto" w:fill="007CBA"/>
          </w:tcPr>
          <w:p>
            <w:pPr>
              <w:jc w:val="center"/>
              <w:ind w:left="564"/>
              <w:spacing w:after="0"/>
              <w:rPr>
                <w:sz w:val="20"/>
                <w:szCs w:val="20"/>
                <w:color w:val="auto"/>
              </w:rPr>
            </w:pPr>
            <w:r>
              <w:rPr>
                <w:rFonts w:ascii="Calibri" w:cs="Calibri" w:eastAsia="Calibri" w:hAnsi="Calibri"/>
                <w:sz w:val="14"/>
                <w:szCs w:val="14"/>
                <w:b w:val="1"/>
                <w:bCs w:val="1"/>
                <w:color w:val="FFFFFF"/>
              </w:rPr>
              <w:t>Col C</w:t>
            </w:r>
          </w:p>
        </w:tc>
        <w:tc>
          <w:tcPr>
            <w:tcW w:w="1100" w:type="dxa"/>
            <w:vAlign w:val="bottom"/>
            <w:tcBorders>
              <w:right w:val="single" w:sz="8" w:color="007CBA"/>
            </w:tcBorders>
            <w:shd w:val="clear" w:color="auto" w:fill="007CBA"/>
          </w:tcPr>
          <w:p>
            <w:pPr>
              <w:spacing w:after="0"/>
              <w:rPr>
                <w:sz w:val="16"/>
                <w:szCs w:val="16"/>
                <w:color w:val="auto"/>
              </w:rPr>
            </w:pPr>
          </w:p>
        </w:tc>
        <w:tc>
          <w:tcPr>
            <w:tcW w:w="80" w:type="dxa"/>
            <w:vAlign w:val="bottom"/>
            <w:shd w:val="clear" w:color="auto" w:fill="007CBA"/>
          </w:tcPr>
          <w:p>
            <w:pPr>
              <w:spacing w:after="0"/>
              <w:rPr>
                <w:sz w:val="16"/>
                <w:szCs w:val="16"/>
                <w:color w:val="auto"/>
              </w:rPr>
            </w:pPr>
          </w:p>
        </w:tc>
        <w:tc>
          <w:tcPr>
            <w:tcW w:w="140" w:type="dxa"/>
            <w:vAlign w:val="bottom"/>
            <w:shd w:val="clear" w:color="auto" w:fill="007CBA"/>
          </w:tcPr>
          <w:p>
            <w:pPr>
              <w:spacing w:after="0"/>
              <w:rPr>
                <w:sz w:val="16"/>
                <w:szCs w:val="16"/>
                <w:color w:val="auto"/>
              </w:rPr>
            </w:pPr>
          </w:p>
        </w:tc>
        <w:tc>
          <w:tcPr>
            <w:tcW w:w="900" w:type="dxa"/>
            <w:vAlign w:val="bottom"/>
            <w:shd w:val="clear" w:color="auto" w:fill="007CBA"/>
          </w:tcPr>
          <w:p>
            <w:pPr>
              <w:jc w:val="center"/>
              <w:ind w:right="82"/>
              <w:spacing w:after="0"/>
              <w:rPr>
                <w:sz w:val="20"/>
                <w:szCs w:val="20"/>
                <w:color w:val="auto"/>
              </w:rPr>
            </w:pPr>
            <w:r>
              <w:rPr>
                <w:rFonts w:ascii="Calibri" w:cs="Calibri" w:eastAsia="Calibri" w:hAnsi="Calibri"/>
                <w:sz w:val="14"/>
                <w:szCs w:val="14"/>
                <w:b w:val="1"/>
                <w:bCs w:val="1"/>
                <w:color w:val="FFFFFF"/>
                <w:w w:val="98"/>
              </w:rPr>
              <w:t>Col D</w:t>
            </w:r>
          </w:p>
        </w:tc>
        <w:tc>
          <w:tcPr>
            <w:tcW w:w="320" w:type="dxa"/>
            <w:vAlign w:val="bottom"/>
            <w:tcBorders>
              <w:right w:val="single" w:sz="8" w:color="007CBA"/>
            </w:tcBorders>
            <w:shd w:val="clear" w:color="auto" w:fill="007CBA"/>
          </w:tcPr>
          <w:p>
            <w:pPr>
              <w:spacing w:after="0"/>
              <w:rPr>
                <w:sz w:val="16"/>
                <w:szCs w:val="16"/>
                <w:color w:val="auto"/>
              </w:rPr>
            </w:pPr>
          </w:p>
        </w:tc>
        <w:tc>
          <w:tcPr>
            <w:tcW w:w="260" w:type="dxa"/>
            <w:vAlign w:val="bottom"/>
            <w:shd w:val="clear" w:color="auto" w:fill="007CBA"/>
          </w:tcPr>
          <w:p>
            <w:pPr>
              <w:spacing w:after="0"/>
              <w:rPr>
                <w:sz w:val="16"/>
                <w:szCs w:val="16"/>
                <w:color w:val="auto"/>
              </w:rPr>
            </w:pPr>
          </w:p>
        </w:tc>
        <w:tc>
          <w:tcPr>
            <w:tcW w:w="900" w:type="dxa"/>
            <w:vAlign w:val="bottom"/>
            <w:shd w:val="clear" w:color="auto" w:fill="007CBA"/>
          </w:tcPr>
          <w:p>
            <w:pPr>
              <w:jc w:val="center"/>
              <w:ind w:right="183"/>
              <w:spacing w:after="0"/>
              <w:rPr>
                <w:sz w:val="20"/>
                <w:szCs w:val="20"/>
                <w:color w:val="auto"/>
              </w:rPr>
            </w:pPr>
            <w:r>
              <w:rPr>
                <w:rFonts w:ascii="Calibri" w:cs="Calibri" w:eastAsia="Calibri" w:hAnsi="Calibri"/>
                <w:sz w:val="14"/>
                <w:szCs w:val="14"/>
                <w:b w:val="1"/>
                <w:bCs w:val="1"/>
                <w:color w:val="FFFFFF"/>
                <w:w w:val="98"/>
              </w:rPr>
              <w:t>Col E</w:t>
            </w:r>
          </w:p>
        </w:tc>
      </w:tr>
      <w:tr>
        <w:trPr>
          <w:trHeight w:val="195"/>
        </w:trPr>
        <w:tc>
          <w:tcPr>
            <w:tcW w:w="480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960" w:type="dxa"/>
            <w:vAlign w:val="bottom"/>
            <w:tcBorders>
              <w:right w:val="single" w:sz="8" w:color="007CBA"/>
            </w:tcBorders>
            <w:shd w:val="clear" w:color="auto" w:fill="007CBA"/>
          </w:tcPr>
          <w:p>
            <w:pPr>
              <w:spacing w:after="0"/>
              <w:rPr>
                <w:sz w:val="16"/>
                <w:szCs w:val="16"/>
                <w:color w:val="auto"/>
              </w:rPr>
            </w:pPr>
          </w:p>
        </w:tc>
        <w:tc>
          <w:tcPr>
            <w:tcW w:w="280" w:type="dxa"/>
            <w:vAlign w:val="bottom"/>
            <w:shd w:val="clear" w:color="auto" w:fill="007CBA"/>
          </w:tcPr>
          <w:p>
            <w:pPr>
              <w:spacing w:after="0"/>
              <w:rPr>
                <w:sz w:val="16"/>
                <w:szCs w:val="16"/>
                <w:color w:val="auto"/>
              </w:rPr>
            </w:pPr>
          </w:p>
        </w:tc>
        <w:tc>
          <w:tcPr>
            <w:tcW w:w="1220" w:type="dxa"/>
            <w:vAlign w:val="bottom"/>
            <w:gridSpan w:val="2"/>
            <w:shd w:val="clear" w:color="auto" w:fill="007CBA"/>
          </w:tcPr>
          <w:p>
            <w:pPr>
              <w:jc w:val="center"/>
              <w:ind w:left="564"/>
              <w:spacing w:after="0"/>
              <w:rPr>
                <w:sz w:val="20"/>
                <w:szCs w:val="20"/>
                <w:color w:val="auto"/>
              </w:rPr>
            </w:pPr>
            <w:r>
              <w:rPr>
                <w:rFonts w:ascii="Calibri" w:cs="Calibri" w:eastAsia="Calibri" w:hAnsi="Calibri"/>
                <w:sz w:val="14"/>
                <w:szCs w:val="14"/>
                <w:b w:val="1"/>
                <w:bCs w:val="1"/>
                <w:color w:val="FFFFFF"/>
              </w:rPr>
              <w:t>Additons</w:t>
            </w:r>
          </w:p>
        </w:tc>
        <w:tc>
          <w:tcPr>
            <w:tcW w:w="1100" w:type="dxa"/>
            <w:vAlign w:val="bottom"/>
            <w:tcBorders>
              <w:right w:val="single" w:sz="8" w:color="007CBA"/>
            </w:tcBorders>
            <w:shd w:val="clear" w:color="auto" w:fill="007CBA"/>
          </w:tcPr>
          <w:p>
            <w:pPr>
              <w:spacing w:after="0"/>
              <w:rPr>
                <w:sz w:val="16"/>
                <w:szCs w:val="16"/>
                <w:color w:val="auto"/>
              </w:rPr>
            </w:pPr>
          </w:p>
        </w:tc>
        <w:tc>
          <w:tcPr>
            <w:tcW w:w="80" w:type="dxa"/>
            <w:vAlign w:val="bottom"/>
            <w:shd w:val="clear" w:color="auto" w:fill="007CBA"/>
          </w:tcPr>
          <w:p>
            <w:pPr>
              <w:spacing w:after="0"/>
              <w:rPr>
                <w:sz w:val="16"/>
                <w:szCs w:val="16"/>
                <w:color w:val="auto"/>
              </w:rPr>
            </w:pPr>
          </w:p>
        </w:tc>
        <w:tc>
          <w:tcPr>
            <w:tcW w:w="140" w:type="dxa"/>
            <w:vAlign w:val="bottom"/>
            <w:shd w:val="clear" w:color="auto" w:fill="007CBA"/>
          </w:tcPr>
          <w:p>
            <w:pPr>
              <w:spacing w:after="0"/>
              <w:rPr>
                <w:sz w:val="16"/>
                <w:szCs w:val="16"/>
                <w:color w:val="auto"/>
              </w:rPr>
            </w:pPr>
          </w:p>
        </w:tc>
        <w:tc>
          <w:tcPr>
            <w:tcW w:w="900" w:type="dxa"/>
            <w:vAlign w:val="bottom"/>
            <w:shd w:val="clear" w:color="auto" w:fill="007CBA"/>
          </w:tcPr>
          <w:p>
            <w:pPr>
              <w:spacing w:after="0"/>
              <w:rPr>
                <w:sz w:val="16"/>
                <w:szCs w:val="16"/>
                <w:color w:val="auto"/>
              </w:rPr>
            </w:pPr>
          </w:p>
        </w:tc>
        <w:tc>
          <w:tcPr>
            <w:tcW w:w="320" w:type="dxa"/>
            <w:vAlign w:val="bottom"/>
            <w:tcBorders>
              <w:right w:val="single" w:sz="8" w:color="007CBA"/>
            </w:tcBorders>
            <w:shd w:val="clear" w:color="auto" w:fill="007CBA"/>
          </w:tcPr>
          <w:p>
            <w:pPr>
              <w:spacing w:after="0"/>
              <w:rPr>
                <w:sz w:val="16"/>
                <w:szCs w:val="16"/>
                <w:color w:val="auto"/>
              </w:rPr>
            </w:pPr>
          </w:p>
        </w:tc>
        <w:tc>
          <w:tcPr>
            <w:tcW w:w="260" w:type="dxa"/>
            <w:vAlign w:val="bottom"/>
            <w:shd w:val="clear" w:color="auto" w:fill="007CBA"/>
          </w:tcPr>
          <w:p>
            <w:pPr>
              <w:spacing w:after="0"/>
              <w:rPr>
                <w:sz w:val="16"/>
                <w:szCs w:val="16"/>
                <w:color w:val="auto"/>
              </w:rPr>
            </w:pPr>
          </w:p>
        </w:tc>
        <w:tc>
          <w:tcPr>
            <w:tcW w:w="900" w:type="dxa"/>
            <w:vAlign w:val="bottom"/>
            <w:shd w:val="clear" w:color="auto" w:fill="007CBA"/>
          </w:tcPr>
          <w:p>
            <w:pPr>
              <w:spacing w:after="0"/>
              <w:rPr>
                <w:sz w:val="16"/>
                <w:szCs w:val="16"/>
                <w:color w:val="auto"/>
              </w:rPr>
            </w:pPr>
          </w:p>
        </w:tc>
      </w:tr>
      <w:tr>
        <w:trPr>
          <w:trHeight w:val="216"/>
        </w:trPr>
        <w:tc>
          <w:tcPr>
            <w:tcW w:w="480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960" w:type="dxa"/>
            <w:vAlign w:val="bottom"/>
            <w:tcBorders>
              <w:right w:val="single" w:sz="8" w:color="007CBA"/>
            </w:tcBorders>
            <w:shd w:val="clear" w:color="auto" w:fill="007CBA"/>
          </w:tcPr>
          <w:p>
            <w:pPr>
              <w:spacing w:after="0"/>
              <w:rPr>
                <w:sz w:val="18"/>
                <w:szCs w:val="18"/>
                <w:color w:val="auto"/>
              </w:rPr>
            </w:pPr>
          </w:p>
        </w:tc>
        <w:tc>
          <w:tcPr>
            <w:tcW w:w="280" w:type="dxa"/>
            <w:vAlign w:val="bottom"/>
            <w:shd w:val="clear" w:color="auto" w:fill="007CBA"/>
          </w:tcPr>
          <w:p>
            <w:pPr>
              <w:spacing w:after="0"/>
              <w:rPr>
                <w:sz w:val="18"/>
                <w:szCs w:val="18"/>
                <w:color w:val="auto"/>
              </w:rPr>
            </w:pPr>
          </w:p>
        </w:tc>
        <w:tc>
          <w:tcPr>
            <w:tcW w:w="940" w:type="dxa"/>
            <w:vAlign w:val="bottom"/>
            <w:tcBorders>
              <w:right w:val="single" w:sz="8" w:color="007CBA"/>
            </w:tcBorders>
            <w:shd w:val="clear" w:color="auto" w:fill="007CBA"/>
          </w:tcPr>
          <w:p>
            <w:pPr>
              <w:jc w:val="center"/>
              <w:ind w:right="204"/>
              <w:spacing w:after="0"/>
              <w:rPr>
                <w:sz w:val="20"/>
                <w:szCs w:val="20"/>
                <w:color w:val="auto"/>
              </w:rPr>
            </w:pPr>
            <w:r>
              <w:rPr>
                <w:rFonts w:ascii="Calibri" w:cs="Calibri" w:eastAsia="Calibri" w:hAnsi="Calibri"/>
                <w:sz w:val="14"/>
                <w:szCs w:val="14"/>
                <w:b w:val="1"/>
                <w:bCs w:val="1"/>
                <w:color w:val="FFFFFF"/>
              </w:rPr>
              <w:t>(1)</w:t>
            </w:r>
          </w:p>
        </w:tc>
        <w:tc>
          <w:tcPr>
            <w:tcW w:w="280" w:type="dxa"/>
            <w:vAlign w:val="bottom"/>
            <w:shd w:val="clear" w:color="auto" w:fill="007CBA"/>
          </w:tcPr>
          <w:p>
            <w:pPr>
              <w:spacing w:after="0"/>
              <w:rPr>
                <w:sz w:val="18"/>
                <w:szCs w:val="18"/>
                <w:color w:val="auto"/>
              </w:rPr>
            </w:pPr>
          </w:p>
        </w:tc>
        <w:tc>
          <w:tcPr>
            <w:tcW w:w="1100" w:type="dxa"/>
            <w:vAlign w:val="bottom"/>
            <w:tcBorders>
              <w:right w:val="single" w:sz="8" w:color="007CBA"/>
            </w:tcBorders>
            <w:shd w:val="clear" w:color="auto" w:fill="007CBA"/>
          </w:tcPr>
          <w:p>
            <w:pPr>
              <w:jc w:val="center"/>
              <w:ind w:right="383"/>
              <w:spacing w:after="0"/>
              <w:rPr>
                <w:sz w:val="20"/>
                <w:szCs w:val="20"/>
                <w:color w:val="auto"/>
              </w:rPr>
            </w:pPr>
            <w:r>
              <w:rPr>
                <w:rFonts w:ascii="Calibri" w:cs="Calibri" w:eastAsia="Calibri" w:hAnsi="Calibri"/>
                <w:sz w:val="14"/>
                <w:szCs w:val="14"/>
                <w:b w:val="1"/>
                <w:bCs w:val="1"/>
                <w:color w:val="FFFFFF"/>
              </w:rPr>
              <w:t>(2)</w:t>
            </w:r>
          </w:p>
        </w:tc>
        <w:tc>
          <w:tcPr>
            <w:tcW w:w="80" w:type="dxa"/>
            <w:vAlign w:val="bottom"/>
            <w:shd w:val="clear" w:color="auto" w:fill="007CBA"/>
          </w:tcPr>
          <w:p>
            <w:pPr>
              <w:spacing w:after="0"/>
              <w:rPr>
                <w:sz w:val="18"/>
                <w:szCs w:val="18"/>
                <w:color w:val="auto"/>
              </w:rPr>
            </w:pPr>
          </w:p>
        </w:tc>
        <w:tc>
          <w:tcPr>
            <w:tcW w:w="140" w:type="dxa"/>
            <w:vAlign w:val="bottom"/>
            <w:shd w:val="clear" w:color="auto" w:fill="007CBA"/>
          </w:tcPr>
          <w:p>
            <w:pPr>
              <w:spacing w:after="0"/>
              <w:rPr>
                <w:sz w:val="18"/>
                <w:szCs w:val="18"/>
                <w:color w:val="auto"/>
              </w:rPr>
            </w:pPr>
          </w:p>
        </w:tc>
        <w:tc>
          <w:tcPr>
            <w:tcW w:w="900" w:type="dxa"/>
            <w:vAlign w:val="bottom"/>
            <w:shd w:val="clear" w:color="auto" w:fill="007CBA"/>
          </w:tcPr>
          <w:p>
            <w:pPr>
              <w:spacing w:after="0"/>
              <w:rPr>
                <w:sz w:val="18"/>
                <w:szCs w:val="18"/>
                <w:color w:val="auto"/>
              </w:rPr>
            </w:pPr>
          </w:p>
        </w:tc>
        <w:tc>
          <w:tcPr>
            <w:tcW w:w="320" w:type="dxa"/>
            <w:vAlign w:val="bottom"/>
            <w:tcBorders>
              <w:right w:val="single" w:sz="8" w:color="007CBA"/>
            </w:tcBorders>
            <w:shd w:val="clear" w:color="auto" w:fill="007CBA"/>
          </w:tcPr>
          <w:p>
            <w:pPr>
              <w:spacing w:after="0"/>
              <w:rPr>
                <w:sz w:val="18"/>
                <w:szCs w:val="18"/>
                <w:color w:val="auto"/>
              </w:rPr>
            </w:pPr>
          </w:p>
        </w:tc>
        <w:tc>
          <w:tcPr>
            <w:tcW w:w="260" w:type="dxa"/>
            <w:vAlign w:val="bottom"/>
            <w:shd w:val="clear" w:color="auto" w:fill="007CBA"/>
          </w:tcPr>
          <w:p>
            <w:pPr>
              <w:spacing w:after="0"/>
              <w:rPr>
                <w:sz w:val="18"/>
                <w:szCs w:val="18"/>
                <w:color w:val="auto"/>
              </w:rPr>
            </w:pPr>
          </w:p>
        </w:tc>
        <w:tc>
          <w:tcPr>
            <w:tcW w:w="900" w:type="dxa"/>
            <w:vAlign w:val="bottom"/>
            <w:shd w:val="clear" w:color="auto" w:fill="007CBA"/>
          </w:tcPr>
          <w:p>
            <w:pPr>
              <w:spacing w:after="0"/>
              <w:rPr>
                <w:sz w:val="18"/>
                <w:szCs w:val="18"/>
                <w:color w:val="auto"/>
              </w:rPr>
            </w:pPr>
          </w:p>
        </w:tc>
      </w:tr>
      <w:tr>
        <w:trPr>
          <w:trHeight w:val="176"/>
        </w:trPr>
        <w:tc>
          <w:tcPr>
            <w:tcW w:w="4800" w:type="dxa"/>
            <w:vAlign w:val="bottom"/>
            <w:tcBorders>
              <w:right w:val="single" w:sz="8" w:color="007CBA"/>
            </w:tcBorders>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60" w:type="dxa"/>
            <w:vAlign w:val="bottom"/>
            <w:tcBorders>
              <w:right w:val="single" w:sz="8" w:color="007CBA"/>
            </w:tcBorders>
            <w:shd w:val="clear" w:color="auto" w:fill="007CBA"/>
          </w:tcPr>
          <w:p>
            <w:pPr>
              <w:jc w:val="center"/>
              <w:ind w:right="203"/>
              <w:spacing w:after="0"/>
              <w:rPr>
                <w:sz w:val="20"/>
                <w:szCs w:val="20"/>
                <w:color w:val="auto"/>
              </w:rPr>
            </w:pPr>
            <w:r>
              <w:rPr>
                <w:rFonts w:ascii="Calibri" w:cs="Calibri" w:eastAsia="Calibri" w:hAnsi="Calibri"/>
                <w:sz w:val="14"/>
                <w:szCs w:val="14"/>
                <w:b w:val="1"/>
                <w:bCs w:val="1"/>
                <w:color w:val="FFFFFF"/>
              </w:rPr>
              <w:t>Balance</w:t>
            </w:r>
          </w:p>
        </w:tc>
        <w:tc>
          <w:tcPr>
            <w:tcW w:w="280" w:type="dxa"/>
            <w:vAlign w:val="bottom"/>
            <w:shd w:val="clear" w:color="auto" w:fill="007CBA"/>
          </w:tcPr>
          <w:p>
            <w:pPr>
              <w:spacing w:after="0"/>
              <w:rPr>
                <w:sz w:val="15"/>
                <w:szCs w:val="15"/>
                <w:color w:val="auto"/>
              </w:rPr>
            </w:pPr>
          </w:p>
        </w:tc>
        <w:tc>
          <w:tcPr>
            <w:tcW w:w="940" w:type="dxa"/>
            <w:vAlign w:val="bottom"/>
            <w:tcBorders>
              <w:right w:val="single" w:sz="8" w:color="007CBA"/>
            </w:tcBorders>
            <w:shd w:val="clear" w:color="auto" w:fill="007CBA"/>
          </w:tcPr>
          <w:p>
            <w:pPr>
              <w:jc w:val="center"/>
              <w:ind w:right="204"/>
              <w:spacing w:after="0"/>
              <w:rPr>
                <w:sz w:val="20"/>
                <w:szCs w:val="20"/>
                <w:color w:val="auto"/>
              </w:rPr>
            </w:pPr>
            <w:r>
              <w:rPr>
                <w:rFonts w:ascii="Calibri" w:cs="Calibri" w:eastAsia="Calibri" w:hAnsi="Calibri"/>
                <w:sz w:val="14"/>
                <w:szCs w:val="14"/>
                <w:b w:val="1"/>
                <w:bCs w:val="1"/>
                <w:color w:val="FFFFFF"/>
              </w:rPr>
              <w:t>Charged</w:t>
            </w:r>
          </w:p>
        </w:tc>
        <w:tc>
          <w:tcPr>
            <w:tcW w:w="280" w:type="dxa"/>
            <w:vAlign w:val="bottom"/>
            <w:shd w:val="clear" w:color="auto" w:fill="007CBA"/>
          </w:tcPr>
          <w:p>
            <w:pPr>
              <w:spacing w:after="0"/>
              <w:rPr>
                <w:sz w:val="15"/>
                <w:szCs w:val="15"/>
                <w:color w:val="auto"/>
              </w:rPr>
            </w:pPr>
          </w:p>
        </w:tc>
        <w:tc>
          <w:tcPr>
            <w:tcW w:w="1180" w:type="dxa"/>
            <w:vAlign w:val="bottom"/>
            <w:gridSpan w:val="2"/>
            <w:shd w:val="clear" w:color="auto" w:fill="007CBA"/>
          </w:tcPr>
          <w:p>
            <w:pPr>
              <w:jc w:val="center"/>
              <w:ind w:right="560"/>
              <w:spacing w:after="0"/>
              <w:rPr>
                <w:sz w:val="20"/>
                <w:szCs w:val="20"/>
                <w:color w:val="auto"/>
              </w:rPr>
            </w:pPr>
            <w:r>
              <w:rPr>
                <w:rFonts w:ascii="Calibri" w:cs="Calibri" w:eastAsia="Calibri" w:hAnsi="Calibri"/>
                <w:sz w:val="14"/>
                <w:szCs w:val="14"/>
                <w:b w:val="1"/>
                <w:bCs w:val="1"/>
                <w:color w:val="FFFFFF"/>
              </w:rPr>
              <w:t>Charged</w:t>
            </w:r>
          </w:p>
        </w:tc>
        <w:tc>
          <w:tcPr>
            <w:tcW w:w="140" w:type="dxa"/>
            <w:vAlign w:val="bottom"/>
            <w:shd w:val="clear" w:color="auto" w:fill="007CBA"/>
          </w:tcPr>
          <w:p>
            <w:pPr>
              <w:spacing w:after="0"/>
              <w:rPr>
                <w:sz w:val="15"/>
                <w:szCs w:val="15"/>
                <w:color w:val="auto"/>
              </w:rPr>
            </w:pPr>
          </w:p>
        </w:tc>
        <w:tc>
          <w:tcPr>
            <w:tcW w:w="900" w:type="dxa"/>
            <w:vAlign w:val="bottom"/>
            <w:shd w:val="clear" w:color="auto" w:fill="007CBA"/>
          </w:tcPr>
          <w:p>
            <w:pPr>
              <w:spacing w:after="0"/>
              <w:rPr>
                <w:sz w:val="15"/>
                <w:szCs w:val="15"/>
                <w:color w:val="auto"/>
              </w:rPr>
            </w:pPr>
          </w:p>
        </w:tc>
        <w:tc>
          <w:tcPr>
            <w:tcW w:w="320" w:type="dxa"/>
            <w:vAlign w:val="bottom"/>
            <w:tcBorders>
              <w:right w:val="single" w:sz="8" w:color="007CBA"/>
            </w:tcBorders>
            <w:shd w:val="clear" w:color="auto" w:fill="007CBA"/>
          </w:tcPr>
          <w:p>
            <w:pPr>
              <w:spacing w:after="0"/>
              <w:rPr>
                <w:sz w:val="15"/>
                <w:szCs w:val="15"/>
                <w:color w:val="auto"/>
              </w:rPr>
            </w:pPr>
          </w:p>
        </w:tc>
        <w:tc>
          <w:tcPr>
            <w:tcW w:w="260" w:type="dxa"/>
            <w:vAlign w:val="bottom"/>
            <w:shd w:val="clear" w:color="auto" w:fill="007CBA"/>
          </w:tcPr>
          <w:p>
            <w:pPr>
              <w:spacing w:after="0"/>
              <w:rPr>
                <w:sz w:val="15"/>
                <w:szCs w:val="15"/>
                <w:color w:val="auto"/>
              </w:rPr>
            </w:pPr>
          </w:p>
        </w:tc>
        <w:tc>
          <w:tcPr>
            <w:tcW w:w="900" w:type="dxa"/>
            <w:vAlign w:val="bottom"/>
            <w:shd w:val="clear" w:color="auto" w:fill="007CBA"/>
          </w:tcPr>
          <w:p>
            <w:pPr>
              <w:spacing w:after="0"/>
              <w:rPr>
                <w:sz w:val="15"/>
                <w:szCs w:val="15"/>
                <w:color w:val="auto"/>
              </w:rPr>
            </w:pPr>
          </w:p>
        </w:tc>
      </w:tr>
      <w:tr>
        <w:trPr>
          <w:trHeight w:val="176"/>
        </w:trPr>
        <w:tc>
          <w:tcPr>
            <w:tcW w:w="4800" w:type="dxa"/>
            <w:vAlign w:val="bottom"/>
            <w:tcBorders>
              <w:right w:val="single" w:sz="8" w:color="007CBA"/>
            </w:tcBorders>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60" w:type="dxa"/>
            <w:vAlign w:val="bottom"/>
            <w:tcBorders>
              <w:right w:val="single" w:sz="8" w:color="007CBA"/>
            </w:tcBorders>
            <w:shd w:val="clear" w:color="auto" w:fill="007CBA"/>
          </w:tcPr>
          <w:p>
            <w:pPr>
              <w:jc w:val="center"/>
              <w:ind w:right="203"/>
              <w:spacing w:after="0"/>
              <w:rPr>
                <w:sz w:val="20"/>
                <w:szCs w:val="20"/>
                <w:color w:val="auto"/>
              </w:rPr>
            </w:pPr>
            <w:r>
              <w:rPr>
                <w:rFonts w:ascii="Calibri" w:cs="Calibri" w:eastAsia="Calibri" w:hAnsi="Calibri"/>
                <w:sz w:val="14"/>
                <w:szCs w:val="14"/>
                <w:b w:val="1"/>
                <w:bCs w:val="1"/>
                <w:color w:val="FFFFFF"/>
              </w:rPr>
              <w:t>at</w:t>
            </w:r>
          </w:p>
        </w:tc>
        <w:tc>
          <w:tcPr>
            <w:tcW w:w="280" w:type="dxa"/>
            <w:vAlign w:val="bottom"/>
            <w:shd w:val="clear" w:color="auto" w:fill="007CBA"/>
          </w:tcPr>
          <w:p>
            <w:pPr>
              <w:spacing w:after="0"/>
              <w:rPr>
                <w:sz w:val="15"/>
                <w:szCs w:val="15"/>
                <w:color w:val="auto"/>
              </w:rPr>
            </w:pPr>
          </w:p>
        </w:tc>
        <w:tc>
          <w:tcPr>
            <w:tcW w:w="940" w:type="dxa"/>
            <w:vAlign w:val="bottom"/>
            <w:tcBorders>
              <w:right w:val="single" w:sz="8" w:color="007CBA"/>
            </w:tcBorders>
            <w:shd w:val="clear" w:color="auto" w:fill="007CBA"/>
          </w:tcPr>
          <w:p>
            <w:pPr>
              <w:jc w:val="center"/>
              <w:ind w:right="204"/>
              <w:spacing w:after="0"/>
              <w:rPr>
                <w:sz w:val="20"/>
                <w:szCs w:val="20"/>
                <w:color w:val="auto"/>
              </w:rPr>
            </w:pPr>
            <w:r>
              <w:rPr>
                <w:rFonts w:ascii="Calibri" w:cs="Calibri" w:eastAsia="Calibri" w:hAnsi="Calibri"/>
                <w:sz w:val="14"/>
                <w:szCs w:val="14"/>
                <w:b w:val="1"/>
                <w:bCs w:val="1"/>
                <w:color w:val="FFFFFF"/>
              </w:rPr>
              <w:t>to costs</w:t>
            </w:r>
          </w:p>
        </w:tc>
        <w:tc>
          <w:tcPr>
            <w:tcW w:w="280" w:type="dxa"/>
            <w:vAlign w:val="bottom"/>
            <w:shd w:val="clear" w:color="auto" w:fill="007CBA"/>
          </w:tcPr>
          <w:p>
            <w:pPr>
              <w:spacing w:after="0"/>
              <w:rPr>
                <w:sz w:val="15"/>
                <w:szCs w:val="15"/>
                <w:color w:val="auto"/>
              </w:rPr>
            </w:pPr>
          </w:p>
        </w:tc>
        <w:tc>
          <w:tcPr>
            <w:tcW w:w="1180" w:type="dxa"/>
            <w:vAlign w:val="bottom"/>
            <w:gridSpan w:val="2"/>
            <w:shd w:val="clear" w:color="auto" w:fill="007CBA"/>
          </w:tcPr>
          <w:p>
            <w:pPr>
              <w:jc w:val="center"/>
              <w:ind w:right="560"/>
              <w:spacing w:after="0"/>
              <w:rPr>
                <w:sz w:val="20"/>
                <w:szCs w:val="20"/>
                <w:color w:val="auto"/>
              </w:rPr>
            </w:pPr>
            <w:r>
              <w:rPr>
                <w:rFonts w:ascii="Calibri" w:cs="Calibri" w:eastAsia="Calibri" w:hAnsi="Calibri"/>
                <w:sz w:val="14"/>
                <w:szCs w:val="14"/>
                <w:b w:val="1"/>
                <w:bCs w:val="1"/>
                <w:color w:val="FFFFFF"/>
              </w:rPr>
              <w:t>to other</w:t>
            </w:r>
          </w:p>
        </w:tc>
        <w:tc>
          <w:tcPr>
            <w:tcW w:w="140" w:type="dxa"/>
            <w:vAlign w:val="bottom"/>
            <w:shd w:val="clear" w:color="auto" w:fill="007CBA"/>
          </w:tcPr>
          <w:p>
            <w:pPr>
              <w:spacing w:after="0"/>
              <w:rPr>
                <w:sz w:val="15"/>
                <w:szCs w:val="15"/>
                <w:color w:val="auto"/>
              </w:rPr>
            </w:pPr>
          </w:p>
        </w:tc>
        <w:tc>
          <w:tcPr>
            <w:tcW w:w="900" w:type="dxa"/>
            <w:vAlign w:val="bottom"/>
            <w:shd w:val="clear" w:color="auto" w:fill="007CBA"/>
          </w:tcPr>
          <w:p>
            <w:pPr>
              <w:spacing w:after="0"/>
              <w:rPr>
                <w:sz w:val="15"/>
                <w:szCs w:val="15"/>
                <w:color w:val="auto"/>
              </w:rPr>
            </w:pPr>
          </w:p>
        </w:tc>
        <w:tc>
          <w:tcPr>
            <w:tcW w:w="320" w:type="dxa"/>
            <w:vAlign w:val="bottom"/>
            <w:tcBorders>
              <w:right w:val="single" w:sz="8" w:color="007CBA"/>
            </w:tcBorders>
            <w:shd w:val="clear" w:color="auto" w:fill="007CBA"/>
          </w:tcPr>
          <w:p>
            <w:pPr>
              <w:spacing w:after="0"/>
              <w:rPr>
                <w:sz w:val="15"/>
                <w:szCs w:val="15"/>
                <w:color w:val="auto"/>
              </w:rPr>
            </w:pPr>
          </w:p>
        </w:tc>
        <w:tc>
          <w:tcPr>
            <w:tcW w:w="260" w:type="dxa"/>
            <w:vAlign w:val="bottom"/>
            <w:shd w:val="clear" w:color="auto" w:fill="007CBA"/>
          </w:tcPr>
          <w:p>
            <w:pPr>
              <w:spacing w:after="0"/>
              <w:rPr>
                <w:sz w:val="15"/>
                <w:szCs w:val="15"/>
                <w:color w:val="auto"/>
              </w:rPr>
            </w:pPr>
          </w:p>
        </w:tc>
        <w:tc>
          <w:tcPr>
            <w:tcW w:w="900" w:type="dxa"/>
            <w:vAlign w:val="bottom"/>
            <w:shd w:val="clear" w:color="auto" w:fill="007CBA"/>
          </w:tcPr>
          <w:p>
            <w:pPr>
              <w:jc w:val="center"/>
              <w:ind w:right="183"/>
              <w:spacing w:after="0"/>
              <w:rPr>
                <w:sz w:val="20"/>
                <w:szCs w:val="20"/>
                <w:color w:val="auto"/>
              </w:rPr>
            </w:pPr>
            <w:r>
              <w:rPr>
                <w:rFonts w:ascii="Calibri" w:cs="Calibri" w:eastAsia="Calibri" w:hAnsi="Calibri"/>
                <w:sz w:val="14"/>
                <w:szCs w:val="14"/>
                <w:b w:val="1"/>
                <w:bCs w:val="1"/>
                <w:color w:val="FFFFFF"/>
              </w:rPr>
              <w:t>Balance</w:t>
            </w:r>
          </w:p>
        </w:tc>
      </w:tr>
      <w:tr>
        <w:trPr>
          <w:trHeight w:val="175"/>
        </w:trPr>
        <w:tc>
          <w:tcPr>
            <w:tcW w:w="4800" w:type="dxa"/>
            <w:vAlign w:val="bottom"/>
            <w:tcBorders>
              <w:right w:val="single" w:sz="8" w:color="007CBA"/>
            </w:tcBorders>
            <w:shd w:val="clear" w:color="auto" w:fill="007CBA"/>
          </w:tcPr>
          <w:p>
            <w:pPr>
              <w:spacing w:after="0"/>
              <w:rPr>
                <w:sz w:val="15"/>
                <w:szCs w:val="15"/>
                <w:color w:val="auto"/>
              </w:rPr>
            </w:pPr>
          </w:p>
        </w:tc>
        <w:tc>
          <w:tcPr>
            <w:tcW w:w="280" w:type="dxa"/>
            <w:vAlign w:val="bottom"/>
            <w:shd w:val="clear" w:color="auto" w:fill="007CBA"/>
          </w:tcPr>
          <w:p>
            <w:pPr>
              <w:spacing w:after="0"/>
              <w:rPr>
                <w:sz w:val="15"/>
                <w:szCs w:val="15"/>
                <w:color w:val="auto"/>
              </w:rPr>
            </w:pPr>
          </w:p>
        </w:tc>
        <w:tc>
          <w:tcPr>
            <w:tcW w:w="960" w:type="dxa"/>
            <w:vAlign w:val="bottom"/>
            <w:tcBorders>
              <w:right w:val="single" w:sz="8" w:color="007CBA"/>
            </w:tcBorders>
            <w:shd w:val="clear" w:color="auto" w:fill="007CBA"/>
          </w:tcPr>
          <w:p>
            <w:pPr>
              <w:jc w:val="center"/>
              <w:ind w:right="203"/>
              <w:spacing w:after="0"/>
              <w:rPr>
                <w:sz w:val="20"/>
                <w:szCs w:val="20"/>
                <w:color w:val="auto"/>
              </w:rPr>
            </w:pPr>
            <w:r>
              <w:rPr>
                <w:rFonts w:ascii="Calibri" w:cs="Calibri" w:eastAsia="Calibri" w:hAnsi="Calibri"/>
                <w:sz w:val="14"/>
                <w:szCs w:val="14"/>
                <w:b w:val="1"/>
                <w:bCs w:val="1"/>
                <w:color w:val="FFFFFF"/>
              </w:rPr>
              <w:t>beginning</w:t>
            </w:r>
          </w:p>
        </w:tc>
        <w:tc>
          <w:tcPr>
            <w:tcW w:w="280" w:type="dxa"/>
            <w:vAlign w:val="bottom"/>
            <w:shd w:val="clear" w:color="auto" w:fill="007CBA"/>
          </w:tcPr>
          <w:p>
            <w:pPr>
              <w:spacing w:after="0"/>
              <w:rPr>
                <w:sz w:val="15"/>
                <w:szCs w:val="15"/>
                <w:color w:val="auto"/>
              </w:rPr>
            </w:pPr>
          </w:p>
        </w:tc>
        <w:tc>
          <w:tcPr>
            <w:tcW w:w="940" w:type="dxa"/>
            <w:vAlign w:val="bottom"/>
            <w:tcBorders>
              <w:right w:val="single" w:sz="8" w:color="007CBA"/>
            </w:tcBorders>
            <w:shd w:val="clear" w:color="auto" w:fill="007CBA"/>
          </w:tcPr>
          <w:p>
            <w:pPr>
              <w:jc w:val="center"/>
              <w:ind w:right="204"/>
              <w:spacing w:after="0"/>
              <w:rPr>
                <w:sz w:val="20"/>
                <w:szCs w:val="20"/>
                <w:color w:val="auto"/>
              </w:rPr>
            </w:pPr>
            <w:r>
              <w:rPr>
                <w:rFonts w:ascii="Calibri" w:cs="Calibri" w:eastAsia="Calibri" w:hAnsi="Calibri"/>
                <w:sz w:val="14"/>
                <w:szCs w:val="14"/>
                <w:b w:val="1"/>
                <w:bCs w:val="1"/>
                <w:color w:val="FFFFFF"/>
                <w:w w:val="99"/>
              </w:rPr>
              <w:t>and</w:t>
            </w:r>
          </w:p>
        </w:tc>
        <w:tc>
          <w:tcPr>
            <w:tcW w:w="280" w:type="dxa"/>
            <w:vAlign w:val="bottom"/>
            <w:shd w:val="clear" w:color="auto" w:fill="007CBA"/>
          </w:tcPr>
          <w:p>
            <w:pPr>
              <w:spacing w:after="0"/>
              <w:rPr>
                <w:sz w:val="15"/>
                <w:szCs w:val="15"/>
                <w:color w:val="auto"/>
              </w:rPr>
            </w:pPr>
          </w:p>
        </w:tc>
        <w:tc>
          <w:tcPr>
            <w:tcW w:w="1180" w:type="dxa"/>
            <w:vAlign w:val="bottom"/>
            <w:gridSpan w:val="2"/>
            <w:shd w:val="clear" w:color="auto" w:fill="007CBA"/>
          </w:tcPr>
          <w:p>
            <w:pPr>
              <w:jc w:val="center"/>
              <w:ind w:right="560"/>
              <w:spacing w:after="0"/>
              <w:rPr>
                <w:sz w:val="20"/>
                <w:szCs w:val="20"/>
                <w:color w:val="auto"/>
              </w:rPr>
            </w:pPr>
            <w:r>
              <w:rPr>
                <w:rFonts w:ascii="Calibri" w:cs="Calibri" w:eastAsia="Calibri" w:hAnsi="Calibri"/>
                <w:sz w:val="14"/>
                <w:szCs w:val="14"/>
                <w:b w:val="1"/>
                <w:bCs w:val="1"/>
                <w:color w:val="FFFFFF"/>
              </w:rPr>
              <w:t>accounts-</w:t>
            </w:r>
          </w:p>
        </w:tc>
        <w:tc>
          <w:tcPr>
            <w:tcW w:w="140" w:type="dxa"/>
            <w:vAlign w:val="bottom"/>
            <w:shd w:val="clear" w:color="auto" w:fill="007CBA"/>
          </w:tcPr>
          <w:p>
            <w:pPr>
              <w:spacing w:after="0"/>
              <w:rPr>
                <w:sz w:val="15"/>
                <w:szCs w:val="15"/>
                <w:color w:val="auto"/>
              </w:rPr>
            </w:pPr>
          </w:p>
        </w:tc>
        <w:tc>
          <w:tcPr>
            <w:tcW w:w="900" w:type="dxa"/>
            <w:vAlign w:val="bottom"/>
            <w:shd w:val="clear" w:color="auto" w:fill="007CBA"/>
          </w:tcPr>
          <w:p>
            <w:pPr>
              <w:jc w:val="center"/>
              <w:ind w:right="102"/>
              <w:spacing w:after="0"/>
              <w:rPr>
                <w:sz w:val="20"/>
                <w:szCs w:val="20"/>
                <w:color w:val="auto"/>
              </w:rPr>
            </w:pPr>
            <w:r>
              <w:rPr>
                <w:rFonts w:ascii="Calibri" w:cs="Calibri" w:eastAsia="Calibri" w:hAnsi="Calibri"/>
                <w:sz w:val="14"/>
                <w:szCs w:val="14"/>
                <w:b w:val="1"/>
                <w:bCs w:val="1"/>
                <w:color w:val="FFFFFF"/>
              </w:rPr>
              <w:t>Deductons-</w:t>
            </w:r>
          </w:p>
        </w:tc>
        <w:tc>
          <w:tcPr>
            <w:tcW w:w="320" w:type="dxa"/>
            <w:vAlign w:val="bottom"/>
            <w:tcBorders>
              <w:right w:val="single" w:sz="8" w:color="007CBA"/>
            </w:tcBorders>
            <w:shd w:val="clear" w:color="auto" w:fill="007CBA"/>
          </w:tcPr>
          <w:p>
            <w:pPr>
              <w:spacing w:after="0"/>
              <w:rPr>
                <w:sz w:val="15"/>
                <w:szCs w:val="15"/>
                <w:color w:val="auto"/>
              </w:rPr>
            </w:pPr>
          </w:p>
        </w:tc>
        <w:tc>
          <w:tcPr>
            <w:tcW w:w="260" w:type="dxa"/>
            <w:vAlign w:val="bottom"/>
            <w:shd w:val="clear" w:color="auto" w:fill="007CBA"/>
          </w:tcPr>
          <w:p>
            <w:pPr>
              <w:spacing w:after="0"/>
              <w:rPr>
                <w:sz w:val="15"/>
                <w:szCs w:val="15"/>
                <w:color w:val="auto"/>
              </w:rPr>
            </w:pPr>
          </w:p>
        </w:tc>
        <w:tc>
          <w:tcPr>
            <w:tcW w:w="900" w:type="dxa"/>
            <w:vAlign w:val="bottom"/>
            <w:shd w:val="clear" w:color="auto" w:fill="007CBA"/>
          </w:tcPr>
          <w:p>
            <w:pPr>
              <w:jc w:val="center"/>
              <w:ind w:right="183"/>
              <w:spacing w:after="0"/>
              <w:rPr>
                <w:sz w:val="20"/>
                <w:szCs w:val="20"/>
                <w:color w:val="auto"/>
              </w:rPr>
            </w:pPr>
            <w:r>
              <w:rPr>
                <w:rFonts w:ascii="Calibri" w:cs="Calibri" w:eastAsia="Calibri" w:hAnsi="Calibri"/>
                <w:sz w:val="14"/>
                <w:szCs w:val="14"/>
                <w:b w:val="1"/>
                <w:bCs w:val="1"/>
                <w:color w:val="FFFFFF"/>
                <w:w w:val="99"/>
              </w:rPr>
              <w:t>at end of</w:t>
            </w:r>
          </w:p>
        </w:tc>
      </w:tr>
      <w:tr>
        <w:trPr>
          <w:trHeight w:val="176"/>
        </w:trPr>
        <w:tc>
          <w:tcPr>
            <w:tcW w:w="4800" w:type="dxa"/>
            <w:vAlign w:val="bottom"/>
            <w:tcBorders>
              <w:right w:val="single" w:sz="8" w:color="007CBA"/>
            </w:tcBorders>
            <w:shd w:val="clear" w:color="auto" w:fill="007CBA"/>
          </w:tcPr>
          <w:p>
            <w:pPr>
              <w:ind w:left="100"/>
              <w:spacing w:after="0"/>
              <w:rPr>
                <w:sz w:val="20"/>
                <w:szCs w:val="20"/>
                <w:color w:val="auto"/>
              </w:rPr>
            </w:pPr>
            <w:r>
              <w:rPr>
                <w:rFonts w:ascii="Calibri" w:cs="Calibri" w:eastAsia="Calibri" w:hAnsi="Calibri"/>
                <w:sz w:val="14"/>
                <w:szCs w:val="14"/>
                <w:b w:val="1"/>
                <w:bCs w:val="1"/>
                <w:color w:val="FFFFFF"/>
              </w:rPr>
              <w:t>Descripton</w:t>
            </w:r>
          </w:p>
        </w:tc>
        <w:tc>
          <w:tcPr>
            <w:tcW w:w="280" w:type="dxa"/>
            <w:vAlign w:val="bottom"/>
            <w:shd w:val="clear" w:color="auto" w:fill="007CBA"/>
          </w:tcPr>
          <w:p>
            <w:pPr>
              <w:spacing w:after="0"/>
              <w:rPr>
                <w:sz w:val="15"/>
                <w:szCs w:val="15"/>
                <w:color w:val="auto"/>
              </w:rPr>
            </w:pPr>
          </w:p>
        </w:tc>
        <w:tc>
          <w:tcPr>
            <w:tcW w:w="960" w:type="dxa"/>
            <w:vAlign w:val="bottom"/>
            <w:tcBorders>
              <w:right w:val="single" w:sz="8" w:color="007CBA"/>
            </w:tcBorders>
            <w:shd w:val="clear" w:color="auto" w:fill="007CBA"/>
          </w:tcPr>
          <w:p>
            <w:pPr>
              <w:jc w:val="center"/>
              <w:ind w:right="203"/>
              <w:spacing w:after="0"/>
              <w:rPr>
                <w:sz w:val="20"/>
                <w:szCs w:val="20"/>
                <w:color w:val="auto"/>
              </w:rPr>
            </w:pPr>
            <w:r>
              <w:rPr>
                <w:rFonts w:ascii="Calibri" w:cs="Calibri" w:eastAsia="Calibri" w:hAnsi="Calibri"/>
                <w:sz w:val="14"/>
                <w:szCs w:val="14"/>
                <w:b w:val="1"/>
                <w:bCs w:val="1"/>
                <w:color w:val="FFFFFF"/>
              </w:rPr>
              <w:t>of period</w:t>
            </w:r>
          </w:p>
        </w:tc>
        <w:tc>
          <w:tcPr>
            <w:tcW w:w="280" w:type="dxa"/>
            <w:vAlign w:val="bottom"/>
            <w:shd w:val="clear" w:color="auto" w:fill="007CBA"/>
          </w:tcPr>
          <w:p>
            <w:pPr>
              <w:spacing w:after="0"/>
              <w:rPr>
                <w:sz w:val="15"/>
                <w:szCs w:val="15"/>
                <w:color w:val="auto"/>
              </w:rPr>
            </w:pPr>
          </w:p>
        </w:tc>
        <w:tc>
          <w:tcPr>
            <w:tcW w:w="940" w:type="dxa"/>
            <w:vAlign w:val="bottom"/>
            <w:tcBorders>
              <w:right w:val="single" w:sz="8" w:color="007CBA"/>
            </w:tcBorders>
            <w:shd w:val="clear" w:color="auto" w:fill="007CBA"/>
          </w:tcPr>
          <w:p>
            <w:pPr>
              <w:jc w:val="center"/>
              <w:ind w:right="204"/>
              <w:spacing w:after="0"/>
              <w:rPr>
                <w:sz w:val="20"/>
                <w:szCs w:val="20"/>
                <w:color w:val="auto"/>
              </w:rPr>
            </w:pPr>
            <w:r>
              <w:rPr>
                <w:rFonts w:ascii="Calibri" w:cs="Calibri" w:eastAsia="Calibri" w:hAnsi="Calibri"/>
                <w:sz w:val="14"/>
                <w:szCs w:val="14"/>
                <w:b w:val="1"/>
                <w:bCs w:val="1"/>
                <w:color w:val="FFFFFF"/>
              </w:rPr>
              <w:t>expenses</w:t>
            </w:r>
          </w:p>
        </w:tc>
        <w:tc>
          <w:tcPr>
            <w:tcW w:w="280" w:type="dxa"/>
            <w:vAlign w:val="bottom"/>
            <w:shd w:val="clear" w:color="auto" w:fill="007CBA"/>
          </w:tcPr>
          <w:p>
            <w:pPr>
              <w:spacing w:after="0"/>
              <w:rPr>
                <w:sz w:val="15"/>
                <w:szCs w:val="15"/>
                <w:color w:val="auto"/>
              </w:rPr>
            </w:pPr>
          </w:p>
        </w:tc>
        <w:tc>
          <w:tcPr>
            <w:tcW w:w="1180" w:type="dxa"/>
            <w:vAlign w:val="bottom"/>
            <w:gridSpan w:val="2"/>
            <w:shd w:val="clear" w:color="auto" w:fill="007CBA"/>
          </w:tcPr>
          <w:p>
            <w:pPr>
              <w:jc w:val="center"/>
              <w:ind w:right="560"/>
              <w:spacing w:after="0"/>
              <w:rPr>
                <w:sz w:val="20"/>
                <w:szCs w:val="20"/>
                <w:color w:val="auto"/>
              </w:rPr>
            </w:pPr>
            <w:r>
              <w:rPr>
                <w:rFonts w:ascii="Calibri" w:cs="Calibri" w:eastAsia="Calibri" w:hAnsi="Calibri"/>
                <w:sz w:val="14"/>
                <w:szCs w:val="14"/>
                <w:b w:val="1"/>
                <w:bCs w:val="1"/>
                <w:color w:val="FFFFFF"/>
              </w:rPr>
              <w:t>describe</w:t>
            </w:r>
          </w:p>
        </w:tc>
        <w:tc>
          <w:tcPr>
            <w:tcW w:w="140" w:type="dxa"/>
            <w:vAlign w:val="bottom"/>
            <w:shd w:val="clear" w:color="auto" w:fill="007CBA"/>
          </w:tcPr>
          <w:p>
            <w:pPr>
              <w:spacing w:after="0"/>
              <w:rPr>
                <w:sz w:val="15"/>
                <w:szCs w:val="15"/>
                <w:color w:val="auto"/>
              </w:rPr>
            </w:pPr>
          </w:p>
        </w:tc>
        <w:tc>
          <w:tcPr>
            <w:tcW w:w="900" w:type="dxa"/>
            <w:vAlign w:val="bottom"/>
            <w:shd w:val="clear" w:color="auto" w:fill="007CBA"/>
          </w:tcPr>
          <w:p>
            <w:pPr>
              <w:jc w:val="center"/>
              <w:ind w:right="82"/>
              <w:spacing w:after="0"/>
              <w:rPr>
                <w:sz w:val="20"/>
                <w:szCs w:val="20"/>
                <w:color w:val="auto"/>
              </w:rPr>
            </w:pPr>
            <w:r>
              <w:rPr>
                <w:rFonts w:ascii="Calibri" w:cs="Calibri" w:eastAsia="Calibri" w:hAnsi="Calibri"/>
                <w:sz w:val="14"/>
                <w:szCs w:val="14"/>
                <w:b w:val="1"/>
                <w:bCs w:val="1"/>
                <w:color w:val="FFFFFF"/>
              </w:rPr>
              <w:t>describe</w:t>
            </w:r>
          </w:p>
        </w:tc>
        <w:tc>
          <w:tcPr>
            <w:tcW w:w="320" w:type="dxa"/>
            <w:vAlign w:val="bottom"/>
            <w:tcBorders>
              <w:right w:val="single" w:sz="8" w:color="007CBA"/>
            </w:tcBorders>
            <w:shd w:val="clear" w:color="auto" w:fill="007CBA"/>
          </w:tcPr>
          <w:p>
            <w:pPr>
              <w:spacing w:after="0"/>
              <w:rPr>
                <w:sz w:val="15"/>
                <w:szCs w:val="15"/>
                <w:color w:val="auto"/>
              </w:rPr>
            </w:pPr>
          </w:p>
        </w:tc>
        <w:tc>
          <w:tcPr>
            <w:tcW w:w="260" w:type="dxa"/>
            <w:vAlign w:val="bottom"/>
            <w:shd w:val="clear" w:color="auto" w:fill="007CBA"/>
          </w:tcPr>
          <w:p>
            <w:pPr>
              <w:spacing w:after="0"/>
              <w:rPr>
                <w:sz w:val="15"/>
                <w:szCs w:val="15"/>
                <w:color w:val="auto"/>
              </w:rPr>
            </w:pPr>
          </w:p>
        </w:tc>
        <w:tc>
          <w:tcPr>
            <w:tcW w:w="900" w:type="dxa"/>
            <w:vAlign w:val="bottom"/>
            <w:shd w:val="clear" w:color="auto" w:fill="007CBA"/>
          </w:tcPr>
          <w:p>
            <w:pPr>
              <w:jc w:val="center"/>
              <w:ind w:right="183"/>
              <w:spacing w:after="0"/>
              <w:rPr>
                <w:sz w:val="20"/>
                <w:szCs w:val="20"/>
                <w:color w:val="auto"/>
              </w:rPr>
            </w:pPr>
            <w:r>
              <w:rPr>
                <w:rFonts w:ascii="Calibri" w:cs="Calibri" w:eastAsia="Calibri" w:hAnsi="Calibri"/>
                <w:sz w:val="14"/>
                <w:szCs w:val="14"/>
                <w:b w:val="1"/>
                <w:bCs w:val="1"/>
                <w:color w:val="FFFFFF"/>
              </w:rPr>
              <w:t>period</w:t>
            </w:r>
          </w:p>
        </w:tc>
      </w:tr>
      <w:tr>
        <w:trPr>
          <w:trHeight w:val="229"/>
        </w:trPr>
        <w:tc>
          <w:tcPr>
            <w:tcW w:w="4800" w:type="dxa"/>
            <w:vAlign w:val="bottom"/>
            <w:tcBorders>
              <w:bottom w:val="single" w:sz="8" w:color="007CBA"/>
              <w:right w:val="single" w:sz="8" w:color="007CBA"/>
            </w:tcBorders>
            <w:shd w:val="clear" w:color="auto" w:fill="007CBA"/>
          </w:tcPr>
          <w:p>
            <w:pPr>
              <w:spacing w:after="0"/>
              <w:rPr>
                <w:sz w:val="19"/>
                <w:szCs w:val="19"/>
                <w:color w:val="auto"/>
              </w:rPr>
            </w:pPr>
          </w:p>
        </w:tc>
        <w:tc>
          <w:tcPr>
            <w:tcW w:w="280" w:type="dxa"/>
            <w:vAlign w:val="bottom"/>
            <w:tcBorders>
              <w:bottom w:val="single" w:sz="8" w:color="007CBA"/>
            </w:tcBorders>
            <w:shd w:val="clear" w:color="auto" w:fill="007CBA"/>
          </w:tcPr>
          <w:p>
            <w:pPr>
              <w:spacing w:after="0"/>
              <w:rPr>
                <w:sz w:val="19"/>
                <w:szCs w:val="19"/>
                <w:color w:val="auto"/>
              </w:rPr>
            </w:pPr>
          </w:p>
        </w:tc>
        <w:tc>
          <w:tcPr>
            <w:tcW w:w="960" w:type="dxa"/>
            <w:vAlign w:val="bottom"/>
            <w:tcBorders>
              <w:bottom w:val="single" w:sz="8" w:color="007CBA"/>
              <w:right w:val="single" w:sz="8" w:color="007CBA"/>
            </w:tcBorders>
            <w:shd w:val="clear" w:color="auto" w:fill="007CBA"/>
          </w:tcPr>
          <w:p>
            <w:pPr>
              <w:spacing w:after="0"/>
              <w:rPr>
                <w:sz w:val="19"/>
                <w:szCs w:val="19"/>
                <w:color w:val="auto"/>
              </w:rPr>
            </w:pPr>
          </w:p>
        </w:tc>
        <w:tc>
          <w:tcPr>
            <w:tcW w:w="280" w:type="dxa"/>
            <w:vAlign w:val="bottom"/>
            <w:tcBorders>
              <w:bottom w:val="single" w:sz="8" w:color="007CBA"/>
            </w:tcBorders>
            <w:shd w:val="clear" w:color="auto" w:fill="007CBA"/>
          </w:tcPr>
          <w:p>
            <w:pPr>
              <w:spacing w:after="0"/>
              <w:rPr>
                <w:sz w:val="19"/>
                <w:szCs w:val="19"/>
                <w:color w:val="auto"/>
              </w:rPr>
            </w:pPr>
          </w:p>
        </w:tc>
        <w:tc>
          <w:tcPr>
            <w:tcW w:w="940" w:type="dxa"/>
            <w:vAlign w:val="bottom"/>
            <w:tcBorders>
              <w:bottom w:val="single" w:sz="8" w:color="007CBA"/>
              <w:right w:val="single" w:sz="8" w:color="007CBA"/>
            </w:tcBorders>
            <w:shd w:val="clear" w:color="auto" w:fill="007CBA"/>
          </w:tcPr>
          <w:p>
            <w:pPr>
              <w:spacing w:after="0"/>
              <w:rPr>
                <w:sz w:val="19"/>
                <w:szCs w:val="19"/>
                <w:color w:val="auto"/>
              </w:rPr>
            </w:pPr>
          </w:p>
        </w:tc>
        <w:tc>
          <w:tcPr>
            <w:tcW w:w="1460" w:type="dxa"/>
            <w:vAlign w:val="bottom"/>
            <w:tcBorders>
              <w:bottom w:val="single" w:sz="8" w:color="007CBA"/>
            </w:tcBorders>
            <w:gridSpan w:val="3"/>
            <w:shd w:val="clear" w:color="auto" w:fill="007CBA"/>
          </w:tcPr>
          <w:p>
            <w:pPr>
              <w:ind w:left="120"/>
              <w:spacing w:after="0"/>
              <w:rPr>
                <w:sz w:val="20"/>
                <w:szCs w:val="20"/>
                <w:color w:val="auto"/>
              </w:rPr>
            </w:pPr>
            <w:r>
              <w:rPr>
                <w:rFonts w:ascii="Calibri" w:cs="Calibri" w:eastAsia="Calibri" w:hAnsi="Calibri"/>
                <w:sz w:val="14"/>
                <w:szCs w:val="14"/>
                <w:b w:val="1"/>
                <w:bCs w:val="1"/>
                <w:color w:val="FFFFFF"/>
              </w:rPr>
              <w:t>(Amounts in Millions)</w:t>
            </w:r>
          </w:p>
        </w:tc>
        <w:tc>
          <w:tcPr>
            <w:tcW w:w="140" w:type="dxa"/>
            <w:vAlign w:val="bottom"/>
            <w:tcBorders>
              <w:bottom w:val="single" w:sz="8" w:color="007CBA"/>
            </w:tcBorders>
            <w:shd w:val="clear" w:color="auto" w:fill="007CBA"/>
          </w:tcPr>
          <w:p>
            <w:pPr>
              <w:spacing w:after="0"/>
              <w:rPr>
                <w:sz w:val="19"/>
                <w:szCs w:val="19"/>
                <w:color w:val="auto"/>
              </w:rPr>
            </w:pPr>
          </w:p>
        </w:tc>
        <w:tc>
          <w:tcPr>
            <w:tcW w:w="900" w:type="dxa"/>
            <w:vAlign w:val="bottom"/>
            <w:tcBorders>
              <w:bottom w:val="single" w:sz="8" w:color="007CBA"/>
            </w:tcBorders>
            <w:shd w:val="clear" w:color="auto" w:fill="007CBA"/>
          </w:tcPr>
          <w:p>
            <w:pPr>
              <w:spacing w:after="0"/>
              <w:rPr>
                <w:sz w:val="19"/>
                <w:szCs w:val="19"/>
                <w:color w:val="auto"/>
              </w:rPr>
            </w:pPr>
          </w:p>
        </w:tc>
        <w:tc>
          <w:tcPr>
            <w:tcW w:w="320" w:type="dxa"/>
            <w:vAlign w:val="bottom"/>
            <w:tcBorders>
              <w:bottom w:val="single" w:sz="8" w:color="007CBA"/>
              <w:right w:val="single" w:sz="8" w:color="007CBA"/>
            </w:tcBorders>
            <w:shd w:val="clear" w:color="auto" w:fill="007CBA"/>
          </w:tcPr>
          <w:p>
            <w:pPr>
              <w:spacing w:after="0"/>
              <w:rPr>
                <w:sz w:val="19"/>
                <w:szCs w:val="19"/>
                <w:color w:val="auto"/>
              </w:rPr>
            </w:pPr>
          </w:p>
        </w:tc>
        <w:tc>
          <w:tcPr>
            <w:tcW w:w="260" w:type="dxa"/>
            <w:vAlign w:val="bottom"/>
            <w:tcBorders>
              <w:bottom w:val="single" w:sz="8" w:color="007CBA"/>
            </w:tcBorders>
            <w:shd w:val="clear" w:color="auto" w:fill="007CBA"/>
          </w:tcPr>
          <w:p>
            <w:pPr>
              <w:spacing w:after="0"/>
              <w:rPr>
                <w:sz w:val="19"/>
                <w:szCs w:val="19"/>
                <w:color w:val="auto"/>
              </w:rPr>
            </w:pPr>
          </w:p>
        </w:tc>
        <w:tc>
          <w:tcPr>
            <w:tcW w:w="900" w:type="dxa"/>
            <w:vAlign w:val="bottom"/>
            <w:tcBorders>
              <w:bottom w:val="single" w:sz="8" w:color="007CBA"/>
            </w:tcBorders>
            <w:shd w:val="clear" w:color="auto" w:fill="007CBA"/>
          </w:tcPr>
          <w:p>
            <w:pPr>
              <w:spacing w:after="0"/>
              <w:rPr>
                <w:sz w:val="19"/>
                <w:szCs w:val="19"/>
                <w:color w:val="auto"/>
              </w:rPr>
            </w:pPr>
          </w:p>
        </w:tc>
      </w:tr>
      <w:tr>
        <w:trPr>
          <w:trHeight w:val="193"/>
        </w:trPr>
        <w:tc>
          <w:tcPr>
            <w:tcW w:w="480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b w:val="1"/>
                <w:bCs w:val="1"/>
                <w:color w:val="auto"/>
              </w:rPr>
              <w:t>Year ended December 31, 2023</w:t>
            </w:r>
          </w:p>
        </w:tc>
        <w:tc>
          <w:tcPr>
            <w:tcW w:w="280" w:type="dxa"/>
            <w:vAlign w:val="bottom"/>
          </w:tcPr>
          <w:p>
            <w:pPr>
              <w:spacing w:after="0"/>
              <w:rPr>
                <w:sz w:val="16"/>
                <w:szCs w:val="16"/>
                <w:color w:val="auto"/>
              </w:rPr>
            </w:pPr>
          </w:p>
        </w:tc>
        <w:tc>
          <w:tcPr>
            <w:tcW w:w="96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Borders>
              <w:right w:val="single" w:sz="8" w:color="007CBA"/>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Borders>
              <w:right w:val="single" w:sz="8" w:color="007CBA"/>
            </w:tcBorders>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6"/>
        </w:trPr>
        <w:tc>
          <w:tcPr>
            <w:tcW w:w="480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Borders>
              <w:right w:val="single" w:sz="8" w:color="007CBA"/>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0"/>
        </w:trPr>
        <w:tc>
          <w:tcPr>
            <w:tcW w:w="480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Allowance for estmated credit losses</w:t>
            </w:r>
          </w:p>
        </w:tc>
        <w:tc>
          <w:tcPr>
            <w:tcW w:w="28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60" w:type="dxa"/>
            <w:vAlign w:val="bottom"/>
            <w:tcBorders>
              <w:bottom w:val="single" w:sz="8" w:color="E5F1F8"/>
              <w:right w:val="single" w:sz="8" w:color="007CBA"/>
            </w:tcBorders>
            <w:shd w:val="clear" w:color="auto" w:fill="E5F1F8"/>
          </w:tcPr>
          <w:p>
            <w:pPr>
              <w:jc w:val="right"/>
              <w:ind w:right="63"/>
              <w:spacing w:after="0" w:line="193" w:lineRule="exact"/>
              <w:rPr>
                <w:sz w:val="20"/>
                <w:szCs w:val="20"/>
                <w:color w:val="auto"/>
              </w:rPr>
            </w:pPr>
            <w:r>
              <w:rPr>
                <w:rFonts w:ascii="Calibri" w:cs="Calibri" w:eastAsia="Calibri" w:hAnsi="Calibri"/>
                <w:sz w:val="16"/>
                <w:szCs w:val="16"/>
                <w:color w:val="auto"/>
              </w:rPr>
              <w:t>11.0</w:t>
            </w:r>
          </w:p>
        </w:tc>
        <w:tc>
          <w:tcPr>
            <w:tcW w:w="28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E5F1F8"/>
              <w:right w:val="single" w:sz="8" w:color="007CBA"/>
            </w:tcBorders>
            <w:shd w:val="clear" w:color="auto" w:fill="E5F1F8"/>
          </w:tcPr>
          <w:p>
            <w:pPr>
              <w:jc w:val="right"/>
              <w:ind w:right="64"/>
              <w:spacing w:after="0" w:line="193" w:lineRule="exact"/>
              <w:rPr>
                <w:sz w:val="20"/>
                <w:szCs w:val="20"/>
                <w:color w:val="auto"/>
              </w:rPr>
            </w:pPr>
            <w:r>
              <w:rPr>
                <w:rFonts w:ascii="Calibri" w:cs="Calibri" w:eastAsia="Calibri" w:hAnsi="Calibri"/>
                <w:sz w:val="16"/>
                <w:szCs w:val="16"/>
                <w:color w:val="auto"/>
              </w:rPr>
              <w:t>0.7</w:t>
            </w:r>
          </w:p>
        </w:tc>
        <w:tc>
          <w:tcPr>
            <w:tcW w:w="280" w:type="dxa"/>
            <w:vAlign w:val="bottom"/>
            <w:tcBorders>
              <w:bottom w:val="single" w:sz="8" w:color="E5F1F8"/>
            </w:tcBorders>
            <w:shd w:val="clear" w:color="auto" w:fill="E5F1F8"/>
          </w:tcPr>
          <w:p>
            <w:pPr>
              <w:ind w:left="140"/>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Borders>
              <w:bottom w:val="single" w:sz="8" w:color="E5F1F8"/>
              <w:right w:val="single" w:sz="8" w:color="007CBA"/>
            </w:tcBorders>
            <w:shd w:val="clear" w:color="auto" w:fill="E5F1F8"/>
          </w:tcPr>
          <w:p>
            <w:pPr>
              <w:ind w:left="620"/>
              <w:spacing w:after="0" w:line="193" w:lineRule="exact"/>
              <w:rPr>
                <w:sz w:val="20"/>
                <w:szCs w:val="20"/>
                <w:color w:val="auto"/>
              </w:rPr>
            </w:pPr>
            <w:r>
              <w:rPr>
                <w:rFonts w:ascii="Calibri" w:cs="Calibri" w:eastAsia="Calibri" w:hAnsi="Calibri"/>
                <w:sz w:val="16"/>
                <w:szCs w:val="16"/>
                <w:color w:val="auto"/>
              </w:rPr>
              <w:t>—</w:t>
            </w:r>
          </w:p>
        </w:tc>
        <w:tc>
          <w:tcPr>
            <w:tcW w:w="80" w:type="dxa"/>
            <w:vAlign w:val="bottom"/>
            <w:tcBorders>
              <w:bottom w:val="single" w:sz="8" w:color="E5F1F8"/>
            </w:tcBorders>
            <w:shd w:val="clear" w:color="auto" w:fill="E5F1F8"/>
          </w:tcPr>
          <w:p>
            <w:pPr>
              <w:spacing w:after="0"/>
              <w:rPr>
                <w:sz w:val="18"/>
                <w:szCs w:val="18"/>
                <w:color w:val="auto"/>
              </w:rPr>
            </w:pPr>
          </w:p>
        </w:tc>
        <w:tc>
          <w:tcPr>
            <w:tcW w:w="14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00" w:type="dxa"/>
            <w:vAlign w:val="bottom"/>
            <w:tcBorders>
              <w:bottom w:val="single" w:sz="8" w:color="E5F1F8"/>
            </w:tcBorders>
            <w:shd w:val="clear" w:color="auto" w:fill="E5F1F8"/>
          </w:tcPr>
          <w:p>
            <w:pPr>
              <w:jc w:val="right"/>
              <w:ind w:right="2"/>
              <w:spacing w:after="0" w:line="193" w:lineRule="exact"/>
              <w:rPr>
                <w:sz w:val="20"/>
                <w:szCs w:val="20"/>
                <w:color w:val="auto"/>
              </w:rPr>
            </w:pPr>
            <w:r>
              <w:rPr>
                <w:rFonts w:ascii="Calibri" w:cs="Calibri" w:eastAsia="Calibri" w:hAnsi="Calibri"/>
                <w:sz w:val="16"/>
                <w:szCs w:val="16"/>
                <w:color w:val="auto"/>
              </w:rPr>
              <w:t>—</w:t>
            </w:r>
          </w:p>
        </w:tc>
        <w:tc>
          <w:tcPr>
            <w:tcW w:w="320" w:type="dxa"/>
            <w:vAlign w:val="bottom"/>
            <w:tcBorders>
              <w:bottom w:val="single" w:sz="8" w:color="E5F1F8"/>
              <w:right w:val="single" w:sz="8" w:color="007CBA"/>
            </w:tcBorders>
            <w:shd w:val="clear" w:color="auto" w:fill="E5F1F8"/>
          </w:tcPr>
          <w:p>
            <w:pPr>
              <w:spacing w:after="0"/>
              <w:rPr>
                <w:sz w:val="18"/>
                <w:szCs w:val="18"/>
                <w:color w:val="auto"/>
              </w:rPr>
            </w:pPr>
          </w:p>
        </w:tc>
        <w:tc>
          <w:tcPr>
            <w:tcW w:w="26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00" w:type="dxa"/>
            <w:vAlign w:val="bottom"/>
            <w:tcBorders>
              <w:bottom w:val="single" w:sz="8" w:color="E5F1F8"/>
            </w:tcBorders>
            <w:shd w:val="clear" w:color="auto" w:fill="E5F1F8"/>
          </w:tcPr>
          <w:p>
            <w:pPr>
              <w:jc w:val="right"/>
              <w:ind w:right="43"/>
              <w:spacing w:after="0" w:line="193" w:lineRule="exact"/>
              <w:rPr>
                <w:sz w:val="20"/>
                <w:szCs w:val="20"/>
                <w:color w:val="auto"/>
              </w:rPr>
            </w:pPr>
            <w:r>
              <w:rPr>
                <w:rFonts w:ascii="Calibri" w:cs="Calibri" w:eastAsia="Calibri" w:hAnsi="Calibri"/>
                <w:sz w:val="16"/>
                <w:szCs w:val="16"/>
                <w:color w:val="auto"/>
              </w:rPr>
              <w:t>11.7</w:t>
            </w:r>
          </w:p>
        </w:tc>
      </w:tr>
      <w:tr>
        <w:trPr>
          <w:trHeight w:val="193"/>
        </w:trPr>
        <w:tc>
          <w:tcPr>
            <w:tcW w:w="480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Allowance for estmated credit losses on</w:t>
            </w:r>
          </w:p>
        </w:tc>
        <w:tc>
          <w:tcPr>
            <w:tcW w:w="280" w:type="dxa"/>
            <w:vAlign w:val="bottom"/>
          </w:tcPr>
          <w:p>
            <w:pPr>
              <w:spacing w:after="0"/>
              <w:rPr>
                <w:sz w:val="16"/>
                <w:szCs w:val="16"/>
                <w:color w:val="auto"/>
              </w:rPr>
            </w:pPr>
          </w:p>
        </w:tc>
        <w:tc>
          <w:tcPr>
            <w:tcW w:w="96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Borders>
              <w:right w:val="single" w:sz="8" w:color="007CBA"/>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Borders>
              <w:right w:val="single" w:sz="8" w:color="007CBA"/>
            </w:tcBorders>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8"/>
        </w:trPr>
        <w:tc>
          <w:tcPr>
            <w:tcW w:w="4800" w:type="dxa"/>
            <w:vAlign w:val="bottom"/>
            <w:tcBorders>
              <w:right w:val="single" w:sz="8" w:color="007CBA"/>
            </w:tcBorders>
          </w:tcPr>
          <w:p>
            <w:pPr>
              <w:ind w:left="220"/>
              <w:spacing w:after="0"/>
              <w:rPr>
                <w:sz w:val="20"/>
                <w:szCs w:val="20"/>
                <w:color w:val="auto"/>
              </w:rPr>
            </w:pPr>
            <w:r>
              <w:rPr>
                <w:rFonts w:ascii="Calibri" w:cs="Calibri" w:eastAsia="Calibri" w:hAnsi="Calibri"/>
                <w:sz w:val="16"/>
                <w:szCs w:val="16"/>
                <w:color w:val="auto"/>
              </w:rPr>
              <w:t>notes receivable</w:t>
            </w:r>
          </w:p>
        </w:tc>
        <w:tc>
          <w:tcPr>
            <w:tcW w:w="2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60" w:type="dxa"/>
            <w:vAlign w:val="bottom"/>
            <w:tcBorders>
              <w:right w:val="single" w:sz="8" w:color="007CBA"/>
            </w:tcBorders>
          </w:tcPr>
          <w:p>
            <w:pPr>
              <w:jc w:val="right"/>
              <w:ind w:right="63"/>
              <w:spacing w:after="0"/>
              <w:rPr>
                <w:sz w:val="20"/>
                <w:szCs w:val="20"/>
                <w:color w:val="auto"/>
              </w:rPr>
            </w:pPr>
            <w:r>
              <w:rPr>
                <w:rFonts w:ascii="Calibri" w:cs="Calibri" w:eastAsia="Calibri" w:hAnsi="Calibri"/>
                <w:sz w:val="16"/>
                <w:szCs w:val="16"/>
                <w:color w:val="auto"/>
              </w:rPr>
              <w:t>—</w:t>
            </w:r>
          </w:p>
        </w:tc>
        <w:tc>
          <w:tcPr>
            <w:tcW w:w="2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40" w:type="dxa"/>
            <w:vAlign w:val="bottom"/>
            <w:tcBorders>
              <w:right w:val="single" w:sz="8" w:color="007CBA"/>
            </w:tcBorders>
          </w:tcPr>
          <w:p>
            <w:pPr>
              <w:jc w:val="right"/>
              <w:ind w:right="64"/>
              <w:spacing w:after="0"/>
              <w:rPr>
                <w:sz w:val="20"/>
                <w:szCs w:val="20"/>
                <w:color w:val="auto"/>
              </w:rPr>
            </w:pPr>
            <w:r>
              <w:rPr>
                <w:rFonts w:ascii="Calibri" w:cs="Calibri" w:eastAsia="Calibri" w:hAnsi="Calibri"/>
                <w:sz w:val="16"/>
                <w:szCs w:val="16"/>
                <w:color w:val="auto"/>
              </w:rPr>
              <w:t>—</w:t>
            </w:r>
          </w:p>
        </w:tc>
        <w:tc>
          <w:tcPr>
            <w:tcW w:w="280" w:type="dxa"/>
            <w:vAlign w:val="bottom"/>
          </w:tcPr>
          <w:p>
            <w:pPr>
              <w:ind w:left="140"/>
              <w:spacing w:after="0"/>
              <w:rPr>
                <w:sz w:val="20"/>
                <w:szCs w:val="20"/>
                <w:color w:val="auto"/>
              </w:rPr>
            </w:pPr>
            <w:r>
              <w:rPr>
                <w:rFonts w:ascii="Calibri" w:cs="Calibri" w:eastAsia="Calibri" w:hAnsi="Calibri"/>
                <w:sz w:val="16"/>
                <w:szCs w:val="16"/>
                <w:color w:val="auto"/>
              </w:rPr>
              <w:t>$</w:t>
            </w:r>
          </w:p>
        </w:tc>
        <w:tc>
          <w:tcPr>
            <w:tcW w:w="1100" w:type="dxa"/>
            <w:vAlign w:val="bottom"/>
            <w:tcBorders>
              <w:right w:val="single" w:sz="8" w:color="007CBA"/>
            </w:tcBorders>
          </w:tcPr>
          <w:p>
            <w:pPr>
              <w:ind w:left="620"/>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00" w:type="dxa"/>
            <w:vAlign w:val="bottom"/>
          </w:tcPr>
          <w:p>
            <w:pPr>
              <w:jc w:val="right"/>
              <w:ind w:right="2"/>
              <w:spacing w:after="0"/>
              <w:rPr>
                <w:sz w:val="20"/>
                <w:szCs w:val="20"/>
                <w:color w:val="auto"/>
              </w:rPr>
            </w:pPr>
            <w:r>
              <w:rPr>
                <w:rFonts w:ascii="Calibri" w:cs="Calibri" w:eastAsia="Calibri" w:hAnsi="Calibri"/>
                <w:sz w:val="16"/>
                <w:szCs w:val="16"/>
                <w:color w:val="auto"/>
              </w:rPr>
              <w:t>—</w:t>
            </w:r>
          </w:p>
        </w:tc>
        <w:tc>
          <w:tcPr>
            <w:tcW w:w="320" w:type="dxa"/>
            <w:vAlign w:val="bottom"/>
            <w:tcBorders>
              <w:right w:val="single" w:sz="8" w:color="007CBA"/>
            </w:tcBorders>
          </w:tcPr>
          <w:p>
            <w:pPr>
              <w:spacing w:after="0"/>
              <w:rPr>
                <w:sz w:val="17"/>
                <w:szCs w:val="17"/>
                <w:color w:val="auto"/>
              </w:rPr>
            </w:pPr>
          </w:p>
        </w:tc>
        <w:tc>
          <w:tcPr>
            <w:tcW w:w="2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00" w:type="dxa"/>
            <w:vAlign w:val="bottom"/>
          </w:tcPr>
          <w:p>
            <w:pPr>
              <w:jc w:val="right"/>
              <w:ind w:right="43"/>
              <w:spacing w:after="0"/>
              <w:rPr>
                <w:sz w:val="20"/>
                <w:szCs w:val="20"/>
                <w:color w:val="auto"/>
              </w:rPr>
            </w:pPr>
            <w:r>
              <w:rPr>
                <w:rFonts w:ascii="Calibri" w:cs="Calibri" w:eastAsia="Calibri" w:hAnsi="Calibri"/>
                <w:sz w:val="16"/>
                <w:szCs w:val="16"/>
                <w:color w:val="auto"/>
              </w:rPr>
              <w:t>—</w:t>
            </w:r>
          </w:p>
        </w:tc>
      </w:tr>
      <w:tr>
        <w:trPr>
          <w:trHeight w:val="41"/>
        </w:trPr>
        <w:tc>
          <w:tcPr>
            <w:tcW w:w="480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Borders>
              <w:right w:val="single" w:sz="8" w:color="007CBA"/>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9"/>
        </w:trPr>
        <w:tc>
          <w:tcPr>
            <w:tcW w:w="4800" w:type="dxa"/>
            <w:vAlign w:val="bottom"/>
            <w:tcBorders>
              <w:right w:val="single" w:sz="8" w:color="007CBA"/>
            </w:tcBorders>
            <w:shd w:val="clear" w:color="auto" w:fill="E5F1F8"/>
          </w:tcPr>
          <w:p>
            <w:pPr>
              <w:spacing w:after="0"/>
              <w:rPr>
                <w:sz w:val="19"/>
                <w:szCs w:val="19"/>
                <w:color w:val="auto"/>
              </w:rPr>
            </w:pPr>
          </w:p>
        </w:tc>
        <w:tc>
          <w:tcPr>
            <w:tcW w:w="280" w:type="dxa"/>
            <w:vAlign w:val="bottom"/>
            <w:shd w:val="clear" w:color="auto" w:fill="E5F1F8"/>
          </w:tcPr>
          <w:p>
            <w:pPr>
              <w:spacing w:after="0"/>
              <w:rPr>
                <w:sz w:val="19"/>
                <w:szCs w:val="19"/>
                <w:color w:val="auto"/>
              </w:rPr>
            </w:pPr>
          </w:p>
        </w:tc>
        <w:tc>
          <w:tcPr>
            <w:tcW w:w="960" w:type="dxa"/>
            <w:vAlign w:val="bottom"/>
            <w:tcBorders>
              <w:right w:val="single" w:sz="8" w:color="007CBA"/>
            </w:tcBorders>
            <w:shd w:val="clear" w:color="auto" w:fill="E5F1F8"/>
          </w:tcPr>
          <w:p>
            <w:pPr>
              <w:spacing w:after="0"/>
              <w:rPr>
                <w:sz w:val="19"/>
                <w:szCs w:val="19"/>
                <w:color w:val="auto"/>
              </w:rPr>
            </w:pPr>
          </w:p>
        </w:tc>
        <w:tc>
          <w:tcPr>
            <w:tcW w:w="280" w:type="dxa"/>
            <w:vAlign w:val="bottom"/>
            <w:shd w:val="clear" w:color="auto" w:fill="E5F1F8"/>
          </w:tcPr>
          <w:p>
            <w:pPr>
              <w:spacing w:after="0"/>
              <w:rPr>
                <w:sz w:val="19"/>
                <w:szCs w:val="19"/>
                <w:color w:val="auto"/>
              </w:rPr>
            </w:pPr>
          </w:p>
        </w:tc>
        <w:tc>
          <w:tcPr>
            <w:tcW w:w="940" w:type="dxa"/>
            <w:vAlign w:val="bottom"/>
            <w:tcBorders>
              <w:right w:val="single" w:sz="8" w:color="007CBA"/>
            </w:tcBorders>
            <w:shd w:val="clear" w:color="auto" w:fill="E5F1F8"/>
          </w:tcPr>
          <w:p>
            <w:pPr>
              <w:spacing w:after="0"/>
              <w:rPr>
                <w:sz w:val="19"/>
                <w:szCs w:val="19"/>
                <w:color w:val="auto"/>
              </w:rPr>
            </w:pPr>
          </w:p>
        </w:tc>
        <w:tc>
          <w:tcPr>
            <w:tcW w:w="280" w:type="dxa"/>
            <w:vAlign w:val="bottom"/>
            <w:shd w:val="clear" w:color="auto" w:fill="E5F1F8"/>
          </w:tcPr>
          <w:p>
            <w:pPr>
              <w:spacing w:after="0"/>
              <w:rPr>
                <w:sz w:val="19"/>
                <w:szCs w:val="19"/>
                <w:color w:val="auto"/>
              </w:rPr>
            </w:pPr>
          </w:p>
        </w:tc>
        <w:tc>
          <w:tcPr>
            <w:tcW w:w="1100" w:type="dxa"/>
            <w:vAlign w:val="bottom"/>
            <w:tcBorders>
              <w:right w:val="single" w:sz="8" w:color="007CBA"/>
            </w:tcBorders>
            <w:shd w:val="clear" w:color="auto" w:fill="E5F1F8"/>
          </w:tcPr>
          <w:p>
            <w:pPr>
              <w:spacing w:after="0"/>
              <w:rPr>
                <w:sz w:val="19"/>
                <w:szCs w:val="19"/>
                <w:color w:val="auto"/>
              </w:rPr>
            </w:pPr>
          </w:p>
        </w:tc>
        <w:tc>
          <w:tcPr>
            <w:tcW w:w="80" w:type="dxa"/>
            <w:vAlign w:val="bottom"/>
            <w:shd w:val="clear" w:color="auto" w:fill="E5F1F8"/>
          </w:tcPr>
          <w:p>
            <w:pPr>
              <w:spacing w:after="0"/>
              <w:rPr>
                <w:sz w:val="19"/>
                <w:szCs w:val="19"/>
                <w:color w:val="auto"/>
              </w:rPr>
            </w:pPr>
          </w:p>
        </w:tc>
        <w:tc>
          <w:tcPr>
            <w:tcW w:w="140" w:type="dxa"/>
            <w:vAlign w:val="bottom"/>
            <w:shd w:val="clear" w:color="auto" w:fill="E5F1F8"/>
          </w:tcPr>
          <w:p>
            <w:pPr>
              <w:spacing w:after="0"/>
              <w:rPr>
                <w:sz w:val="19"/>
                <w:szCs w:val="19"/>
                <w:color w:val="auto"/>
              </w:rPr>
            </w:pPr>
          </w:p>
        </w:tc>
        <w:tc>
          <w:tcPr>
            <w:tcW w:w="900" w:type="dxa"/>
            <w:vAlign w:val="bottom"/>
            <w:shd w:val="clear" w:color="auto" w:fill="E5F1F8"/>
          </w:tcPr>
          <w:p>
            <w:pPr>
              <w:spacing w:after="0"/>
              <w:rPr>
                <w:sz w:val="19"/>
                <w:szCs w:val="19"/>
                <w:color w:val="auto"/>
              </w:rPr>
            </w:pPr>
          </w:p>
        </w:tc>
        <w:tc>
          <w:tcPr>
            <w:tcW w:w="320" w:type="dxa"/>
            <w:vAlign w:val="bottom"/>
            <w:tcBorders>
              <w:right w:val="single" w:sz="8" w:color="007CBA"/>
            </w:tcBorders>
            <w:shd w:val="clear" w:color="auto" w:fill="E5F1F8"/>
          </w:tcPr>
          <w:p>
            <w:pPr>
              <w:spacing w:after="0"/>
              <w:rPr>
                <w:sz w:val="19"/>
                <w:szCs w:val="19"/>
                <w:color w:val="auto"/>
              </w:rPr>
            </w:pPr>
          </w:p>
        </w:tc>
        <w:tc>
          <w:tcPr>
            <w:tcW w:w="260" w:type="dxa"/>
            <w:vAlign w:val="bottom"/>
            <w:shd w:val="clear" w:color="auto" w:fill="E5F1F8"/>
          </w:tcPr>
          <w:p>
            <w:pPr>
              <w:spacing w:after="0"/>
              <w:rPr>
                <w:sz w:val="19"/>
                <w:szCs w:val="19"/>
                <w:color w:val="auto"/>
              </w:rPr>
            </w:pPr>
          </w:p>
        </w:tc>
        <w:tc>
          <w:tcPr>
            <w:tcW w:w="900" w:type="dxa"/>
            <w:vAlign w:val="bottom"/>
            <w:shd w:val="clear" w:color="auto" w:fill="E5F1F8"/>
          </w:tcPr>
          <w:p>
            <w:pPr>
              <w:spacing w:after="0"/>
              <w:rPr>
                <w:sz w:val="19"/>
                <w:szCs w:val="19"/>
                <w:color w:val="auto"/>
              </w:rPr>
            </w:pPr>
          </w:p>
        </w:tc>
      </w:tr>
      <w:tr>
        <w:trPr>
          <w:trHeight w:val="193"/>
        </w:trPr>
        <w:tc>
          <w:tcPr>
            <w:tcW w:w="480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b w:val="1"/>
                <w:bCs w:val="1"/>
                <w:color w:val="auto"/>
              </w:rPr>
              <w:t>Year ended December 31, 2022</w:t>
            </w:r>
          </w:p>
        </w:tc>
        <w:tc>
          <w:tcPr>
            <w:tcW w:w="280" w:type="dxa"/>
            <w:vAlign w:val="bottom"/>
          </w:tcPr>
          <w:p>
            <w:pPr>
              <w:spacing w:after="0"/>
              <w:rPr>
                <w:sz w:val="16"/>
                <w:szCs w:val="16"/>
                <w:color w:val="auto"/>
              </w:rPr>
            </w:pPr>
          </w:p>
        </w:tc>
        <w:tc>
          <w:tcPr>
            <w:tcW w:w="96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Borders>
              <w:right w:val="single" w:sz="8" w:color="007CBA"/>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Borders>
              <w:right w:val="single" w:sz="8" w:color="007CBA"/>
            </w:tcBorders>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6"/>
        </w:trPr>
        <w:tc>
          <w:tcPr>
            <w:tcW w:w="480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Borders>
              <w:right w:val="single" w:sz="8" w:color="007CBA"/>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9"/>
        </w:trPr>
        <w:tc>
          <w:tcPr>
            <w:tcW w:w="480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Allowance for estmated credit losses</w:t>
            </w:r>
          </w:p>
        </w:tc>
        <w:tc>
          <w:tcPr>
            <w:tcW w:w="28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60" w:type="dxa"/>
            <w:vAlign w:val="bottom"/>
            <w:tcBorders>
              <w:bottom w:val="single" w:sz="8" w:color="E5F1F8"/>
              <w:right w:val="single" w:sz="8" w:color="007CBA"/>
            </w:tcBorders>
            <w:shd w:val="clear" w:color="auto" w:fill="E5F1F8"/>
          </w:tcPr>
          <w:p>
            <w:pPr>
              <w:jc w:val="right"/>
              <w:ind w:right="63"/>
              <w:spacing w:after="0" w:line="193" w:lineRule="exact"/>
              <w:rPr>
                <w:sz w:val="20"/>
                <w:szCs w:val="20"/>
                <w:color w:val="auto"/>
              </w:rPr>
            </w:pPr>
            <w:r>
              <w:rPr>
                <w:rFonts w:ascii="Calibri" w:cs="Calibri" w:eastAsia="Calibri" w:hAnsi="Calibri"/>
                <w:sz w:val="16"/>
                <w:szCs w:val="16"/>
                <w:color w:val="auto"/>
              </w:rPr>
              <w:t>5.8</w:t>
            </w:r>
          </w:p>
        </w:tc>
        <w:tc>
          <w:tcPr>
            <w:tcW w:w="28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E5F1F8"/>
              <w:right w:val="single" w:sz="8" w:color="007CBA"/>
            </w:tcBorders>
            <w:shd w:val="clear" w:color="auto" w:fill="E5F1F8"/>
          </w:tcPr>
          <w:p>
            <w:pPr>
              <w:jc w:val="right"/>
              <w:ind w:right="64"/>
              <w:spacing w:after="0" w:line="193" w:lineRule="exact"/>
              <w:rPr>
                <w:sz w:val="20"/>
                <w:szCs w:val="20"/>
                <w:color w:val="auto"/>
              </w:rPr>
            </w:pPr>
            <w:r>
              <w:rPr>
                <w:rFonts w:ascii="Calibri" w:cs="Calibri" w:eastAsia="Calibri" w:hAnsi="Calibri"/>
                <w:sz w:val="16"/>
                <w:szCs w:val="16"/>
                <w:color w:val="auto"/>
              </w:rPr>
              <w:t>5.2</w:t>
            </w:r>
          </w:p>
        </w:tc>
        <w:tc>
          <w:tcPr>
            <w:tcW w:w="280" w:type="dxa"/>
            <w:vAlign w:val="bottom"/>
            <w:tcBorders>
              <w:bottom w:val="single" w:sz="8" w:color="E5F1F8"/>
            </w:tcBorders>
            <w:shd w:val="clear" w:color="auto" w:fill="E5F1F8"/>
          </w:tcPr>
          <w:p>
            <w:pPr>
              <w:ind w:left="140"/>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Borders>
              <w:bottom w:val="single" w:sz="8" w:color="E5F1F8"/>
              <w:right w:val="single" w:sz="8" w:color="007CBA"/>
            </w:tcBorders>
            <w:shd w:val="clear" w:color="auto" w:fill="E5F1F8"/>
          </w:tcPr>
          <w:p>
            <w:pPr>
              <w:ind w:left="620"/>
              <w:spacing w:after="0" w:line="193" w:lineRule="exact"/>
              <w:rPr>
                <w:sz w:val="20"/>
                <w:szCs w:val="20"/>
                <w:color w:val="auto"/>
              </w:rPr>
            </w:pPr>
            <w:r>
              <w:rPr>
                <w:rFonts w:ascii="Calibri" w:cs="Calibri" w:eastAsia="Calibri" w:hAnsi="Calibri"/>
                <w:sz w:val="16"/>
                <w:szCs w:val="16"/>
                <w:color w:val="auto"/>
              </w:rPr>
              <w:t>—</w:t>
            </w:r>
          </w:p>
        </w:tc>
        <w:tc>
          <w:tcPr>
            <w:tcW w:w="80" w:type="dxa"/>
            <w:vAlign w:val="bottom"/>
            <w:tcBorders>
              <w:bottom w:val="single" w:sz="8" w:color="E5F1F8"/>
            </w:tcBorders>
            <w:shd w:val="clear" w:color="auto" w:fill="E5F1F8"/>
          </w:tcPr>
          <w:p>
            <w:pPr>
              <w:spacing w:after="0"/>
              <w:rPr>
                <w:sz w:val="18"/>
                <w:szCs w:val="18"/>
                <w:color w:val="auto"/>
              </w:rPr>
            </w:pPr>
          </w:p>
        </w:tc>
        <w:tc>
          <w:tcPr>
            <w:tcW w:w="14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00" w:type="dxa"/>
            <w:vAlign w:val="bottom"/>
            <w:tcBorders>
              <w:bottom w:val="single" w:sz="8" w:color="E5F1F8"/>
            </w:tcBorders>
            <w:shd w:val="clear" w:color="auto" w:fill="E5F1F8"/>
          </w:tcPr>
          <w:p>
            <w:pPr>
              <w:jc w:val="right"/>
              <w:ind w:right="2"/>
              <w:spacing w:after="0" w:line="193" w:lineRule="exact"/>
              <w:rPr>
                <w:sz w:val="20"/>
                <w:szCs w:val="20"/>
                <w:color w:val="auto"/>
              </w:rPr>
            </w:pPr>
            <w:r>
              <w:rPr>
                <w:rFonts w:ascii="Calibri" w:cs="Calibri" w:eastAsia="Calibri" w:hAnsi="Calibri"/>
                <w:sz w:val="16"/>
                <w:szCs w:val="16"/>
                <w:color w:val="auto"/>
              </w:rPr>
              <w:t>—</w:t>
            </w:r>
          </w:p>
        </w:tc>
        <w:tc>
          <w:tcPr>
            <w:tcW w:w="320" w:type="dxa"/>
            <w:vAlign w:val="bottom"/>
            <w:tcBorders>
              <w:bottom w:val="single" w:sz="8" w:color="E5F1F8"/>
              <w:right w:val="single" w:sz="8" w:color="007CBA"/>
            </w:tcBorders>
            <w:shd w:val="clear" w:color="auto" w:fill="E5F1F8"/>
          </w:tcPr>
          <w:p>
            <w:pPr>
              <w:spacing w:after="0"/>
              <w:rPr>
                <w:sz w:val="18"/>
                <w:szCs w:val="18"/>
                <w:color w:val="auto"/>
              </w:rPr>
            </w:pPr>
          </w:p>
        </w:tc>
        <w:tc>
          <w:tcPr>
            <w:tcW w:w="26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00" w:type="dxa"/>
            <w:vAlign w:val="bottom"/>
            <w:tcBorders>
              <w:bottom w:val="single" w:sz="8" w:color="E5F1F8"/>
            </w:tcBorders>
            <w:shd w:val="clear" w:color="auto" w:fill="E5F1F8"/>
          </w:tcPr>
          <w:p>
            <w:pPr>
              <w:jc w:val="right"/>
              <w:ind w:right="43"/>
              <w:spacing w:after="0" w:line="193" w:lineRule="exact"/>
              <w:rPr>
                <w:sz w:val="20"/>
                <w:szCs w:val="20"/>
                <w:color w:val="auto"/>
              </w:rPr>
            </w:pPr>
            <w:r>
              <w:rPr>
                <w:rFonts w:ascii="Calibri" w:cs="Calibri" w:eastAsia="Calibri" w:hAnsi="Calibri"/>
                <w:sz w:val="16"/>
                <w:szCs w:val="16"/>
                <w:color w:val="auto"/>
              </w:rPr>
              <w:t>11.0</w:t>
            </w:r>
          </w:p>
        </w:tc>
      </w:tr>
      <w:tr>
        <w:trPr>
          <w:trHeight w:val="193"/>
        </w:trPr>
        <w:tc>
          <w:tcPr>
            <w:tcW w:w="480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Allowance for estmated credit losses on</w:t>
            </w:r>
          </w:p>
        </w:tc>
        <w:tc>
          <w:tcPr>
            <w:tcW w:w="280" w:type="dxa"/>
            <w:vAlign w:val="bottom"/>
          </w:tcPr>
          <w:p>
            <w:pPr>
              <w:spacing w:after="0"/>
              <w:rPr>
                <w:sz w:val="16"/>
                <w:szCs w:val="16"/>
                <w:color w:val="auto"/>
              </w:rPr>
            </w:pPr>
          </w:p>
        </w:tc>
        <w:tc>
          <w:tcPr>
            <w:tcW w:w="96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Borders>
              <w:right w:val="single" w:sz="8" w:color="007CBA"/>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Borders>
              <w:right w:val="single" w:sz="8" w:color="007CBA"/>
            </w:tcBorders>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8"/>
        </w:trPr>
        <w:tc>
          <w:tcPr>
            <w:tcW w:w="4800" w:type="dxa"/>
            <w:vAlign w:val="bottom"/>
            <w:tcBorders>
              <w:right w:val="single" w:sz="8" w:color="007CBA"/>
            </w:tcBorders>
          </w:tcPr>
          <w:p>
            <w:pPr>
              <w:ind w:left="220"/>
              <w:spacing w:after="0"/>
              <w:rPr>
                <w:sz w:val="20"/>
                <w:szCs w:val="20"/>
                <w:color w:val="auto"/>
              </w:rPr>
            </w:pPr>
            <w:r>
              <w:rPr>
                <w:rFonts w:ascii="Calibri" w:cs="Calibri" w:eastAsia="Calibri" w:hAnsi="Calibri"/>
                <w:sz w:val="16"/>
                <w:szCs w:val="16"/>
                <w:color w:val="auto"/>
              </w:rPr>
              <w:t>notes receivable</w:t>
            </w:r>
          </w:p>
        </w:tc>
        <w:tc>
          <w:tcPr>
            <w:tcW w:w="2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60" w:type="dxa"/>
            <w:vAlign w:val="bottom"/>
            <w:tcBorders>
              <w:right w:val="single" w:sz="8" w:color="007CBA"/>
            </w:tcBorders>
          </w:tcPr>
          <w:p>
            <w:pPr>
              <w:jc w:val="right"/>
              <w:ind w:right="63"/>
              <w:spacing w:after="0"/>
              <w:rPr>
                <w:sz w:val="20"/>
                <w:szCs w:val="20"/>
                <w:color w:val="auto"/>
              </w:rPr>
            </w:pPr>
            <w:r>
              <w:rPr>
                <w:rFonts w:ascii="Calibri" w:cs="Calibri" w:eastAsia="Calibri" w:hAnsi="Calibri"/>
                <w:sz w:val="16"/>
                <w:szCs w:val="16"/>
                <w:color w:val="auto"/>
              </w:rPr>
              <w:t>0.1</w:t>
            </w:r>
          </w:p>
        </w:tc>
        <w:tc>
          <w:tcPr>
            <w:tcW w:w="2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40" w:type="dxa"/>
            <w:vAlign w:val="bottom"/>
            <w:tcBorders>
              <w:right w:val="single" w:sz="8" w:color="007CBA"/>
            </w:tcBorders>
          </w:tcPr>
          <w:p>
            <w:pPr>
              <w:jc w:val="right"/>
              <w:ind w:right="64"/>
              <w:spacing w:after="0"/>
              <w:rPr>
                <w:sz w:val="20"/>
                <w:szCs w:val="20"/>
                <w:color w:val="auto"/>
              </w:rPr>
            </w:pPr>
            <w:r>
              <w:rPr>
                <w:rFonts w:ascii="Calibri" w:cs="Calibri" w:eastAsia="Calibri" w:hAnsi="Calibri"/>
                <w:sz w:val="16"/>
                <w:szCs w:val="16"/>
                <w:color w:val="auto"/>
              </w:rPr>
              <w:t>—</w:t>
            </w:r>
          </w:p>
        </w:tc>
        <w:tc>
          <w:tcPr>
            <w:tcW w:w="280" w:type="dxa"/>
            <w:vAlign w:val="bottom"/>
          </w:tcPr>
          <w:p>
            <w:pPr>
              <w:ind w:left="140"/>
              <w:spacing w:after="0"/>
              <w:rPr>
                <w:sz w:val="20"/>
                <w:szCs w:val="20"/>
                <w:color w:val="auto"/>
              </w:rPr>
            </w:pPr>
            <w:r>
              <w:rPr>
                <w:rFonts w:ascii="Calibri" w:cs="Calibri" w:eastAsia="Calibri" w:hAnsi="Calibri"/>
                <w:sz w:val="16"/>
                <w:szCs w:val="16"/>
                <w:color w:val="auto"/>
              </w:rPr>
              <w:t>$</w:t>
            </w:r>
          </w:p>
        </w:tc>
        <w:tc>
          <w:tcPr>
            <w:tcW w:w="1100" w:type="dxa"/>
            <w:vAlign w:val="bottom"/>
            <w:tcBorders>
              <w:right w:val="single" w:sz="8" w:color="007CBA"/>
            </w:tcBorders>
          </w:tcPr>
          <w:p>
            <w:pPr>
              <w:ind w:left="620"/>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00" w:type="dxa"/>
            <w:vAlign w:val="bottom"/>
          </w:tcPr>
          <w:p>
            <w:pPr>
              <w:jc w:val="right"/>
              <w:ind w:right="2"/>
              <w:spacing w:after="0"/>
              <w:rPr>
                <w:sz w:val="20"/>
                <w:szCs w:val="20"/>
                <w:color w:val="auto"/>
              </w:rPr>
            </w:pPr>
            <w:r>
              <w:rPr>
                <w:rFonts w:ascii="Calibri" w:cs="Calibri" w:eastAsia="Calibri" w:hAnsi="Calibri"/>
                <w:sz w:val="16"/>
                <w:szCs w:val="16"/>
                <w:color w:val="auto"/>
              </w:rPr>
              <w:t>0.1</w:t>
            </w:r>
          </w:p>
        </w:tc>
        <w:tc>
          <w:tcPr>
            <w:tcW w:w="320" w:type="dxa"/>
            <w:vAlign w:val="bottom"/>
            <w:tcBorders>
              <w:right w:val="single" w:sz="8" w:color="007CBA"/>
            </w:tcBorders>
          </w:tcPr>
          <w:p>
            <w:pPr>
              <w:ind w:left="80"/>
              <w:spacing w:after="0" w:line="130" w:lineRule="exact"/>
              <w:rPr>
                <w:sz w:val="20"/>
                <w:szCs w:val="20"/>
                <w:color w:val="auto"/>
              </w:rPr>
            </w:pPr>
            <w:r>
              <w:rPr>
                <w:rFonts w:ascii="Calibri" w:cs="Calibri" w:eastAsia="Calibri" w:hAnsi="Calibri"/>
                <w:sz w:val="11"/>
                <w:szCs w:val="11"/>
                <w:color w:val="auto"/>
              </w:rPr>
              <w:t>(a)</w:t>
            </w:r>
          </w:p>
        </w:tc>
        <w:tc>
          <w:tcPr>
            <w:tcW w:w="2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00" w:type="dxa"/>
            <w:vAlign w:val="bottom"/>
          </w:tcPr>
          <w:p>
            <w:pPr>
              <w:jc w:val="right"/>
              <w:ind w:right="43"/>
              <w:spacing w:after="0"/>
              <w:rPr>
                <w:sz w:val="20"/>
                <w:szCs w:val="20"/>
                <w:color w:val="auto"/>
              </w:rPr>
            </w:pPr>
            <w:r>
              <w:rPr>
                <w:rFonts w:ascii="Calibri" w:cs="Calibri" w:eastAsia="Calibri" w:hAnsi="Calibri"/>
                <w:sz w:val="16"/>
                <w:szCs w:val="16"/>
                <w:color w:val="auto"/>
              </w:rPr>
              <w:t>—</w:t>
            </w:r>
          </w:p>
        </w:tc>
      </w:tr>
      <w:tr>
        <w:trPr>
          <w:trHeight w:val="41"/>
        </w:trPr>
        <w:tc>
          <w:tcPr>
            <w:tcW w:w="480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Borders>
              <w:right w:val="single" w:sz="8" w:color="007CBA"/>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29"/>
        </w:trPr>
        <w:tc>
          <w:tcPr>
            <w:tcW w:w="4800" w:type="dxa"/>
            <w:vAlign w:val="bottom"/>
            <w:tcBorders>
              <w:right w:val="single" w:sz="8" w:color="007CBA"/>
            </w:tcBorders>
            <w:shd w:val="clear" w:color="auto" w:fill="E5F1F8"/>
          </w:tcPr>
          <w:p>
            <w:pPr>
              <w:spacing w:after="0"/>
              <w:rPr>
                <w:sz w:val="19"/>
                <w:szCs w:val="19"/>
                <w:color w:val="auto"/>
              </w:rPr>
            </w:pPr>
          </w:p>
        </w:tc>
        <w:tc>
          <w:tcPr>
            <w:tcW w:w="280" w:type="dxa"/>
            <w:vAlign w:val="bottom"/>
            <w:shd w:val="clear" w:color="auto" w:fill="E5F1F8"/>
          </w:tcPr>
          <w:p>
            <w:pPr>
              <w:spacing w:after="0"/>
              <w:rPr>
                <w:sz w:val="19"/>
                <w:szCs w:val="19"/>
                <w:color w:val="auto"/>
              </w:rPr>
            </w:pPr>
          </w:p>
        </w:tc>
        <w:tc>
          <w:tcPr>
            <w:tcW w:w="960" w:type="dxa"/>
            <w:vAlign w:val="bottom"/>
            <w:tcBorders>
              <w:right w:val="single" w:sz="8" w:color="007CBA"/>
            </w:tcBorders>
            <w:shd w:val="clear" w:color="auto" w:fill="E5F1F8"/>
          </w:tcPr>
          <w:p>
            <w:pPr>
              <w:spacing w:after="0"/>
              <w:rPr>
                <w:sz w:val="19"/>
                <w:szCs w:val="19"/>
                <w:color w:val="auto"/>
              </w:rPr>
            </w:pPr>
          </w:p>
        </w:tc>
        <w:tc>
          <w:tcPr>
            <w:tcW w:w="280" w:type="dxa"/>
            <w:vAlign w:val="bottom"/>
            <w:shd w:val="clear" w:color="auto" w:fill="E5F1F8"/>
          </w:tcPr>
          <w:p>
            <w:pPr>
              <w:spacing w:after="0"/>
              <w:rPr>
                <w:sz w:val="19"/>
                <w:szCs w:val="19"/>
                <w:color w:val="auto"/>
              </w:rPr>
            </w:pPr>
          </w:p>
        </w:tc>
        <w:tc>
          <w:tcPr>
            <w:tcW w:w="940" w:type="dxa"/>
            <w:vAlign w:val="bottom"/>
            <w:tcBorders>
              <w:right w:val="single" w:sz="8" w:color="007CBA"/>
            </w:tcBorders>
            <w:shd w:val="clear" w:color="auto" w:fill="E5F1F8"/>
          </w:tcPr>
          <w:p>
            <w:pPr>
              <w:spacing w:after="0"/>
              <w:rPr>
                <w:sz w:val="19"/>
                <w:szCs w:val="19"/>
                <w:color w:val="auto"/>
              </w:rPr>
            </w:pPr>
          </w:p>
        </w:tc>
        <w:tc>
          <w:tcPr>
            <w:tcW w:w="280" w:type="dxa"/>
            <w:vAlign w:val="bottom"/>
            <w:shd w:val="clear" w:color="auto" w:fill="E5F1F8"/>
          </w:tcPr>
          <w:p>
            <w:pPr>
              <w:spacing w:after="0"/>
              <w:rPr>
                <w:sz w:val="19"/>
                <w:szCs w:val="19"/>
                <w:color w:val="auto"/>
              </w:rPr>
            </w:pPr>
          </w:p>
        </w:tc>
        <w:tc>
          <w:tcPr>
            <w:tcW w:w="1100" w:type="dxa"/>
            <w:vAlign w:val="bottom"/>
            <w:tcBorders>
              <w:right w:val="single" w:sz="8" w:color="007CBA"/>
            </w:tcBorders>
            <w:shd w:val="clear" w:color="auto" w:fill="E5F1F8"/>
          </w:tcPr>
          <w:p>
            <w:pPr>
              <w:spacing w:after="0"/>
              <w:rPr>
                <w:sz w:val="19"/>
                <w:szCs w:val="19"/>
                <w:color w:val="auto"/>
              </w:rPr>
            </w:pPr>
          </w:p>
        </w:tc>
        <w:tc>
          <w:tcPr>
            <w:tcW w:w="80" w:type="dxa"/>
            <w:vAlign w:val="bottom"/>
            <w:shd w:val="clear" w:color="auto" w:fill="E5F1F8"/>
          </w:tcPr>
          <w:p>
            <w:pPr>
              <w:spacing w:after="0"/>
              <w:rPr>
                <w:sz w:val="19"/>
                <w:szCs w:val="19"/>
                <w:color w:val="auto"/>
              </w:rPr>
            </w:pPr>
          </w:p>
        </w:tc>
        <w:tc>
          <w:tcPr>
            <w:tcW w:w="140" w:type="dxa"/>
            <w:vAlign w:val="bottom"/>
            <w:shd w:val="clear" w:color="auto" w:fill="E5F1F8"/>
          </w:tcPr>
          <w:p>
            <w:pPr>
              <w:spacing w:after="0"/>
              <w:rPr>
                <w:sz w:val="19"/>
                <w:szCs w:val="19"/>
                <w:color w:val="auto"/>
              </w:rPr>
            </w:pPr>
          </w:p>
        </w:tc>
        <w:tc>
          <w:tcPr>
            <w:tcW w:w="900" w:type="dxa"/>
            <w:vAlign w:val="bottom"/>
            <w:shd w:val="clear" w:color="auto" w:fill="E5F1F8"/>
          </w:tcPr>
          <w:p>
            <w:pPr>
              <w:spacing w:after="0"/>
              <w:rPr>
                <w:sz w:val="19"/>
                <w:szCs w:val="19"/>
                <w:color w:val="auto"/>
              </w:rPr>
            </w:pPr>
          </w:p>
        </w:tc>
        <w:tc>
          <w:tcPr>
            <w:tcW w:w="320" w:type="dxa"/>
            <w:vAlign w:val="bottom"/>
            <w:tcBorders>
              <w:right w:val="single" w:sz="8" w:color="007CBA"/>
            </w:tcBorders>
            <w:shd w:val="clear" w:color="auto" w:fill="E5F1F8"/>
          </w:tcPr>
          <w:p>
            <w:pPr>
              <w:spacing w:after="0"/>
              <w:rPr>
                <w:sz w:val="19"/>
                <w:szCs w:val="19"/>
                <w:color w:val="auto"/>
              </w:rPr>
            </w:pPr>
          </w:p>
        </w:tc>
        <w:tc>
          <w:tcPr>
            <w:tcW w:w="260" w:type="dxa"/>
            <w:vAlign w:val="bottom"/>
            <w:shd w:val="clear" w:color="auto" w:fill="E5F1F8"/>
          </w:tcPr>
          <w:p>
            <w:pPr>
              <w:spacing w:after="0"/>
              <w:rPr>
                <w:sz w:val="19"/>
                <w:szCs w:val="19"/>
                <w:color w:val="auto"/>
              </w:rPr>
            </w:pPr>
          </w:p>
        </w:tc>
        <w:tc>
          <w:tcPr>
            <w:tcW w:w="900" w:type="dxa"/>
            <w:vAlign w:val="bottom"/>
            <w:shd w:val="clear" w:color="auto" w:fill="E5F1F8"/>
          </w:tcPr>
          <w:p>
            <w:pPr>
              <w:spacing w:after="0"/>
              <w:rPr>
                <w:sz w:val="19"/>
                <w:szCs w:val="19"/>
                <w:color w:val="auto"/>
              </w:rPr>
            </w:pPr>
          </w:p>
        </w:tc>
      </w:tr>
      <w:tr>
        <w:trPr>
          <w:trHeight w:val="193"/>
        </w:trPr>
        <w:tc>
          <w:tcPr>
            <w:tcW w:w="480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b w:val="1"/>
                <w:bCs w:val="1"/>
                <w:color w:val="auto"/>
              </w:rPr>
              <w:t>Year ended December 31, 2021</w:t>
            </w:r>
          </w:p>
        </w:tc>
        <w:tc>
          <w:tcPr>
            <w:tcW w:w="280" w:type="dxa"/>
            <w:vAlign w:val="bottom"/>
          </w:tcPr>
          <w:p>
            <w:pPr>
              <w:spacing w:after="0"/>
              <w:rPr>
                <w:sz w:val="16"/>
                <w:szCs w:val="16"/>
                <w:color w:val="auto"/>
              </w:rPr>
            </w:pPr>
          </w:p>
        </w:tc>
        <w:tc>
          <w:tcPr>
            <w:tcW w:w="96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Borders>
              <w:right w:val="single" w:sz="8" w:color="007CBA"/>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Borders>
              <w:right w:val="single" w:sz="8" w:color="007CBA"/>
            </w:tcBorders>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6"/>
        </w:trPr>
        <w:tc>
          <w:tcPr>
            <w:tcW w:w="480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Borders>
              <w:right w:val="single" w:sz="8" w:color="007CBA"/>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0"/>
        </w:trPr>
        <w:tc>
          <w:tcPr>
            <w:tcW w:w="4800" w:type="dxa"/>
            <w:vAlign w:val="bottom"/>
            <w:tcBorders>
              <w:bottom w:val="single" w:sz="8" w:color="E5F1F8"/>
              <w:right w:val="single" w:sz="8" w:color="007CBA"/>
            </w:tcBorders>
            <w:shd w:val="clear" w:color="auto" w:fill="E5F1F8"/>
          </w:tcPr>
          <w:p>
            <w:pPr>
              <w:ind w:left="120"/>
              <w:spacing w:after="0" w:line="193" w:lineRule="exact"/>
              <w:rPr>
                <w:sz w:val="20"/>
                <w:szCs w:val="20"/>
                <w:color w:val="auto"/>
              </w:rPr>
            </w:pPr>
            <w:r>
              <w:rPr>
                <w:rFonts w:ascii="Calibri" w:cs="Calibri" w:eastAsia="Calibri" w:hAnsi="Calibri"/>
                <w:sz w:val="16"/>
                <w:szCs w:val="16"/>
                <w:color w:val="auto"/>
              </w:rPr>
              <w:t>Allowance for estmated credit losses</w:t>
            </w:r>
          </w:p>
        </w:tc>
        <w:tc>
          <w:tcPr>
            <w:tcW w:w="28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60" w:type="dxa"/>
            <w:vAlign w:val="bottom"/>
            <w:tcBorders>
              <w:bottom w:val="single" w:sz="8" w:color="E5F1F8"/>
              <w:right w:val="single" w:sz="8" w:color="007CBA"/>
            </w:tcBorders>
            <w:shd w:val="clear" w:color="auto" w:fill="E5F1F8"/>
          </w:tcPr>
          <w:p>
            <w:pPr>
              <w:jc w:val="right"/>
              <w:ind w:right="63"/>
              <w:spacing w:after="0" w:line="193" w:lineRule="exact"/>
              <w:rPr>
                <w:sz w:val="20"/>
                <w:szCs w:val="20"/>
                <w:color w:val="auto"/>
              </w:rPr>
            </w:pPr>
            <w:r>
              <w:rPr>
                <w:rFonts w:ascii="Calibri" w:cs="Calibri" w:eastAsia="Calibri" w:hAnsi="Calibri"/>
                <w:sz w:val="16"/>
                <w:szCs w:val="16"/>
                <w:color w:val="auto"/>
              </w:rPr>
              <w:t>5.9</w:t>
            </w:r>
          </w:p>
        </w:tc>
        <w:tc>
          <w:tcPr>
            <w:tcW w:w="28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40" w:type="dxa"/>
            <w:vAlign w:val="bottom"/>
            <w:tcBorders>
              <w:bottom w:val="single" w:sz="8" w:color="E5F1F8"/>
              <w:right w:val="single" w:sz="8" w:color="007CBA"/>
            </w:tcBorders>
            <w:shd w:val="clear" w:color="auto" w:fill="E5F1F8"/>
          </w:tcPr>
          <w:p>
            <w:pPr>
              <w:jc w:val="right"/>
              <w:ind w:right="64"/>
              <w:spacing w:after="0" w:line="193" w:lineRule="exact"/>
              <w:rPr>
                <w:sz w:val="20"/>
                <w:szCs w:val="20"/>
                <w:color w:val="auto"/>
              </w:rPr>
            </w:pPr>
            <w:r>
              <w:rPr>
                <w:rFonts w:ascii="Calibri" w:cs="Calibri" w:eastAsia="Calibri" w:hAnsi="Calibri"/>
                <w:sz w:val="16"/>
                <w:szCs w:val="16"/>
                <w:color w:val="auto"/>
              </w:rPr>
              <w:t>—</w:t>
            </w:r>
          </w:p>
        </w:tc>
        <w:tc>
          <w:tcPr>
            <w:tcW w:w="280" w:type="dxa"/>
            <w:vAlign w:val="bottom"/>
            <w:tcBorders>
              <w:bottom w:val="single" w:sz="8" w:color="E5F1F8"/>
            </w:tcBorders>
            <w:shd w:val="clear" w:color="auto" w:fill="E5F1F8"/>
          </w:tcPr>
          <w:p>
            <w:pPr>
              <w:ind w:left="140"/>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Borders>
              <w:bottom w:val="single" w:sz="8" w:color="E5F1F8"/>
              <w:right w:val="single" w:sz="8" w:color="007CBA"/>
            </w:tcBorders>
            <w:shd w:val="clear" w:color="auto" w:fill="E5F1F8"/>
          </w:tcPr>
          <w:p>
            <w:pPr>
              <w:ind w:left="620"/>
              <w:spacing w:after="0" w:line="193" w:lineRule="exact"/>
              <w:rPr>
                <w:sz w:val="20"/>
                <w:szCs w:val="20"/>
                <w:color w:val="auto"/>
              </w:rPr>
            </w:pPr>
            <w:r>
              <w:rPr>
                <w:rFonts w:ascii="Calibri" w:cs="Calibri" w:eastAsia="Calibri" w:hAnsi="Calibri"/>
                <w:sz w:val="16"/>
                <w:szCs w:val="16"/>
                <w:color w:val="auto"/>
              </w:rPr>
              <w:t>—</w:t>
            </w:r>
          </w:p>
        </w:tc>
        <w:tc>
          <w:tcPr>
            <w:tcW w:w="80" w:type="dxa"/>
            <w:vAlign w:val="bottom"/>
            <w:tcBorders>
              <w:bottom w:val="single" w:sz="8" w:color="E5F1F8"/>
            </w:tcBorders>
            <w:shd w:val="clear" w:color="auto" w:fill="E5F1F8"/>
          </w:tcPr>
          <w:p>
            <w:pPr>
              <w:spacing w:after="0"/>
              <w:rPr>
                <w:sz w:val="18"/>
                <w:szCs w:val="18"/>
                <w:color w:val="auto"/>
              </w:rPr>
            </w:pPr>
          </w:p>
        </w:tc>
        <w:tc>
          <w:tcPr>
            <w:tcW w:w="14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00" w:type="dxa"/>
            <w:vAlign w:val="bottom"/>
            <w:tcBorders>
              <w:bottom w:val="single" w:sz="8" w:color="E5F1F8"/>
            </w:tcBorders>
            <w:shd w:val="clear" w:color="auto" w:fill="E5F1F8"/>
          </w:tcPr>
          <w:p>
            <w:pPr>
              <w:jc w:val="right"/>
              <w:ind w:right="2"/>
              <w:spacing w:after="0" w:line="193" w:lineRule="exact"/>
              <w:rPr>
                <w:sz w:val="20"/>
                <w:szCs w:val="20"/>
                <w:color w:val="auto"/>
              </w:rPr>
            </w:pPr>
            <w:r>
              <w:rPr>
                <w:rFonts w:ascii="Calibri" w:cs="Calibri" w:eastAsia="Calibri" w:hAnsi="Calibri"/>
                <w:sz w:val="16"/>
                <w:szCs w:val="16"/>
                <w:color w:val="auto"/>
              </w:rPr>
              <w:t>0.1</w:t>
            </w:r>
          </w:p>
        </w:tc>
        <w:tc>
          <w:tcPr>
            <w:tcW w:w="320" w:type="dxa"/>
            <w:vAlign w:val="bottom"/>
            <w:tcBorders>
              <w:bottom w:val="single" w:sz="8" w:color="E5F1F8"/>
              <w:right w:val="single" w:sz="8" w:color="007CBA"/>
            </w:tcBorders>
            <w:shd w:val="clear" w:color="auto" w:fill="E5F1F8"/>
          </w:tcPr>
          <w:p>
            <w:pPr>
              <w:ind w:left="80"/>
              <w:spacing w:after="0" w:line="128" w:lineRule="exact"/>
              <w:rPr>
                <w:sz w:val="20"/>
                <w:szCs w:val="20"/>
                <w:color w:val="auto"/>
              </w:rPr>
            </w:pPr>
            <w:r>
              <w:rPr>
                <w:rFonts w:ascii="Calibri" w:cs="Calibri" w:eastAsia="Calibri" w:hAnsi="Calibri"/>
                <w:sz w:val="11"/>
                <w:szCs w:val="11"/>
                <w:color w:val="auto"/>
              </w:rPr>
              <w:t>(a)</w:t>
            </w:r>
          </w:p>
        </w:tc>
        <w:tc>
          <w:tcPr>
            <w:tcW w:w="260" w:type="dxa"/>
            <w:vAlign w:val="bottom"/>
            <w:tcBorders>
              <w:bottom w:val="single" w:sz="8" w:color="E5F1F8"/>
            </w:tcBorders>
            <w:shd w:val="clear" w:color="auto" w:fill="E5F1F8"/>
          </w:tcPr>
          <w:p>
            <w:pPr>
              <w:jc w:val="right"/>
              <w:spacing w:after="0" w:line="193" w:lineRule="exact"/>
              <w:rPr>
                <w:sz w:val="20"/>
                <w:szCs w:val="20"/>
                <w:color w:val="auto"/>
              </w:rPr>
            </w:pPr>
            <w:r>
              <w:rPr>
                <w:rFonts w:ascii="Calibri" w:cs="Calibri" w:eastAsia="Calibri" w:hAnsi="Calibri"/>
                <w:sz w:val="16"/>
                <w:szCs w:val="16"/>
                <w:color w:val="auto"/>
              </w:rPr>
              <w:t>$</w:t>
            </w:r>
          </w:p>
        </w:tc>
        <w:tc>
          <w:tcPr>
            <w:tcW w:w="900" w:type="dxa"/>
            <w:vAlign w:val="bottom"/>
            <w:tcBorders>
              <w:bottom w:val="single" w:sz="8" w:color="E5F1F8"/>
            </w:tcBorders>
            <w:shd w:val="clear" w:color="auto" w:fill="E5F1F8"/>
          </w:tcPr>
          <w:p>
            <w:pPr>
              <w:jc w:val="right"/>
              <w:ind w:right="43"/>
              <w:spacing w:after="0" w:line="193" w:lineRule="exact"/>
              <w:rPr>
                <w:sz w:val="20"/>
                <w:szCs w:val="20"/>
                <w:color w:val="auto"/>
              </w:rPr>
            </w:pPr>
            <w:r>
              <w:rPr>
                <w:rFonts w:ascii="Calibri" w:cs="Calibri" w:eastAsia="Calibri" w:hAnsi="Calibri"/>
                <w:sz w:val="16"/>
                <w:szCs w:val="16"/>
                <w:color w:val="auto"/>
              </w:rPr>
              <w:t>5.8</w:t>
            </w:r>
          </w:p>
        </w:tc>
      </w:tr>
      <w:tr>
        <w:trPr>
          <w:trHeight w:val="193"/>
        </w:trPr>
        <w:tc>
          <w:tcPr>
            <w:tcW w:w="4800" w:type="dxa"/>
            <w:vAlign w:val="bottom"/>
            <w:tcBorders>
              <w:right w:val="single" w:sz="8" w:color="007CBA"/>
            </w:tcBorders>
          </w:tcPr>
          <w:p>
            <w:pPr>
              <w:ind w:left="120"/>
              <w:spacing w:after="0" w:line="193" w:lineRule="exact"/>
              <w:rPr>
                <w:sz w:val="20"/>
                <w:szCs w:val="20"/>
                <w:color w:val="auto"/>
              </w:rPr>
            </w:pPr>
            <w:r>
              <w:rPr>
                <w:rFonts w:ascii="Calibri" w:cs="Calibri" w:eastAsia="Calibri" w:hAnsi="Calibri"/>
                <w:sz w:val="16"/>
                <w:szCs w:val="16"/>
                <w:color w:val="auto"/>
              </w:rPr>
              <w:t>Allowance for estmated credit losses on</w:t>
            </w:r>
          </w:p>
        </w:tc>
        <w:tc>
          <w:tcPr>
            <w:tcW w:w="280" w:type="dxa"/>
            <w:vAlign w:val="bottom"/>
          </w:tcPr>
          <w:p>
            <w:pPr>
              <w:spacing w:after="0"/>
              <w:rPr>
                <w:sz w:val="16"/>
                <w:szCs w:val="16"/>
                <w:color w:val="auto"/>
              </w:rPr>
            </w:pPr>
          </w:p>
        </w:tc>
        <w:tc>
          <w:tcPr>
            <w:tcW w:w="96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right w:val="single" w:sz="8" w:color="007CBA"/>
            </w:tcBorders>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Borders>
              <w:right w:val="single" w:sz="8" w:color="007CBA"/>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Borders>
              <w:right w:val="single" w:sz="8" w:color="007CBA"/>
            </w:tcBorders>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8"/>
        </w:trPr>
        <w:tc>
          <w:tcPr>
            <w:tcW w:w="4800" w:type="dxa"/>
            <w:vAlign w:val="bottom"/>
            <w:tcBorders>
              <w:right w:val="single" w:sz="8" w:color="007CBA"/>
            </w:tcBorders>
          </w:tcPr>
          <w:p>
            <w:pPr>
              <w:ind w:left="220"/>
              <w:spacing w:after="0"/>
              <w:rPr>
                <w:sz w:val="20"/>
                <w:szCs w:val="20"/>
                <w:color w:val="auto"/>
              </w:rPr>
            </w:pPr>
            <w:r>
              <w:rPr>
                <w:rFonts w:ascii="Calibri" w:cs="Calibri" w:eastAsia="Calibri" w:hAnsi="Calibri"/>
                <w:sz w:val="16"/>
                <w:szCs w:val="16"/>
                <w:color w:val="auto"/>
              </w:rPr>
              <w:t>notes receivable</w:t>
            </w:r>
          </w:p>
        </w:tc>
        <w:tc>
          <w:tcPr>
            <w:tcW w:w="2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60" w:type="dxa"/>
            <w:vAlign w:val="bottom"/>
            <w:tcBorders>
              <w:right w:val="single" w:sz="8" w:color="007CBA"/>
            </w:tcBorders>
          </w:tcPr>
          <w:p>
            <w:pPr>
              <w:jc w:val="right"/>
              <w:ind w:right="63"/>
              <w:spacing w:after="0"/>
              <w:rPr>
                <w:sz w:val="20"/>
                <w:szCs w:val="20"/>
                <w:color w:val="auto"/>
              </w:rPr>
            </w:pPr>
            <w:r>
              <w:rPr>
                <w:rFonts w:ascii="Calibri" w:cs="Calibri" w:eastAsia="Calibri" w:hAnsi="Calibri"/>
                <w:sz w:val="16"/>
                <w:szCs w:val="16"/>
                <w:color w:val="auto"/>
              </w:rPr>
              <w:t>0.4</w:t>
            </w:r>
          </w:p>
        </w:tc>
        <w:tc>
          <w:tcPr>
            <w:tcW w:w="28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40" w:type="dxa"/>
            <w:vAlign w:val="bottom"/>
            <w:tcBorders>
              <w:right w:val="single" w:sz="8" w:color="007CBA"/>
            </w:tcBorders>
          </w:tcPr>
          <w:p>
            <w:pPr>
              <w:jc w:val="right"/>
              <w:ind w:right="64"/>
              <w:spacing w:after="0"/>
              <w:rPr>
                <w:sz w:val="20"/>
                <w:szCs w:val="20"/>
                <w:color w:val="auto"/>
              </w:rPr>
            </w:pPr>
            <w:r>
              <w:rPr>
                <w:rFonts w:ascii="Calibri" w:cs="Calibri" w:eastAsia="Calibri" w:hAnsi="Calibri"/>
                <w:sz w:val="16"/>
                <w:szCs w:val="16"/>
                <w:color w:val="auto"/>
              </w:rPr>
              <w:t>—</w:t>
            </w:r>
          </w:p>
        </w:tc>
        <w:tc>
          <w:tcPr>
            <w:tcW w:w="280" w:type="dxa"/>
            <w:vAlign w:val="bottom"/>
          </w:tcPr>
          <w:p>
            <w:pPr>
              <w:ind w:left="140"/>
              <w:spacing w:after="0"/>
              <w:rPr>
                <w:sz w:val="20"/>
                <w:szCs w:val="20"/>
                <w:color w:val="auto"/>
              </w:rPr>
            </w:pPr>
            <w:r>
              <w:rPr>
                <w:rFonts w:ascii="Calibri" w:cs="Calibri" w:eastAsia="Calibri" w:hAnsi="Calibri"/>
                <w:sz w:val="16"/>
                <w:szCs w:val="16"/>
                <w:color w:val="auto"/>
              </w:rPr>
              <w:t>$</w:t>
            </w:r>
          </w:p>
        </w:tc>
        <w:tc>
          <w:tcPr>
            <w:tcW w:w="1100" w:type="dxa"/>
            <w:vAlign w:val="bottom"/>
            <w:tcBorders>
              <w:right w:val="single" w:sz="8" w:color="007CBA"/>
            </w:tcBorders>
          </w:tcPr>
          <w:p>
            <w:pPr>
              <w:ind w:left="620"/>
              <w:spacing w:after="0"/>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00" w:type="dxa"/>
            <w:vAlign w:val="bottom"/>
          </w:tcPr>
          <w:p>
            <w:pPr>
              <w:jc w:val="right"/>
              <w:ind w:right="2"/>
              <w:spacing w:after="0"/>
              <w:rPr>
                <w:sz w:val="20"/>
                <w:szCs w:val="20"/>
                <w:color w:val="auto"/>
              </w:rPr>
            </w:pPr>
            <w:r>
              <w:rPr>
                <w:rFonts w:ascii="Calibri" w:cs="Calibri" w:eastAsia="Calibri" w:hAnsi="Calibri"/>
                <w:sz w:val="16"/>
                <w:szCs w:val="16"/>
                <w:color w:val="auto"/>
              </w:rPr>
              <w:t>0.3</w:t>
            </w:r>
          </w:p>
        </w:tc>
        <w:tc>
          <w:tcPr>
            <w:tcW w:w="320" w:type="dxa"/>
            <w:vAlign w:val="bottom"/>
            <w:tcBorders>
              <w:right w:val="single" w:sz="8" w:color="007CBA"/>
            </w:tcBorders>
          </w:tcPr>
          <w:p>
            <w:pPr>
              <w:ind w:left="80"/>
              <w:spacing w:after="0" w:line="130" w:lineRule="exact"/>
              <w:rPr>
                <w:sz w:val="20"/>
                <w:szCs w:val="20"/>
                <w:color w:val="auto"/>
              </w:rPr>
            </w:pPr>
            <w:r>
              <w:rPr>
                <w:rFonts w:ascii="Calibri" w:cs="Calibri" w:eastAsia="Calibri" w:hAnsi="Calibri"/>
                <w:sz w:val="11"/>
                <w:szCs w:val="11"/>
                <w:color w:val="auto"/>
              </w:rPr>
              <w:t>(a)</w:t>
            </w:r>
          </w:p>
        </w:tc>
        <w:tc>
          <w:tcPr>
            <w:tcW w:w="260" w:type="dxa"/>
            <w:vAlign w:val="bottom"/>
          </w:tcPr>
          <w:p>
            <w:pPr>
              <w:jc w:val="right"/>
              <w:spacing w:after="0"/>
              <w:rPr>
                <w:sz w:val="20"/>
                <w:szCs w:val="20"/>
                <w:color w:val="auto"/>
              </w:rPr>
            </w:pPr>
            <w:r>
              <w:rPr>
                <w:rFonts w:ascii="Calibri" w:cs="Calibri" w:eastAsia="Calibri" w:hAnsi="Calibri"/>
                <w:sz w:val="16"/>
                <w:szCs w:val="16"/>
                <w:color w:val="auto"/>
              </w:rPr>
              <w:t>$</w:t>
            </w:r>
          </w:p>
        </w:tc>
        <w:tc>
          <w:tcPr>
            <w:tcW w:w="900" w:type="dxa"/>
            <w:vAlign w:val="bottom"/>
          </w:tcPr>
          <w:p>
            <w:pPr>
              <w:jc w:val="right"/>
              <w:ind w:right="43"/>
              <w:spacing w:after="0"/>
              <w:rPr>
                <w:sz w:val="20"/>
                <w:szCs w:val="20"/>
                <w:color w:val="auto"/>
              </w:rPr>
            </w:pPr>
            <w:r>
              <w:rPr>
                <w:rFonts w:ascii="Calibri" w:cs="Calibri" w:eastAsia="Calibri" w:hAnsi="Calibri"/>
                <w:sz w:val="16"/>
                <w:szCs w:val="16"/>
                <w:color w:val="auto"/>
              </w:rPr>
              <w:t>0.1</w:t>
            </w:r>
          </w:p>
        </w:tc>
      </w:tr>
      <w:tr>
        <w:trPr>
          <w:trHeight w:val="41"/>
        </w:trPr>
        <w:tc>
          <w:tcPr>
            <w:tcW w:w="480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Borders>
              <w:right w:val="single" w:sz="8" w:color="007CBA"/>
            </w:tcBorders>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Borders>
              <w:right w:val="single" w:sz="8" w:color="007CBA"/>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Borders>
              <w:right w:val="single" w:sz="8" w:color="007CBA"/>
            </w:tcBorders>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-2845435</wp:posOffset>
            </wp:positionV>
            <wp:extent cx="713232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-2708275</wp:posOffset>
            </wp:positionV>
            <wp:extent cx="156845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82">
                      <a:extLst>
                        <a:ext uri="{28A0092B-C50C-407E-A947-70E740481C1C}"/>
                      </a:extLst>
                    </a:blip>
                    <a:srcRect/>
                    <a:stretch>
                      <a:fillRect/>
                    </a:stretch>
                  </pic:blipFill>
                  <pic:spPr bwMode="auto">
                    <a:xfrm>
                      <a:off x="0" y="0"/>
                      <a:ext cx="1568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-2125345</wp:posOffset>
            </wp:positionV>
            <wp:extent cx="713232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 w:lineRule="exact"/>
        <w:rPr>
          <w:sz w:val="20"/>
          <w:szCs w:val="20"/>
          <w:color w:val="auto"/>
        </w:rPr>
      </w:pPr>
    </w:p>
    <w:p>
      <w:pPr>
        <w:ind w:left="1080" w:hanging="535"/>
        <w:spacing w:after="0"/>
        <w:tabs>
          <w:tab w:leader="none" w:pos="1080" w:val="left"/>
        </w:tabs>
        <w:numPr>
          <w:ilvl w:val="0"/>
          <w:numId w:val="25"/>
        </w:numPr>
        <w:rPr>
          <w:rFonts w:ascii="Calibri" w:cs="Calibri" w:eastAsia="Calibri" w:hAnsi="Calibri"/>
          <w:sz w:val="14"/>
          <w:szCs w:val="14"/>
          <w:color w:val="auto"/>
        </w:rPr>
      </w:pPr>
      <w:r>
        <w:rPr>
          <w:rFonts w:ascii="Calibri" w:cs="Calibri" w:eastAsia="Calibri" w:hAnsi="Calibri"/>
          <w:sz w:val="14"/>
          <w:szCs w:val="14"/>
          <w:color w:val="auto"/>
        </w:rPr>
        <w:t>Change in estmates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alibri" w:cs="Calibri" w:eastAsia="Calibri" w:hAnsi="Calibri"/>
          <w:sz w:val="25"/>
          <w:szCs w:val="25"/>
          <w:b w:val="1"/>
          <w:bCs w:val="1"/>
          <w:color w:val="auto"/>
        </w:rPr>
        <w:t>ITEM 16 – FORM 10-K SUMMARY</w:t>
      </w:r>
    </w:p>
    <w:p>
      <w:pPr>
        <w:spacing w:after="0" w:line="64"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Company has chosen not to include an optonal summary of the informaton required by this Form 10-K. For a reference to the informaton in this Form 10-K, investors should refer to the Table of Contents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68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84">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3"/>
          <w:szCs w:val="23"/>
          <w:color w:val="0070C0"/>
        </w:rPr>
        <w:t xml:space="preserve">♦ </w:t>
      </w:r>
      <w:r>
        <w:rPr>
          <w:rFonts w:ascii="Calibri" w:cs="Calibri" w:eastAsia="Calibri" w:hAnsi="Calibri"/>
          <w:sz w:val="17"/>
          <w:szCs w:val="17"/>
          <w:color w:val="000000"/>
        </w:rPr>
        <w:t>Signatures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SIGNATURES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the requirements of Secton 13 or 15(d) of the Securites Exchange Act of 1934, the registrant has duly caused this report to be signed on its behalf by the undersigned, thereunto duly authorized.</w:t>
      </w:r>
    </w:p>
    <w:p>
      <w:pPr>
        <w:spacing w:after="0" w:line="226" w:lineRule="exact"/>
        <w:rPr>
          <w:sz w:val="20"/>
          <w:szCs w:val="20"/>
          <w:color w:val="auto"/>
        </w:rPr>
      </w:pPr>
    </w:p>
    <w:p>
      <w:pPr>
        <w:ind w:left="6200"/>
        <w:spacing w:after="0"/>
        <w:rPr>
          <w:sz w:val="20"/>
          <w:szCs w:val="20"/>
          <w:color w:val="auto"/>
        </w:rPr>
      </w:pPr>
      <w:r>
        <w:rPr>
          <w:rFonts w:ascii="Calibri" w:cs="Calibri" w:eastAsia="Calibri" w:hAnsi="Calibri"/>
          <w:sz w:val="18"/>
          <w:szCs w:val="18"/>
          <w:color w:val="auto"/>
        </w:rPr>
        <w:t>MARTIN MARIETTA MATERIALS, INC.</w:t>
      </w:r>
    </w:p>
    <w:p>
      <w:pPr>
        <w:spacing w:after="0" w:line="266" w:lineRule="exact"/>
        <w:rPr>
          <w:sz w:val="20"/>
          <w:szCs w:val="20"/>
          <w:color w:val="auto"/>
        </w:rPr>
      </w:pPr>
    </w:p>
    <w:p>
      <w:pPr>
        <w:ind w:left="6200"/>
        <w:spacing w:after="0"/>
        <w:tabs>
          <w:tab w:leader="none" w:pos="6640" w:val="left"/>
        </w:tabs>
        <w:rPr>
          <w:sz w:val="20"/>
          <w:szCs w:val="20"/>
          <w:color w:val="auto"/>
        </w:rPr>
      </w:pPr>
      <w:r>
        <w:rPr>
          <w:rFonts w:ascii="Calibri" w:cs="Calibri" w:eastAsia="Calibri" w:hAnsi="Calibri"/>
          <w:sz w:val="18"/>
          <w:szCs w:val="18"/>
          <w:color w:val="auto"/>
        </w:rPr>
        <w:t>By:</w:t>
        <w:tab/>
        <w:t>/s/ Roselyn R.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23495</wp:posOffset>
            </wp:positionV>
            <wp:extent cx="291465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86">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7" w:lineRule="exact"/>
        <w:rPr>
          <w:sz w:val="20"/>
          <w:szCs w:val="20"/>
          <w:color w:val="auto"/>
        </w:rPr>
      </w:pPr>
    </w:p>
    <w:p>
      <w:pPr>
        <w:ind w:left="6660"/>
        <w:spacing w:after="0"/>
        <w:rPr>
          <w:sz w:val="20"/>
          <w:szCs w:val="20"/>
          <w:color w:val="auto"/>
        </w:rPr>
      </w:pPr>
      <w:r>
        <w:rPr>
          <w:rFonts w:ascii="Calibri" w:cs="Calibri" w:eastAsia="Calibri" w:hAnsi="Calibri"/>
          <w:sz w:val="18"/>
          <w:szCs w:val="18"/>
          <w:color w:val="auto"/>
        </w:rPr>
        <w:t>Roselyn R. Bar</w:t>
      </w:r>
    </w:p>
    <w:p>
      <w:pPr>
        <w:spacing w:after="0" w:line="23" w:lineRule="exact"/>
        <w:rPr>
          <w:sz w:val="20"/>
          <w:szCs w:val="20"/>
          <w:color w:val="auto"/>
        </w:rPr>
      </w:pPr>
    </w:p>
    <w:p>
      <w:pPr>
        <w:ind w:left="6660"/>
        <w:spacing w:after="0"/>
        <w:rPr>
          <w:sz w:val="20"/>
          <w:szCs w:val="20"/>
          <w:color w:val="auto"/>
        </w:rPr>
      </w:pPr>
      <w:r>
        <w:rPr>
          <w:rFonts w:ascii="Calibri" w:cs="Calibri" w:eastAsia="Calibri" w:hAnsi="Calibri"/>
          <w:sz w:val="18"/>
          <w:szCs w:val="18"/>
          <w:color w:val="auto"/>
        </w:rPr>
        <w:t>Executve Vice President, General Counsel and Corporate</w:t>
      </w:r>
    </w:p>
    <w:p>
      <w:pPr>
        <w:ind w:left="6660"/>
        <w:spacing w:after="0" w:line="235" w:lineRule="auto"/>
        <w:rPr>
          <w:sz w:val="20"/>
          <w:szCs w:val="20"/>
          <w:color w:val="auto"/>
        </w:rPr>
      </w:pPr>
      <w:r>
        <w:rPr>
          <w:rFonts w:ascii="Calibri" w:cs="Calibri" w:eastAsia="Calibri" w:hAnsi="Calibri"/>
          <w:sz w:val="18"/>
          <w:szCs w:val="18"/>
          <w:color w:val="auto"/>
        </w:rPr>
        <w:t>Secretary</w:t>
      </w: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auto"/>
        </w:rPr>
        <w:t>Dated: February 23, 2024</w:t>
      </w:r>
    </w:p>
    <w:p>
      <w:pPr>
        <w:spacing w:after="0" w:line="21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POWER OF ATTORNEY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KNOW ALL PERSONS BY THESE PRESENTS, that each person whose signature appears below appoints Roselyn R. Bar as his or her true and lawful atorney-in-fact, each with full power of substtuton and resubsttuton, for him or her and in his or her name, place and stead, in any and all capacites, to sign any and all amendments to this Annual Report on Form 10-K, and to fle the same, with all exhibits thereto, and other documents in connecton therewith, with the Securites and Exchange Commission, grantng unto said atorney-in-fact, full power and authority to do and perform each in connecton therewith, as fully to all intents and purposes as he or she might or could do in person, hereby ratfying and confrming all that said atorney-in-fact, or her substtute or substtutes, may lawfully do or cause to be done by virtue hereof.</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the requirements of the Securites and Exchange Act of 1934, this report has been signed by the following persons on behalf of the registrant and in the capacites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6777355</wp:posOffset>
            </wp:positionH>
            <wp:positionV relativeFrom="paragraph">
              <wp:posOffset>92710</wp:posOffset>
            </wp:positionV>
            <wp:extent cx="325755" cy="1974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87">
                      <a:extLst>
                        <a:ext uri="{28A0092B-C50C-407E-A947-70E740481C1C}"/>
                      </a:extLst>
                    </a:blip>
                    <a:srcRect/>
                    <a:stretch>
                      <a:fillRect/>
                    </a:stretch>
                  </pic:blipFill>
                  <pic:spPr bwMode="auto">
                    <a:xfrm>
                      <a:off x="0" y="0"/>
                      <a:ext cx="325755" cy="197485"/>
                    </a:xfrm>
                    <a:prstGeom prst="rect">
                      <a:avLst/>
                    </a:prstGeom>
                    <a:noFill/>
                  </pic:spPr>
                </pic:pic>
              </a:graphicData>
            </a:graphic>
          </wp:anchor>
        </w:drawing>
      </w:r>
    </w:p>
    <w:p>
      <w:pPr>
        <w:spacing w:after="0" w:line="148" w:lineRule="exact"/>
        <w:rPr>
          <w:sz w:val="20"/>
          <w:szCs w:val="20"/>
          <w:color w:val="auto"/>
        </w:rPr>
      </w:pPr>
    </w:p>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591820</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308"/>
        </w:trPr>
        <w:tc>
          <w:tcPr>
            <w:tcW w:w="4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80" w:type="dxa"/>
            <w:vAlign w:val="bottom"/>
          </w:tcPr>
          <w:p>
            <w:pPr>
              <w:ind w:left="1740"/>
              <w:spacing w:after="0"/>
              <w:rPr>
                <w:sz w:val="20"/>
                <w:szCs w:val="20"/>
                <w:color w:val="auto"/>
              </w:rPr>
            </w:pPr>
            <w:r>
              <w:rPr>
                <w:rFonts w:ascii="Arial" w:cs="Arial" w:eastAsia="Arial" w:hAnsi="Arial"/>
                <w:sz w:val="23"/>
                <w:szCs w:val="23"/>
                <w:color w:val="0070C0"/>
              </w:rPr>
              <w:t xml:space="preserve">♦ </w:t>
            </w:r>
            <w:r>
              <w:rPr>
                <w:rFonts w:ascii="Calibri" w:cs="Calibri" w:eastAsia="Calibri" w:hAnsi="Calibri"/>
                <w:sz w:val="17"/>
                <w:szCs w:val="17"/>
                <w:color w:val="000000"/>
              </w:rPr>
              <w:t>Signatures</w:t>
            </w:r>
          </w:p>
        </w:tc>
        <w:tc>
          <w:tcPr>
            <w:tcW w:w="0" w:type="dxa"/>
            <w:vAlign w:val="bottom"/>
          </w:tcPr>
          <w:p>
            <w:pPr>
              <w:spacing w:after="0"/>
              <w:rPr>
                <w:sz w:val="1"/>
                <w:szCs w:val="1"/>
                <w:color w:val="auto"/>
              </w:rPr>
            </w:pPr>
          </w:p>
        </w:tc>
      </w:tr>
      <w:tr>
        <w:trPr>
          <w:trHeight w:val="385"/>
        </w:trPr>
        <w:tc>
          <w:tcPr>
            <w:tcW w:w="45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500" w:type="dxa"/>
            <w:vAlign w:val="bottom"/>
            <w:shd w:val="clear" w:color="auto" w:fill="007CBA"/>
          </w:tcPr>
          <w:p>
            <w:pPr>
              <w:ind w:left="1920"/>
              <w:spacing w:after="0"/>
              <w:rPr>
                <w:sz w:val="20"/>
                <w:szCs w:val="20"/>
                <w:color w:val="auto"/>
              </w:rPr>
            </w:pPr>
            <w:r>
              <w:rPr>
                <w:rFonts w:ascii="Calibri" w:cs="Calibri" w:eastAsia="Calibri" w:hAnsi="Calibri"/>
                <w:sz w:val="18"/>
                <w:szCs w:val="18"/>
                <w:i w:val="1"/>
                <w:iCs w:val="1"/>
                <w:color w:val="FFFFFF"/>
              </w:rPr>
              <w:t>Signature</w:t>
            </w:r>
          </w:p>
        </w:tc>
        <w:tc>
          <w:tcPr>
            <w:tcW w:w="4060" w:type="dxa"/>
            <w:vAlign w:val="bottom"/>
            <w:shd w:val="clear" w:color="auto" w:fill="007CBA"/>
          </w:tcPr>
          <w:p>
            <w:pPr>
              <w:ind w:left="2220"/>
              <w:spacing w:after="0"/>
              <w:rPr>
                <w:sz w:val="20"/>
                <w:szCs w:val="20"/>
                <w:color w:val="auto"/>
              </w:rPr>
            </w:pPr>
            <w:r>
              <w:rPr>
                <w:rFonts w:ascii="Calibri" w:cs="Calibri" w:eastAsia="Calibri" w:hAnsi="Calibri"/>
                <w:sz w:val="18"/>
                <w:szCs w:val="18"/>
                <w:i w:val="1"/>
                <w:iCs w:val="1"/>
                <w:color w:val="FFFFFF"/>
              </w:rPr>
              <w:t>Title</w:t>
            </w:r>
          </w:p>
        </w:tc>
        <w:tc>
          <w:tcPr>
            <w:tcW w:w="2680" w:type="dxa"/>
            <w:vAlign w:val="bottom"/>
            <w:shd w:val="clear" w:color="auto" w:fill="007CBA"/>
          </w:tcPr>
          <w:p>
            <w:pPr>
              <w:jc w:val="center"/>
              <w:ind w:left="568"/>
              <w:spacing w:after="0"/>
              <w:rPr>
                <w:sz w:val="20"/>
                <w:szCs w:val="20"/>
                <w:color w:val="auto"/>
              </w:rPr>
            </w:pPr>
            <w:r>
              <w:rPr>
                <w:rFonts w:ascii="Calibri" w:cs="Calibri" w:eastAsia="Calibri" w:hAnsi="Calibri"/>
                <w:sz w:val="18"/>
                <w:szCs w:val="18"/>
                <w:i w:val="1"/>
                <w:iCs w:val="1"/>
                <w:color w:val="FFFFFF"/>
                <w:w w:val="97"/>
              </w:rPr>
              <w:t>Date</w:t>
            </w:r>
          </w:p>
        </w:tc>
        <w:tc>
          <w:tcPr>
            <w:tcW w:w="0" w:type="dxa"/>
            <w:vAlign w:val="bottom"/>
          </w:tcPr>
          <w:p>
            <w:pPr>
              <w:spacing w:after="0"/>
              <w:rPr>
                <w:sz w:val="1"/>
                <w:szCs w:val="1"/>
                <w:color w:val="auto"/>
              </w:rPr>
            </w:pPr>
          </w:p>
        </w:tc>
      </w:tr>
      <w:tr>
        <w:trPr>
          <w:trHeight w:val="212"/>
        </w:trPr>
        <w:tc>
          <w:tcPr>
            <w:tcW w:w="4500" w:type="dxa"/>
            <w:vAlign w:val="bottom"/>
            <w:shd w:val="clear" w:color="auto" w:fill="007CBA"/>
          </w:tcPr>
          <w:p>
            <w:pPr>
              <w:spacing w:after="0"/>
              <w:rPr>
                <w:sz w:val="18"/>
                <w:szCs w:val="18"/>
                <w:color w:val="auto"/>
              </w:rPr>
            </w:pPr>
          </w:p>
        </w:tc>
        <w:tc>
          <w:tcPr>
            <w:tcW w:w="4060" w:type="dxa"/>
            <w:vAlign w:val="bottom"/>
            <w:shd w:val="clear" w:color="auto" w:fill="007CBA"/>
          </w:tcPr>
          <w:p>
            <w:pPr>
              <w:spacing w:after="0"/>
              <w:rPr>
                <w:sz w:val="18"/>
                <w:szCs w:val="18"/>
                <w:color w:val="auto"/>
              </w:rPr>
            </w:pPr>
          </w:p>
        </w:tc>
        <w:tc>
          <w:tcPr>
            <w:tcW w:w="2680" w:type="dxa"/>
            <w:vAlign w:val="bottom"/>
            <w:shd w:val="clear" w:color="auto" w:fill="007CBA"/>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4500" w:type="dxa"/>
            <w:vAlign w:val="bottom"/>
          </w:tcPr>
          <w:p>
            <w:pPr>
              <w:ind w:left="20"/>
              <w:spacing w:after="0"/>
              <w:rPr>
                <w:sz w:val="20"/>
                <w:szCs w:val="20"/>
                <w:color w:val="auto"/>
              </w:rPr>
            </w:pPr>
            <w:r>
              <w:rPr>
                <w:rFonts w:ascii="Calibri" w:cs="Calibri" w:eastAsia="Calibri" w:hAnsi="Calibri"/>
                <w:sz w:val="18"/>
                <w:szCs w:val="18"/>
                <w:color w:val="auto"/>
              </w:rPr>
              <w:t>/s/ C. Howard Nye</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Chairman of the Board,</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23, 2024</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vMerge w:val="restart"/>
          </w:tcPr>
          <w:p>
            <w:pPr>
              <w:ind w:left="260"/>
              <w:spacing w:after="0"/>
              <w:rPr>
                <w:sz w:val="20"/>
                <w:szCs w:val="20"/>
                <w:color w:val="auto"/>
              </w:rPr>
            </w:pPr>
            <w:r>
              <w:rPr>
                <w:rFonts w:ascii="Calibri" w:cs="Calibri" w:eastAsia="Calibri" w:hAnsi="Calibri"/>
                <w:sz w:val="18"/>
                <w:szCs w:val="18"/>
                <w:color w:val="auto"/>
              </w:rPr>
              <w:t>President and Chief Executve Ofcer</w:t>
            </w: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C. Howard Nye</w:t>
            </w:r>
          </w:p>
        </w:tc>
        <w:tc>
          <w:tcPr>
            <w:tcW w:w="406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James A. J. Nickolas</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Executve Vice President</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23, 2024</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vMerge w:val="restart"/>
          </w:tcPr>
          <w:p>
            <w:pPr>
              <w:ind w:left="260"/>
              <w:spacing w:after="0"/>
              <w:rPr>
                <w:sz w:val="20"/>
                <w:szCs w:val="20"/>
                <w:color w:val="auto"/>
              </w:rPr>
            </w:pPr>
            <w:r>
              <w:rPr>
                <w:rFonts w:ascii="Calibri" w:cs="Calibri" w:eastAsia="Calibri" w:hAnsi="Calibri"/>
                <w:sz w:val="18"/>
                <w:szCs w:val="18"/>
                <w:color w:val="auto"/>
              </w:rPr>
              <w:t>and Chief Financial Ofcer</w:t>
            </w: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James A. J. Nickolas</w:t>
            </w:r>
          </w:p>
        </w:tc>
        <w:tc>
          <w:tcPr>
            <w:tcW w:w="406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Robert J. Cardin</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Senior Vice President,</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23, 2024</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vMerge w:val="restart"/>
          </w:tcPr>
          <w:p>
            <w:pPr>
              <w:ind w:left="260"/>
              <w:spacing w:after="0"/>
              <w:rPr>
                <w:sz w:val="20"/>
                <w:szCs w:val="20"/>
                <w:color w:val="auto"/>
              </w:rPr>
            </w:pPr>
            <w:r>
              <w:rPr>
                <w:rFonts w:ascii="Calibri" w:cs="Calibri" w:eastAsia="Calibri" w:hAnsi="Calibri"/>
                <w:sz w:val="18"/>
                <w:szCs w:val="18"/>
                <w:color w:val="auto"/>
              </w:rPr>
              <w:t>Controller and Chief Accountng Ofcer</w:t>
            </w: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Robert J. Cardin</w:t>
            </w:r>
          </w:p>
        </w:tc>
        <w:tc>
          <w:tcPr>
            <w:tcW w:w="406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Dorothy M. Ables</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23, 2024</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Dorothy M. Ables</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Sue W. Cole</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23, 2024</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Sue W. Cole</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Anthony R. Foxx</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23, 2024</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Anthony R. Foxx</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John J. Koraleski</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23, 2024</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John J. Koraleski</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Laree E. Perez</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23, 2024</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Laree E. Perez</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Thomas H. Pike</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23, 2024</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Thomas H. Pike</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Michael J. Quillen</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23, 2024</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Michael J. Quillen</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Donald W. Slager</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23, 2024</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Donald W. Slager</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500" w:type="dxa"/>
            <w:vAlign w:val="bottom"/>
          </w:tcPr>
          <w:p>
            <w:pPr>
              <w:ind w:left="20"/>
              <w:spacing w:after="0"/>
              <w:rPr>
                <w:sz w:val="20"/>
                <w:szCs w:val="20"/>
                <w:color w:val="auto"/>
              </w:rPr>
            </w:pPr>
            <w:r>
              <w:rPr>
                <w:rFonts w:ascii="Calibri" w:cs="Calibri" w:eastAsia="Calibri" w:hAnsi="Calibri"/>
                <w:sz w:val="18"/>
                <w:szCs w:val="18"/>
                <w:color w:val="auto"/>
              </w:rPr>
              <w:t>/s/ David C. Wajsgras</w:t>
            </w:r>
          </w:p>
        </w:tc>
        <w:tc>
          <w:tcPr>
            <w:tcW w:w="4060" w:type="dxa"/>
            <w:vAlign w:val="bottom"/>
          </w:tcPr>
          <w:p>
            <w:pPr>
              <w:ind w:left="140"/>
              <w:spacing w:after="0"/>
              <w:rPr>
                <w:sz w:val="20"/>
                <w:szCs w:val="20"/>
                <w:color w:val="auto"/>
              </w:rPr>
            </w:pPr>
            <w:r>
              <w:rPr>
                <w:rFonts w:ascii="Calibri" w:cs="Calibri" w:eastAsia="Calibri" w:hAnsi="Calibri"/>
                <w:sz w:val="18"/>
                <w:szCs w:val="18"/>
                <w:color w:val="auto"/>
              </w:rPr>
              <w:t>Director</w:t>
            </w:r>
          </w:p>
        </w:tc>
        <w:tc>
          <w:tcPr>
            <w:tcW w:w="2680" w:type="dxa"/>
            <w:vAlign w:val="bottom"/>
          </w:tcPr>
          <w:p>
            <w:pPr>
              <w:jc w:val="center"/>
              <w:ind w:left="568"/>
              <w:spacing w:after="0"/>
              <w:rPr>
                <w:sz w:val="20"/>
                <w:szCs w:val="20"/>
                <w:color w:val="auto"/>
              </w:rPr>
            </w:pPr>
            <w:r>
              <w:rPr>
                <w:rFonts w:ascii="Calibri" w:cs="Calibri" w:eastAsia="Calibri" w:hAnsi="Calibri"/>
                <w:sz w:val="18"/>
                <w:szCs w:val="18"/>
                <w:color w:val="auto"/>
                <w:w w:val="97"/>
              </w:rPr>
              <w:t>February 23, 2024</w:t>
            </w:r>
          </w:p>
        </w:tc>
        <w:tc>
          <w:tcPr>
            <w:tcW w:w="0" w:type="dxa"/>
            <w:vAlign w:val="bottom"/>
          </w:tcPr>
          <w:p>
            <w:pPr>
              <w:spacing w:after="0"/>
              <w:rPr>
                <w:sz w:val="1"/>
                <w:szCs w:val="1"/>
                <w:color w:val="auto"/>
              </w:rPr>
            </w:pPr>
          </w:p>
        </w:tc>
      </w:tr>
      <w:tr>
        <w:trPr>
          <w:trHeight w:val="37"/>
        </w:trPr>
        <w:tc>
          <w:tcPr>
            <w:tcW w:w="4500" w:type="dxa"/>
            <w:vAlign w:val="bottom"/>
            <w:tcBorders>
              <w:bottom w:val="single" w:sz="8" w:color="auto"/>
            </w:tcBorders>
          </w:tcPr>
          <w:p>
            <w:pPr>
              <w:spacing w:after="0"/>
              <w:rPr>
                <w:sz w:val="3"/>
                <w:szCs w:val="3"/>
                <w:color w:val="auto"/>
              </w:rPr>
            </w:pPr>
          </w:p>
        </w:tc>
        <w:tc>
          <w:tcPr>
            <w:tcW w:w="40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line="208" w:lineRule="exact"/>
              <w:rPr>
                <w:sz w:val="20"/>
                <w:szCs w:val="20"/>
                <w:color w:val="auto"/>
              </w:rPr>
            </w:pPr>
            <w:r>
              <w:rPr>
                <w:rFonts w:ascii="Calibri" w:cs="Calibri" w:eastAsia="Calibri" w:hAnsi="Calibri"/>
                <w:sz w:val="18"/>
                <w:szCs w:val="18"/>
                <w:color w:val="auto"/>
              </w:rPr>
              <w:t>David C. Wajsgras</w:t>
            </w:r>
          </w:p>
        </w:tc>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6"/>
        </w:trPr>
        <w:tc>
          <w:tcPr>
            <w:tcW w:w="4500" w:type="dxa"/>
            <w:vAlign w:val="bottom"/>
          </w:tcPr>
          <w:p>
            <w:pPr>
              <w:ind w:left="20"/>
              <w:spacing w:after="0"/>
              <w:rPr>
                <w:sz w:val="20"/>
                <w:szCs w:val="20"/>
                <w:color w:val="auto"/>
              </w:rPr>
            </w:pPr>
            <w:r>
              <w:rPr>
                <w:rFonts w:ascii="Calibri" w:cs="Calibri" w:eastAsia="Calibri" w:hAnsi="Calibri"/>
                <w:sz w:val="18"/>
                <w:szCs w:val="18"/>
                <w:color w:val="auto"/>
              </w:rPr>
              <w:t xml:space="preserve">Form 10-K </w:t>
            </w:r>
            <w:r>
              <w:rPr>
                <w:rFonts w:ascii="Arial" w:cs="Arial" w:eastAsia="Arial" w:hAnsi="Arial"/>
                <w:sz w:val="23"/>
                <w:szCs w:val="23"/>
                <w:color w:val="0070C0"/>
              </w:rPr>
              <w:t>♦</w:t>
            </w:r>
            <w:r>
              <w:rPr>
                <w:rFonts w:ascii="Calibri" w:cs="Calibri" w:eastAsia="Calibri" w:hAnsi="Calibri"/>
                <w:sz w:val="18"/>
                <w:szCs w:val="18"/>
                <w:color w:val="auto"/>
              </w:rPr>
              <w:t xml:space="preserve"> 122</w:t>
            </w:r>
          </w:p>
        </w:tc>
        <w:tc>
          <w:tcPr>
            <w:tcW w:w="4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2"/>
        </w:trPr>
        <w:tc>
          <w:tcPr>
            <w:tcW w:w="450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6777355</wp:posOffset>
            </wp:positionH>
            <wp:positionV relativeFrom="paragraph">
              <wp:posOffset>-814070</wp:posOffset>
            </wp:positionV>
            <wp:extent cx="325755" cy="1968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91">
                      <a:extLst>
                        <a:ext uri="{28A0092B-C50C-407E-A947-70E740481C1C}"/>
                      </a:extLst>
                    </a:blip>
                    <a:srcRect/>
                    <a:stretch>
                      <a:fillRect/>
                    </a:stretch>
                  </pic:blipFill>
                  <pic:spPr bwMode="auto">
                    <a:xfrm>
                      <a:off x="0" y="0"/>
                      <a:ext cx="325755" cy="196850"/>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24" w:name="page125"/>
    <w:bookmarkEnd w:id="124"/>
    <w:p>
      <w:pPr>
        <w:spacing w:after="0" w:line="200" w:lineRule="exact"/>
        <w:rPr>
          <w:sz w:val="20"/>
          <w:szCs w:val="20"/>
          <w:color w:val="auto"/>
        </w:rPr>
      </w:pPr>
    </w:p>
    <w:p>
      <w:pPr>
        <w:spacing w:after="0" w:line="232" w:lineRule="exact"/>
        <w:rPr>
          <w:sz w:val="20"/>
          <w:szCs w:val="20"/>
          <w:color w:val="auto"/>
        </w:rPr>
      </w:pPr>
    </w:p>
    <w:p>
      <w:pPr>
        <w:jc w:val="center"/>
        <w:ind w:left="1740"/>
        <w:spacing w:after="0"/>
        <w:rPr>
          <w:sz w:val="20"/>
          <w:szCs w:val="20"/>
          <w:color w:val="auto"/>
        </w:rPr>
      </w:pPr>
      <w:r>
        <w:rPr>
          <w:rFonts w:ascii="Calibri" w:cs="Calibri" w:eastAsia="Calibri" w:hAnsi="Calibri"/>
          <w:sz w:val="17"/>
          <w:szCs w:val="17"/>
          <w:b w:val="1"/>
          <w:bCs w:val="1"/>
          <w:color w:val="auto"/>
        </w:rPr>
        <w:t>SUBSIDIARIES OF MARTIN MARIETTA MATERIALS, INC.</w:t>
      </w:r>
    </w:p>
    <w:p>
      <w:pPr>
        <w:spacing w:after="0" w:line="4" w:lineRule="exact"/>
        <w:rPr>
          <w:sz w:val="20"/>
          <w:szCs w:val="20"/>
          <w:color w:val="auto"/>
        </w:rPr>
      </w:pPr>
    </w:p>
    <w:p>
      <w:pPr>
        <w:jc w:val="center"/>
        <w:ind w:left="1740"/>
        <w:spacing w:after="0"/>
        <w:rPr>
          <w:sz w:val="20"/>
          <w:szCs w:val="20"/>
          <w:color w:val="auto"/>
        </w:rPr>
      </w:pPr>
      <w:r>
        <w:rPr>
          <w:rFonts w:ascii="Calibri" w:cs="Calibri" w:eastAsia="Calibri" w:hAnsi="Calibri"/>
          <w:sz w:val="18"/>
          <w:szCs w:val="18"/>
          <w:b w:val="1"/>
          <w:bCs w:val="1"/>
          <w:color w:val="auto"/>
        </w:rPr>
        <w:t>AS OF DECEMBER 31, 2023</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Name of Subsidiary</w:t>
      </w:r>
    </w:p>
    <w:p>
      <w:pPr>
        <w:spacing w:after="0" w:line="23" w:lineRule="exact"/>
        <w:rPr>
          <w:sz w:val="20"/>
          <w:szCs w:val="20"/>
          <w:color w:val="auto"/>
        </w:rPr>
      </w:pPr>
    </w:p>
    <w:p>
      <w:pPr>
        <w:spacing w:after="0"/>
        <w:rPr>
          <w:sz w:val="20"/>
          <w:szCs w:val="20"/>
          <w:color w:val="auto"/>
        </w:rPr>
      </w:pPr>
      <w:r>
        <w:rPr>
          <w:rFonts w:ascii="Calibri" w:cs="Calibri" w:eastAsia="Calibri" w:hAnsi="Calibri"/>
          <w:sz w:val="18"/>
          <w:szCs w:val="18"/>
          <w:color w:val="auto"/>
        </w:rPr>
        <w:t>2M Lands, LLC</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Alamo Gulf Coast Railroad Company, a Texas corporaton</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Alamo North Texas Railroad Company, a Texas corporaton</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American Aggregates Corporaton, a North Carolina corporaton</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American Materials Technologies, LLC, a Tennessee limited liability company</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American Stone Company, a North Carolina corporaton</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Bahama Rock Limited, a Bahamas corporaton</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Bluegrass – Blue Mount, LLC, a North Carolina limited liability company</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Bluegrass Materials Company, LLC, a North Carolina limited liability company</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Bluegrass-St. Marys, LLC, a North Carolina limited liability company</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Brookhollow Corporaton, a Delaware corporaton</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Campbell’s C-Ment Contractng, Inc., a Colorado corporaton</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CIG MC LLC, a Colorado limited liability company</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Creole Corporaton, a Delaware corporaton</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FRI Ready Mix of Tennessee, LLC, a Florida limited liability company</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Front Range Aggregates LLC, a Delaware limited liability company</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Granite Canyon Quarry, a Wyoming joint venture</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Harding Street Corporaton, a North Carolina corporaton</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HSMM LLC, a North Carolina limited liability company</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Kent Sand &amp; Gravel Company, LLC, a North Carolina limited liability company</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Mardell Trucking Company, Inc., a North Carolina corporaton</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Martn Marieta Arizona, LLC, a North Carolina limited liability company</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Martn Marieta Bluegrass, LLC, a North Carolina limited liability company</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Martn Marieta California A&amp;P, LLC, a North Carolina limited liability company</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Martn Marieta California Ready-Mix, LLC, a Delaware limited liability company</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Martn Marieta Composites, Inc., a Delaware corporaton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490855</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7"/>
          <w:szCs w:val="17"/>
          <w:b w:val="1"/>
          <w:bCs w:val="1"/>
          <w:color w:val="auto"/>
        </w:rPr>
        <w:t>EXHIBIT 21.01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
        <w:spacing w:after="0"/>
        <w:rPr>
          <w:sz w:val="20"/>
          <w:szCs w:val="20"/>
          <w:color w:val="auto"/>
        </w:rPr>
      </w:pPr>
      <w:r>
        <w:rPr>
          <w:rFonts w:ascii="Calibri" w:cs="Calibri" w:eastAsia="Calibri" w:hAnsi="Calibri"/>
          <w:sz w:val="18"/>
          <w:szCs w:val="18"/>
          <w:b w:val="1"/>
          <w:bCs w:val="1"/>
          <w:color w:val="auto"/>
        </w:rPr>
        <w:t>Percent</w:t>
      </w:r>
    </w:p>
    <w:p>
      <w:pPr>
        <w:spacing w:after="0" w:line="23" w:lineRule="exact"/>
        <w:rPr>
          <w:sz w:val="20"/>
          <w:szCs w:val="20"/>
          <w:color w:val="auto"/>
        </w:rPr>
      </w:pPr>
    </w:p>
    <w:p>
      <w:pPr>
        <w:ind w:left="320"/>
        <w:spacing w:after="0"/>
        <w:rPr>
          <w:sz w:val="20"/>
          <w:szCs w:val="20"/>
          <w:color w:val="auto"/>
        </w:rPr>
      </w:pPr>
      <w:r>
        <w:rPr>
          <w:rFonts w:ascii="Calibri" w:cs="Calibri" w:eastAsia="Calibri" w:hAnsi="Calibri"/>
          <w:sz w:val="18"/>
          <w:szCs w:val="18"/>
          <w:b w:val="1"/>
          <w:bCs w:val="1"/>
          <w:u w:val="single" w:color="auto"/>
          <w:color w:val="auto"/>
        </w:rPr>
        <w:t>Owned</w:t>
      </w:r>
    </w:p>
    <w:p>
      <w:pPr>
        <w:ind w:left="320"/>
        <w:spacing w:after="0" w:line="232" w:lineRule="auto"/>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w:t>
      </w:r>
    </w:p>
    <w:p>
      <w:pPr>
        <w:spacing w:after="0" w:line="193" w:lineRule="exact"/>
        <w:rPr>
          <w:sz w:val="20"/>
          <w:szCs w:val="20"/>
          <w:color w:val="auto"/>
        </w:rPr>
      </w:pPr>
    </w:p>
    <w:p>
      <w:pPr>
        <w:ind w:left="280"/>
        <w:spacing w:after="0"/>
        <w:rPr>
          <w:sz w:val="20"/>
          <w:szCs w:val="20"/>
          <w:color w:val="auto"/>
        </w:rPr>
      </w:pPr>
      <w:r>
        <w:rPr>
          <w:rFonts w:ascii="Calibri" w:cs="Calibri" w:eastAsia="Calibri" w:hAnsi="Calibri"/>
          <w:sz w:val="18"/>
          <w:szCs w:val="18"/>
          <w:color w:val="auto"/>
        </w:rPr>
        <w:t>99.5%</w:t>
      </w:r>
      <w:r>
        <w:rPr>
          <w:rFonts w:ascii="Calibri" w:cs="Calibri" w:eastAsia="Calibri" w:hAnsi="Calibri"/>
          <w:sz w:val="24"/>
          <w:szCs w:val="24"/>
          <w:color w:val="auto"/>
          <w:vertAlign w:val="superscript"/>
        </w:rPr>
        <w:t>[2]</w:t>
      </w:r>
    </w:p>
    <w:p>
      <w:pPr>
        <w:spacing w:after="0" w:line="193" w:lineRule="exact"/>
        <w:rPr>
          <w:sz w:val="20"/>
          <w:szCs w:val="20"/>
          <w:color w:val="auto"/>
        </w:rPr>
      </w:pPr>
    </w:p>
    <w:p>
      <w:pPr>
        <w:ind w:left="280"/>
        <w:spacing w:after="0"/>
        <w:rPr>
          <w:sz w:val="20"/>
          <w:szCs w:val="20"/>
          <w:color w:val="auto"/>
        </w:rPr>
      </w:pPr>
      <w:r>
        <w:rPr>
          <w:rFonts w:ascii="Calibri" w:cs="Calibri" w:eastAsia="Calibri" w:hAnsi="Calibri"/>
          <w:sz w:val="18"/>
          <w:szCs w:val="18"/>
          <w:color w:val="auto"/>
        </w:rPr>
        <w:t>99.5%</w:t>
      </w:r>
      <w:r>
        <w:rPr>
          <w:rFonts w:ascii="Calibri" w:cs="Calibri" w:eastAsia="Calibri" w:hAnsi="Calibri"/>
          <w:sz w:val="24"/>
          <w:szCs w:val="24"/>
          <w:color w:val="auto"/>
          <w:vertAlign w:val="superscript"/>
        </w:rPr>
        <w:t>[3]</w:t>
      </w:r>
    </w:p>
    <w:p>
      <w:pPr>
        <w:spacing w:after="0" w:line="226"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100%</w:t>
      </w:r>
    </w:p>
    <w:p>
      <w:pPr>
        <w:spacing w:after="0" w:line="234"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[4]</w:t>
      </w:r>
    </w:p>
    <w:p>
      <w:pPr>
        <w:spacing w:after="0" w:line="193" w:lineRule="exact"/>
        <w:rPr>
          <w:sz w:val="20"/>
          <w:szCs w:val="20"/>
          <w:color w:val="auto"/>
        </w:rPr>
      </w:pPr>
    </w:p>
    <w:p>
      <w:pPr>
        <w:ind w:left="360"/>
        <w:spacing w:after="0"/>
        <w:rPr>
          <w:sz w:val="20"/>
          <w:szCs w:val="20"/>
          <w:color w:val="auto"/>
        </w:rPr>
      </w:pPr>
      <w:r>
        <w:rPr>
          <w:rFonts w:ascii="Calibri" w:cs="Calibri" w:eastAsia="Calibri" w:hAnsi="Calibri"/>
          <w:sz w:val="18"/>
          <w:szCs w:val="18"/>
          <w:color w:val="auto"/>
        </w:rPr>
        <w:t>50%</w:t>
      </w:r>
      <w:r>
        <w:rPr>
          <w:rFonts w:ascii="Calibri" w:cs="Calibri" w:eastAsia="Calibri" w:hAnsi="Calibri"/>
          <w:sz w:val="24"/>
          <w:szCs w:val="24"/>
          <w:color w:val="auto"/>
          <w:vertAlign w:val="superscript"/>
        </w:rPr>
        <w:t>[5]</w:t>
      </w:r>
    </w:p>
    <w:p>
      <w:pPr>
        <w:spacing w:after="0" w:line="226"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100%</w:t>
      </w:r>
    </w:p>
    <w:p>
      <w:pPr>
        <w:spacing w:after="0" w:line="234"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[6]</w:t>
      </w:r>
    </w:p>
    <w:p>
      <w:pPr>
        <w:spacing w:after="0" w:line="193"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[7]</w:t>
      </w:r>
    </w:p>
    <w:p>
      <w:pPr>
        <w:spacing w:after="0" w:line="193"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[8]</w:t>
      </w:r>
    </w:p>
    <w:p>
      <w:pPr>
        <w:spacing w:after="0" w:line="193"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[9]</w:t>
      </w:r>
    </w:p>
    <w:p>
      <w:pPr>
        <w:spacing w:after="0" w:line="18" w:lineRule="exact"/>
        <w:rPr>
          <w:sz w:val="20"/>
          <w:szCs w:val="20"/>
          <w:color w:val="auto"/>
        </w:rPr>
      </w:pPr>
    </w:p>
    <w:p>
      <w:pPr>
        <w:ind w:left="280"/>
        <w:spacing w:after="0"/>
        <w:rPr>
          <w:sz w:val="20"/>
          <w:szCs w:val="20"/>
          <w:color w:val="auto"/>
        </w:rPr>
      </w:pPr>
      <w:r>
        <w:rPr>
          <w:rFonts w:ascii="Calibri" w:cs="Calibri" w:eastAsia="Calibri" w:hAnsi="Calibri"/>
          <w:sz w:val="35"/>
          <w:szCs w:val="35"/>
          <w:color w:val="auto"/>
          <w:vertAlign w:val="subscript"/>
        </w:rPr>
        <w:t>100%</w:t>
      </w:r>
      <w:r>
        <w:rPr>
          <w:rFonts w:ascii="Calibri" w:cs="Calibri" w:eastAsia="Calibri" w:hAnsi="Calibri"/>
          <w:sz w:val="12"/>
          <w:szCs w:val="12"/>
          <w:color w:val="auto"/>
        </w:rPr>
        <w:t>[10]</w:t>
      </w:r>
    </w:p>
    <w:p>
      <w:pPr>
        <w:spacing w:after="0" w:line="266"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100%</w:t>
      </w:r>
    </w:p>
    <w:p>
      <w:pPr>
        <w:spacing w:after="0" w:line="234" w:lineRule="exact"/>
        <w:rPr>
          <w:sz w:val="20"/>
          <w:szCs w:val="20"/>
          <w:color w:val="auto"/>
        </w:rPr>
      </w:pPr>
    </w:p>
    <w:p>
      <w:pPr>
        <w:ind w:left="28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[11]</w:t>
      </w:r>
    </w:p>
    <w:p>
      <w:pPr>
        <w:spacing w:after="0" w:line="193" w:lineRule="exact"/>
        <w:rPr>
          <w:sz w:val="20"/>
          <w:szCs w:val="20"/>
          <w:color w:val="auto"/>
        </w:rPr>
      </w:pPr>
    </w:p>
    <w:p>
      <w:pPr>
        <w:ind w:left="28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[12]</w:t>
      </w:r>
    </w:p>
    <w:p>
      <w:pPr>
        <w:spacing w:after="0" w:line="226"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100%</w:t>
      </w:r>
    </w:p>
    <w:p>
      <w:pPr>
        <w:spacing w:after="0" w:line="234" w:lineRule="exact"/>
        <w:rPr>
          <w:sz w:val="20"/>
          <w:szCs w:val="20"/>
          <w:color w:val="auto"/>
        </w:rPr>
      </w:pPr>
    </w:p>
    <w:p>
      <w:pPr>
        <w:ind w:left="28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[13]</w:t>
      </w:r>
    </w:p>
    <w:p>
      <w:pPr>
        <w:spacing w:after="0" w:line="226"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100%</w:t>
      </w:r>
    </w:p>
    <w:p>
      <w:pPr>
        <w:spacing w:after="0" w:line="266"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100%</w:t>
      </w:r>
    </w:p>
    <w:p>
      <w:pPr>
        <w:spacing w:after="0" w:line="59" w:lineRule="exact"/>
        <w:rPr>
          <w:sz w:val="20"/>
          <w:szCs w:val="20"/>
          <w:color w:val="auto"/>
        </w:rPr>
      </w:pPr>
    </w:p>
    <w:p>
      <w:pPr>
        <w:ind w:left="280"/>
        <w:spacing w:after="0"/>
        <w:rPr>
          <w:sz w:val="20"/>
          <w:szCs w:val="20"/>
          <w:color w:val="auto"/>
        </w:rPr>
      </w:pPr>
      <w:r>
        <w:rPr>
          <w:rFonts w:ascii="Calibri" w:cs="Calibri" w:eastAsia="Calibri" w:hAnsi="Calibri"/>
          <w:sz w:val="35"/>
          <w:szCs w:val="35"/>
          <w:color w:val="auto"/>
          <w:vertAlign w:val="subscript"/>
        </w:rPr>
        <w:t>100%</w:t>
      </w:r>
      <w:r>
        <w:rPr>
          <w:rFonts w:ascii="Calibri" w:cs="Calibri" w:eastAsia="Calibri" w:hAnsi="Calibri"/>
          <w:sz w:val="12"/>
          <w:szCs w:val="12"/>
          <w:color w:val="auto"/>
        </w:rPr>
        <w:t>[14]</w:t>
      </w:r>
    </w:p>
    <w:p>
      <w:pPr>
        <w:spacing w:after="0" w:line="59" w:lineRule="exact"/>
        <w:rPr>
          <w:sz w:val="20"/>
          <w:szCs w:val="20"/>
          <w:color w:val="auto"/>
        </w:rPr>
      </w:pPr>
    </w:p>
    <w:p>
      <w:pPr>
        <w:ind w:left="280"/>
        <w:spacing w:after="0"/>
        <w:rPr>
          <w:sz w:val="20"/>
          <w:szCs w:val="20"/>
          <w:color w:val="auto"/>
        </w:rPr>
      </w:pPr>
      <w:r>
        <w:rPr>
          <w:rFonts w:ascii="Calibri" w:cs="Calibri" w:eastAsia="Calibri" w:hAnsi="Calibri"/>
          <w:sz w:val="35"/>
          <w:szCs w:val="35"/>
          <w:color w:val="auto"/>
          <w:vertAlign w:val="subscript"/>
        </w:rPr>
        <w:t>100%</w:t>
      </w:r>
      <w:r>
        <w:rPr>
          <w:rFonts w:ascii="Calibri" w:cs="Calibri" w:eastAsia="Calibri" w:hAnsi="Calibri"/>
          <w:sz w:val="12"/>
          <w:szCs w:val="12"/>
          <w:color w:val="auto"/>
        </w:rPr>
        <w:t>[15]</w:t>
      </w:r>
    </w:p>
    <w:p>
      <w:pPr>
        <w:spacing w:after="0" w:line="234" w:lineRule="exact"/>
        <w:rPr>
          <w:sz w:val="20"/>
          <w:szCs w:val="20"/>
          <w:color w:val="auto"/>
        </w:rPr>
      </w:pPr>
    </w:p>
    <w:p>
      <w:pPr>
        <w:ind w:left="28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[16]</w:t>
      </w:r>
    </w:p>
    <w:p>
      <w:pPr>
        <w:spacing w:after="0" w:line="193" w:lineRule="exact"/>
        <w:rPr>
          <w:sz w:val="20"/>
          <w:szCs w:val="20"/>
          <w:color w:val="auto"/>
        </w:rPr>
      </w:pPr>
    </w:p>
    <w:p>
      <w:pPr>
        <w:ind w:left="280"/>
        <w:spacing w:after="0"/>
        <w:rPr>
          <w:sz w:val="20"/>
          <w:szCs w:val="20"/>
          <w:color w:val="auto"/>
        </w:rPr>
      </w:pPr>
      <w:r>
        <w:rPr>
          <w:rFonts w:ascii="Calibri" w:cs="Calibri" w:eastAsia="Calibri" w:hAnsi="Calibri"/>
          <w:sz w:val="18"/>
          <w:szCs w:val="18"/>
          <w:color w:val="auto"/>
        </w:rPr>
        <w:t>100%</w:t>
      </w:r>
      <w:r>
        <w:rPr>
          <w:rFonts w:ascii="Calibri" w:cs="Calibri" w:eastAsia="Calibri" w:hAnsi="Calibri"/>
          <w:sz w:val="24"/>
          <w:szCs w:val="24"/>
          <w:color w:val="auto"/>
          <w:vertAlign w:val="superscript"/>
        </w:rPr>
        <w:t>[17]</w:t>
      </w:r>
    </w:p>
    <w:p>
      <w:pPr>
        <w:spacing w:after="0" w:line="18" w:lineRule="exact"/>
        <w:rPr>
          <w:sz w:val="20"/>
          <w:szCs w:val="20"/>
          <w:color w:val="auto"/>
        </w:rPr>
      </w:pPr>
    </w:p>
    <w:p>
      <w:pPr>
        <w:ind w:left="280"/>
        <w:spacing w:after="0"/>
        <w:rPr>
          <w:sz w:val="20"/>
          <w:szCs w:val="20"/>
          <w:color w:val="auto"/>
        </w:rPr>
      </w:pPr>
      <w:r>
        <w:rPr>
          <w:rFonts w:ascii="Calibri" w:cs="Calibri" w:eastAsia="Calibri" w:hAnsi="Calibri"/>
          <w:sz w:val="35"/>
          <w:szCs w:val="35"/>
          <w:color w:val="auto"/>
          <w:vertAlign w:val="subscript"/>
        </w:rPr>
        <w:t>100%</w:t>
      </w:r>
      <w:r>
        <w:rPr>
          <w:rFonts w:ascii="Calibri" w:cs="Calibri" w:eastAsia="Calibri" w:hAnsi="Calibri"/>
          <w:sz w:val="12"/>
          <w:szCs w:val="12"/>
          <w:color w:val="auto"/>
        </w:rPr>
        <w:t>[18]</w:t>
      </w:r>
    </w:p>
    <w:p>
      <w:pPr>
        <w:spacing w:after="0" w:line="59" w:lineRule="exact"/>
        <w:rPr>
          <w:sz w:val="20"/>
          <w:szCs w:val="20"/>
          <w:color w:val="auto"/>
        </w:rPr>
      </w:pPr>
    </w:p>
    <w:p>
      <w:pPr>
        <w:ind w:left="280"/>
        <w:spacing w:after="0"/>
        <w:rPr>
          <w:sz w:val="20"/>
          <w:szCs w:val="20"/>
          <w:color w:val="auto"/>
        </w:rPr>
      </w:pPr>
      <w:r>
        <w:rPr>
          <w:rFonts w:ascii="Calibri" w:cs="Calibri" w:eastAsia="Calibri" w:hAnsi="Calibri"/>
          <w:sz w:val="35"/>
          <w:szCs w:val="35"/>
          <w:color w:val="auto"/>
          <w:vertAlign w:val="subscript"/>
        </w:rPr>
        <w:t>100%</w:t>
      </w:r>
      <w:r>
        <w:rPr>
          <w:rFonts w:ascii="Calibri" w:cs="Calibri" w:eastAsia="Calibri" w:hAnsi="Calibri"/>
          <w:sz w:val="12"/>
          <w:szCs w:val="12"/>
          <w:color w:val="auto"/>
        </w:rPr>
        <w:t>[19]</w:t>
      </w:r>
    </w:p>
    <w:p>
      <w:pPr>
        <w:spacing w:after="0" w:line="266" w:lineRule="exact"/>
        <w:rPr>
          <w:sz w:val="20"/>
          <w:szCs w:val="20"/>
          <w:color w:val="auto"/>
        </w:rPr>
      </w:pPr>
    </w:p>
    <w:p>
      <w:pPr>
        <w:ind w:left="380"/>
        <w:spacing w:after="0"/>
        <w:rPr>
          <w:sz w:val="20"/>
          <w:szCs w:val="20"/>
          <w:color w:val="auto"/>
        </w:rPr>
      </w:pPr>
      <w:r>
        <w:rPr>
          <w:rFonts w:ascii="Calibri" w:cs="Calibri" w:eastAsia="Calibri" w:hAnsi="Calibri"/>
          <w:sz w:val="18"/>
          <w:szCs w:val="18"/>
          <w:color w:val="auto"/>
        </w:rPr>
        <w:t>100%</w:t>
      </w:r>
    </w:p>
    <w:p>
      <w:pPr>
        <w:sectPr>
          <w:pgSz w:w="11900" w:h="16838" w:orient="portrait"/>
          <w:cols w:equalWidth="0" w:num="2">
            <w:col w:w="9480" w:space="720"/>
            <w:col w:w="1020"/>
          </w:cols>
          <w:pgMar w:left="340" w:top="981"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427"/>
        </w:trPr>
        <w:tc>
          <w:tcPr>
            <w:tcW w:w="8460" w:type="dxa"/>
            <w:vAlign w:val="bottom"/>
          </w:tcPr>
          <w:p>
            <w:pPr>
              <w:spacing w:after="0"/>
              <w:rPr>
                <w:sz w:val="20"/>
                <w:szCs w:val="20"/>
                <w:color w:val="auto"/>
              </w:rPr>
            </w:pPr>
            <w:r>
              <w:rPr>
                <w:rFonts w:ascii="Calibri" w:cs="Calibri" w:eastAsia="Calibri" w:hAnsi="Calibri"/>
                <w:sz w:val="18"/>
                <w:szCs w:val="18"/>
                <w:color w:val="auto"/>
              </w:rPr>
              <w:t>Martn Marieta Fleet Management LLC, a North Carolina limited liability company</w:t>
            </w:r>
          </w:p>
        </w:tc>
        <w:tc>
          <w:tcPr>
            <w:tcW w:w="2600" w:type="dxa"/>
            <w:vAlign w:val="bottom"/>
          </w:tcPr>
          <w:p>
            <w:pPr>
              <w:jc w:val="center"/>
              <w:ind w:left="1935"/>
              <w:spacing w:after="0"/>
              <w:rPr>
                <w:sz w:val="20"/>
                <w:szCs w:val="20"/>
                <w:color w:val="auto"/>
              </w:rPr>
            </w:pPr>
            <w:r>
              <w:rPr>
                <w:rFonts w:ascii="Calibri" w:cs="Calibri" w:eastAsia="Calibri" w:hAnsi="Calibri"/>
                <w:sz w:val="35"/>
                <w:szCs w:val="35"/>
                <w:color w:val="auto"/>
                <w:w w:val="80"/>
                <w:vertAlign w:val="subscript"/>
              </w:rPr>
              <w:t>100%</w:t>
            </w:r>
            <w:r>
              <w:rPr>
                <w:rFonts w:ascii="Calibri" w:cs="Calibri" w:eastAsia="Calibri" w:hAnsi="Calibri"/>
                <w:sz w:val="12"/>
                <w:szCs w:val="12"/>
                <w:color w:val="auto"/>
                <w:w w:val="80"/>
              </w:rPr>
              <w:t>[20]</w:t>
            </w:r>
          </w:p>
        </w:tc>
      </w:tr>
      <w:tr>
        <w:trPr>
          <w:trHeight w:val="486"/>
        </w:trPr>
        <w:tc>
          <w:tcPr>
            <w:tcW w:w="8460" w:type="dxa"/>
            <w:vAlign w:val="bottom"/>
          </w:tcPr>
          <w:p>
            <w:pPr>
              <w:spacing w:after="0"/>
              <w:rPr>
                <w:sz w:val="20"/>
                <w:szCs w:val="20"/>
                <w:color w:val="auto"/>
              </w:rPr>
            </w:pPr>
            <w:r>
              <w:rPr>
                <w:rFonts w:ascii="Calibri" w:cs="Calibri" w:eastAsia="Calibri" w:hAnsi="Calibri"/>
                <w:sz w:val="18"/>
                <w:szCs w:val="18"/>
                <w:color w:val="auto"/>
              </w:rPr>
              <w:t>Martn Marieta Funding LLC, a Delaware limited liability company</w:t>
            </w:r>
          </w:p>
        </w:tc>
        <w:tc>
          <w:tcPr>
            <w:tcW w:w="2600" w:type="dxa"/>
            <w:vAlign w:val="bottom"/>
          </w:tcPr>
          <w:p>
            <w:pPr>
              <w:jc w:val="center"/>
              <w:ind w:left="1955"/>
              <w:spacing w:after="0"/>
              <w:rPr>
                <w:sz w:val="20"/>
                <w:szCs w:val="20"/>
                <w:color w:val="auto"/>
              </w:rPr>
            </w:pPr>
            <w:r>
              <w:rPr>
                <w:rFonts w:ascii="Calibri" w:cs="Calibri" w:eastAsia="Calibri" w:hAnsi="Calibri"/>
                <w:sz w:val="18"/>
                <w:szCs w:val="18"/>
                <w:color w:val="auto"/>
                <w:w w:val="99"/>
              </w:rPr>
              <w:t>100%</w:t>
            </w:r>
          </w:p>
        </w:tc>
      </w:tr>
      <w:tr>
        <w:trPr>
          <w:trHeight w:val="486"/>
        </w:trPr>
        <w:tc>
          <w:tcPr>
            <w:tcW w:w="8460" w:type="dxa"/>
            <w:vAlign w:val="bottom"/>
          </w:tcPr>
          <w:p>
            <w:pPr>
              <w:spacing w:after="0"/>
              <w:rPr>
                <w:sz w:val="20"/>
                <w:szCs w:val="20"/>
                <w:color w:val="auto"/>
              </w:rPr>
            </w:pPr>
            <w:r>
              <w:rPr>
                <w:rFonts w:ascii="Calibri" w:cs="Calibri" w:eastAsia="Calibri" w:hAnsi="Calibri"/>
                <w:sz w:val="18"/>
                <w:szCs w:val="18"/>
                <w:color w:val="auto"/>
              </w:rPr>
              <w:t>Martn Marieta Inc., a North Carolina corporaton</w:t>
            </w:r>
          </w:p>
        </w:tc>
        <w:tc>
          <w:tcPr>
            <w:tcW w:w="2600" w:type="dxa"/>
            <w:vAlign w:val="bottom"/>
          </w:tcPr>
          <w:p>
            <w:pPr>
              <w:jc w:val="center"/>
              <w:ind w:left="1955"/>
              <w:spacing w:after="0"/>
              <w:rPr>
                <w:sz w:val="20"/>
                <w:szCs w:val="20"/>
                <w:color w:val="auto"/>
              </w:rPr>
            </w:pPr>
            <w:r>
              <w:rPr>
                <w:rFonts w:ascii="Calibri" w:cs="Calibri" w:eastAsia="Calibri" w:hAnsi="Calibri"/>
                <w:sz w:val="18"/>
                <w:szCs w:val="18"/>
                <w:color w:val="auto"/>
                <w:w w:val="99"/>
              </w:rPr>
              <w:t>100%</w:t>
            </w:r>
          </w:p>
        </w:tc>
      </w:tr>
      <w:tr>
        <w:trPr>
          <w:trHeight w:val="527"/>
        </w:trPr>
        <w:tc>
          <w:tcPr>
            <w:tcW w:w="8460" w:type="dxa"/>
            <w:vAlign w:val="bottom"/>
          </w:tcPr>
          <w:p>
            <w:pPr>
              <w:spacing w:after="0"/>
              <w:rPr>
                <w:sz w:val="20"/>
                <w:szCs w:val="20"/>
                <w:color w:val="auto"/>
              </w:rPr>
            </w:pPr>
            <w:r>
              <w:rPr>
                <w:rFonts w:ascii="Calibri" w:cs="Calibri" w:eastAsia="Calibri" w:hAnsi="Calibri"/>
                <w:sz w:val="18"/>
                <w:szCs w:val="18"/>
                <w:color w:val="auto"/>
              </w:rPr>
              <w:t>Martn Marieta Kansas City, LLC, a Delaware limited liability company</w:t>
            </w:r>
          </w:p>
        </w:tc>
        <w:tc>
          <w:tcPr>
            <w:tcW w:w="2600" w:type="dxa"/>
            <w:vAlign w:val="bottom"/>
          </w:tcPr>
          <w:p>
            <w:pPr>
              <w:jc w:val="center"/>
              <w:ind w:left="1935"/>
              <w:spacing w:after="0"/>
              <w:rPr>
                <w:sz w:val="20"/>
                <w:szCs w:val="20"/>
                <w:color w:val="auto"/>
              </w:rPr>
            </w:pPr>
            <w:r>
              <w:rPr>
                <w:rFonts w:ascii="Calibri" w:cs="Calibri" w:eastAsia="Calibri" w:hAnsi="Calibri"/>
                <w:sz w:val="18"/>
                <w:szCs w:val="18"/>
                <w:color w:val="auto"/>
                <w:w w:val="87"/>
              </w:rPr>
              <w:t>100%</w:t>
            </w:r>
            <w:r>
              <w:rPr>
                <w:rFonts w:ascii="Calibri" w:cs="Calibri" w:eastAsia="Calibri" w:hAnsi="Calibri"/>
                <w:sz w:val="24"/>
                <w:szCs w:val="24"/>
                <w:color w:val="auto"/>
                <w:w w:val="87"/>
                <w:vertAlign w:val="superscript"/>
              </w:rPr>
              <w:t>[21]</w:t>
            </w:r>
          </w:p>
        </w:tc>
      </w:tr>
      <w:tr>
        <w:trPr>
          <w:trHeight w:val="445"/>
        </w:trPr>
        <w:tc>
          <w:tcPr>
            <w:tcW w:w="8460" w:type="dxa"/>
            <w:vAlign w:val="bottom"/>
          </w:tcPr>
          <w:p>
            <w:pPr>
              <w:spacing w:after="0"/>
              <w:rPr>
                <w:sz w:val="20"/>
                <w:szCs w:val="20"/>
                <w:color w:val="auto"/>
              </w:rPr>
            </w:pPr>
            <w:r>
              <w:rPr>
                <w:rFonts w:ascii="Calibri" w:cs="Calibri" w:eastAsia="Calibri" w:hAnsi="Calibri"/>
                <w:sz w:val="18"/>
                <w:szCs w:val="18"/>
                <w:color w:val="auto"/>
              </w:rPr>
              <w:t>Martn Marieta Magnesia Specialtes, LLC, a Delaware limited liability company</w:t>
            </w:r>
          </w:p>
        </w:tc>
        <w:tc>
          <w:tcPr>
            <w:tcW w:w="2600" w:type="dxa"/>
            <w:vAlign w:val="bottom"/>
          </w:tcPr>
          <w:p>
            <w:pPr>
              <w:jc w:val="center"/>
              <w:ind w:left="1955"/>
              <w:spacing w:after="0"/>
              <w:rPr>
                <w:sz w:val="20"/>
                <w:szCs w:val="20"/>
                <w:color w:val="auto"/>
              </w:rPr>
            </w:pPr>
            <w:r>
              <w:rPr>
                <w:rFonts w:ascii="Calibri" w:cs="Calibri" w:eastAsia="Calibri" w:hAnsi="Calibri"/>
                <w:sz w:val="18"/>
                <w:szCs w:val="18"/>
                <w:color w:val="auto"/>
                <w:w w:val="99"/>
              </w:rPr>
              <w:t>100%</w:t>
            </w:r>
          </w:p>
        </w:tc>
      </w:tr>
      <w:tr>
        <w:trPr>
          <w:trHeight w:val="486"/>
        </w:trPr>
        <w:tc>
          <w:tcPr>
            <w:tcW w:w="8460" w:type="dxa"/>
            <w:vAlign w:val="bottom"/>
          </w:tcPr>
          <w:p>
            <w:pPr>
              <w:spacing w:after="0"/>
              <w:rPr>
                <w:sz w:val="20"/>
                <w:szCs w:val="20"/>
                <w:color w:val="auto"/>
              </w:rPr>
            </w:pPr>
            <w:r>
              <w:rPr>
                <w:rFonts w:ascii="Calibri" w:cs="Calibri" w:eastAsia="Calibri" w:hAnsi="Calibri"/>
                <w:sz w:val="18"/>
                <w:szCs w:val="18"/>
                <w:color w:val="auto"/>
              </w:rPr>
              <w:t>Martn Marieta Marine Finance, LLC, a California limited liability company</w:t>
            </w:r>
          </w:p>
        </w:tc>
        <w:tc>
          <w:tcPr>
            <w:tcW w:w="2600" w:type="dxa"/>
            <w:vAlign w:val="bottom"/>
          </w:tcPr>
          <w:p>
            <w:pPr>
              <w:jc w:val="center"/>
              <w:ind w:left="1935"/>
              <w:spacing w:after="0"/>
              <w:rPr>
                <w:sz w:val="20"/>
                <w:szCs w:val="20"/>
                <w:color w:val="auto"/>
              </w:rPr>
            </w:pPr>
            <w:r>
              <w:rPr>
                <w:rFonts w:ascii="Calibri" w:cs="Calibri" w:eastAsia="Calibri" w:hAnsi="Calibri"/>
                <w:sz w:val="35"/>
                <w:szCs w:val="35"/>
                <w:color w:val="auto"/>
                <w:w w:val="80"/>
                <w:vertAlign w:val="subscript"/>
              </w:rPr>
              <w:t>100%</w:t>
            </w:r>
            <w:r>
              <w:rPr>
                <w:rFonts w:ascii="Calibri" w:cs="Calibri" w:eastAsia="Calibri" w:hAnsi="Calibri"/>
                <w:sz w:val="12"/>
                <w:szCs w:val="12"/>
                <w:color w:val="auto"/>
                <w:w w:val="80"/>
              </w:rPr>
              <w:t>[22]</w:t>
            </w:r>
          </w:p>
        </w:tc>
      </w:tr>
      <w:tr>
        <w:trPr>
          <w:trHeight w:val="527"/>
        </w:trPr>
        <w:tc>
          <w:tcPr>
            <w:tcW w:w="8460" w:type="dxa"/>
            <w:vAlign w:val="bottom"/>
          </w:tcPr>
          <w:p>
            <w:pPr>
              <w:spacing w:after="0"/>
              <w:rPr>
                <w:sz w:val="20"/>
                <w:szCs w:val="20"/>
                <w:color w:val="auto"/>
              </w:rPr>
            </w:pPr>
            <w:r>
              <w:rPr>
                <w:rFonts w:ascii="Calibri" w:cs="Calibri" w:eastAsia="Calibri" w:hAnsi="Calibri"/>
                <w:sz w:val="18"/>
                <w:szCs w:val="18"/>
                <w:color w:val="auto"/>
              </w:rPr>
              <w:t>Martn Marieta Marine Operatons, LLC, a California limited liability company</w:t>
            </w:r>
          </w:p>
        </w:tc>
        <w:tc>
          <w:tcPr>
            <w:tcW w:w="2600" w:type="dxa"/>
            <w:vAlign w:val="bottom"/>
          </w:tcPr>
          <w:p>
            <w:pPr>
              <w:jc w:val="center"/>
              <w:ind w:left="1935"/>
              <w:spacing w:after="0"/>
              <w:rPr>
                <w:sz w:val="20"/>
                <w:szCs w:val="20"/>
                <w:color w:val="auto"/>
              </w:rPr>
            </w:pPr>
            <w:r>
              <w:rPr>
                <w:rFonts w:ascii="Calibri" w:cs="Calibri" w:eastAsia="Calibri" w:hAnsi="Calibri"/>
                <w:sz w:val="18"/>
                <w:szCs w:val="18"/>
                <w:color w:val="auto"/>
                <w:w w:val="87"/>
              </w:rPr>
              <w:t>100%</w:t>
            </w:r>
            <w:r>
              <w:rPr>
                <w:rFonts w:ascii="Calibri" w:cs="Calibri" w:eastAsia="Calibri" w:hAnsi="Calibri"/>
                <w:sz w:val="24"/>
                <w:szCs w:val="24"/>
                <w:color w:val="auto"/>
                <w:w w:val="87"/>
                <w:vertAlign w:val="superscript"/>
              </w:rPr>
              <w:t>[23]</w:t>
            </w:r>
          </w:p>
        </w:tc>
      </w:tr>
      <w:tr>
        <w:trPr>
          <w:trHeight w:val="445"/>
        </w:trPr>
        <w:tc>
          <w:tcPr>
            <w:tcW w:w="8460" w:type="dxa"/>
            <w:vAlign w:val="bottom"/>
          </w:tcPr>
          <w:p>
            <w:pPr>
              <w:spacing w:after="0"/>
              <w:rPr>
                <w:sz w:val="20"/>
                <w:szCs w:val="20"/>
                <w:color w:val="auto"/>
              </w:rPr>
            </w:pPr>
            <w:r>
              <w:rPr>
                <w:rFonts w:ascii="Calibri" w:cs="Calibri" w:eastAsia="Calibri" w:hAnsi="Calibri"/>
                <w:sz w:val="18"/>
                <w:szCs w:val="18"/>
                <w:color w:val="auto"/>
              </w:rPr>
              <w:t>Martn Marieta Materials Canada Limited, a Nova Scota, Canada corporaton</w:t>
            </w:r>
          </w:p>
        </w:tc>
        <w:tc>
          <w:tcPr>
            <w:tcW w:w="2600" w:type="dxa"/>
            <w:vAlign w:val="bottom"/>
          </w:tcPr>
          <w:p>
            <w:pPr>
              <w:jc w:val="center"/>
              <w:ind w:left="1955"/>
              <w:spacing w:after="0"/>
              <w:rPr>
                <w:sz w:val="20"/>
                <w:szCs w:val="20"/>
                <w:color w:val="auto"/>
              </w:rPr>
            </w:pPr>
            <w:r>
              <w:rPr>
                <w:rFonts w:ascii="Calibri" w:cs="Calibri" w:eastAsia="Calibri" w:hAnsi="Calibri"/>
                <w:sz w:val="18"/>
                <w:szCs w:val="18"/>
                <w:color w:val="auto"/>
                <w:w w:val="99"/>
              </w:rPr>
              <w:t>100%</w:t>
            </w:r>
          </w:p>
        </w:tc>
      </w:tr>
      <w:tr>
        <w:trPr>
          <w:trHeight w:val="486"/>
        </w:trPr>
        <w:tc>
          <w:tcPr>
            <w:tcW w:w="8460" w:type="dxa"/>
            <w:vAlign w:val="bottom"/>
          </w:tcPr>
          <w:p>
            <w:pPr>
              <w:spacing w:after="0"/>
              <w:rPr>
                <w:sz w:val="20"/>
                <w:szCs w:val="20"/>
                <w:color w:val="auto"/>
              </w:rPr>
            </w:pPr>
            <w:r>
              <w:rPr>
                <w:rFonts w:ascii="Calibri" w:cs="Calibri" w:eastAsia="Calibri" w:hAnsi="Calibri"/>
                <w:sz w:val="18"/>
                <w:szCs w:val="18"/>
                <w:color w:val="auto"/>
              </w:rPr>
              <w:t>Martn Marieta Materials of Missouri, Inc., a North Carolina corporaton</w:t>
            </w:r>
          </w:p>
        </w:tc>
        <w:tc>
          <w:tcPr>
            <w:tcW w:w="2600" w:type="dxa"/>
            <w:vAlign w:val="bottom"/>
          </w:tcPr>
          <w:p>
            <w:pPr>
              <w:jc w:val="center"/>
              <w:ind w:left="1955"/>
              <w:spacing w:after="0"/>
              <w:rPr>
                <w:sz w:val="20"/>
                <w:szCs w:val="20"/>
                <w:color w:val="auto"/>
              </w:rPr>
            </w:pPr>
            <w:r>
              <w:rPr>
                <w:rFonts w:ascii="Calibri" w:cs="Calibri" w:eastAsia="Calibri" w:hAnsi="Calibri"/>
                <w:sz w:val="18"/>
                <w:szCs w:val="18"/>
                <w:color w:val="auto"/>
                <w:w w:val="99"/>
              </w:rPr>
              <w:t>100%</w:t>
            </w:r>
          </w:p>
        </w:tc>
      </w:tr>
      <w:tr>
        <w:trPr>
          <w:trHeight w:val="486"/>
        </w:trPr>
        <w:tc>
          <w:tcPr>
            <w:tcW w:w="8460" w:type="dxa"/>
            <w:vAlign w:val="bottom"/>
          </w:tcPr>
          <w:p>
            <w:pPr>
              <w:spacing w:after="0"/>
              <w:rPr>
                <w:sz w:val="20"/>
                <w:szCs w:val="20"/>
                <w:color w:val="auto"/>
              </w:rPr>
            </w:pPr>
            <w:r>
              <w:rPr>
                <w:rFonts w:ascii="Calibri" w:cs="Calibri" w:eastAsia="Calibri" w:hAnsi="Calibri"/>
                <w:sz w:val="18"/>
                <w:szCs w:val="18"/>
                <w:color w:val="auto"/>
              </w:rPr>
              <w:t>Martn Marieta Materials Real Estate Investments, Inc., a North Carolina corporaton</w:t>
            </w:r>
          </w:p>
        </w:tc>
        <w:tc>
          <w:tcPr>
            <w:tcW w:w="2600" w:type="dxa"/>
            <w:vAlign w:val="bottom"/>
          </w:tcPr>
          <w:p>
            <w:pPr>
              <w:jc w:val="center"/>
              <w:ind w:left="1955"/>
              <w:spacing w:after="0"/>
              <w:rPr>
                <w:sz w:val="20"/>
                <w:szCs w:val="20"/>
                <w:color w:val="auto"/>
              </w:rPr>
            </w:pPr>
            <w:r>
              <w:rPr>
                <w:rFonts w:ascii="Calibri" w:cs="Calibri" w:eastAsia="Calibri" w:hAnsi="Calibri"/>
                <w:sz w:val="18"/>
                <w:szCs w:val="18"/>
                <w:color w:val="auto"/>
                <w:w w:val="99"/>
              </w:rPr>
              <w:t>100%</w:t>
            </w:r>
          </w:p>
        </w:tc>
      </w:tr>
      <w:tr>
        <w:trPr>
          <w:trHeight w:val="486"/>
        </w:trPr>
        <w:tc>
          <w:tcPr>
            <w:tcW w:w="8460" w:type="dxa"/>
            <w:vAlign w:val="bottom"/>
          </w:tcPr>
          <w:p>
            <w:pPr>
              <w:spacing w:after="0"/>
              <w:rPr>
                <w:sz w:val="20"/>
                <w:szCs w:val="20"/>
                <w:color w:val="auto"/>
              </w:rPr>
            </w:pPr>
            <w:r>
              <w:rPr>
                <w:rFonts w:ascii="Calibri" w:cs="Calibri" w:eastAsia="Calibri" w:hAnsi="Calibri"/>
                <w:sz w:val="18"/>
                <w:szCs w:val="18"/>
                <w:color w:val="auto"/>
              </w:rPr>
              <w:t>Martn Marieta Materials Southwest, LLC, a Delaware limited liability company</w:t>
            </w:r>
          </w:p>
        </w:tc>
        <w:tc>
          <w:tcPr>
            <w:tcW w:w="2600" w:type="dxa"/>
            <w:vAlign w:val="bottom"/>
          </w:tcPr>
          <w:p>
            <w:pPr>
              <w:jc w:val="center"/>
              <w:ind w:left="1955"/>
              <w:spacing w:after="0"/>
              <w:rPr>
                <w:sz w:val="20"/>
                <w:szCs w:val="20"/>
                <w:color w:val="auto"/>
              </w:rPr>
            </w:pPr>
            <w:r>
              <w:rPr>
                <w:rFonts w:ascii="Calibri" w:cs="Calibri" w:eastAsia="Calibri" w:hAnsi="Calibri"/>
                <w:sz w:val="18"/>
                <w:szCs w:val="18"/>
                <w:color w:val="auto"/>
                <w:w w:val="99"/>
              </w:rPr>
              <w:t>100%</w:t>
            </w:r>
          </w:p>
        </w:tc>
      </w:tr>
      <w:tr>
        <w:trPr>
          <w:trHeight w:val="486"/>
        </w:trPr>
        <w:tc>
          <w:tcPr>
            <w:tcW w:w="8460" w:type="dxa"/>
            <w:vAlign w:val="bottom"/>
          </w:tcPr>
          <w:p>
            <w:pPr>
              <w:spacing w:after="0"/>
              <w:rPr>
                <w:sz w:val="20"/>
                <w:szCs w:val="20"/>
                <w:color w:val="auto"/>
              </w:rPr>
            </w:pPr>
            <w:r>
              <w:rPr>
                <w:rFonts w:ascii="Calibri" w:cs="Calibri" w:eastAsia="Calibri" w:hAnsi="Calibri"/>
                <w:sz w:val="18"/>
                <w:szCs w:val="18"/>
                <w:color w:val="auto"/>
              </w:rPr>
              <w:t>Martn Marieta Materials West Division, LLC, a North Carolina limited liability company</w:t>
            </w:r>
          </w:p>
        </w:tc>
        <w:tc>
          <w:tcPr>
            <w:tcW w:w="2600" w:type="dxa"/>
            <w:vAlign w:val="bottom"/>
          </w:tcPr>
          <w:p>
            <w:pPr>
              <w:jc w:val="center"/>
              <w:ind w:left="1955"/>
              <w:spacing w:after="0"/>
              <w:rPr>
                <w:sz w:val="20"/>
                <w:szCs w:val="20"/>
                <w:color w:val="auto"/>
              </w:rPr>
            </w:pPr>
            <w:r>
              <w:rPr>
                <w:rFonts w:ascii="Calibri" w:cs="Calibri" w:eastAsia="Calibri" w:hAnsi="Calibri"/>
                <w:sz w:val="18"/>
                <w:szCs w:val="18"/>
                <w:color w:val="auto"/>
                <w:w w:val="99"/>
              </w:rPr>
              <w:t>100%</w:t>
            </w:r>
          </w:p>
        </w:tc>
      </w:tr>
      <w:tr>
        <w:trPr>
          <w:trHeight w:val="486"/>
        </w:trPr>
        <w:tc>
          <w:tcPr>
            <w:tcW w:w="8460" w:type="dxa"/>
            <w:vAlign w:val="bottom"/>
          </w:tcPr>
          <w:p>
            <w:pPr>
              <w:spacing w:after="0"/>
              <w:rPr>
                <w:sz w:val="20"/>
                <w:szCs w:val="20"/>
                <w:color w:val="auto"/>
              </w:rPr>
            </w:pPr>
            <w:r>
              <w:rPr>
                <w:rFonts w:ascii="Calibri" w:cs="Calibri" w:eastAsia="Calibri" w:hAnsi="Calibri"/>
                <w:sz w:val="18"/>
                <w:szCs w:val="18"/>
                <w:color w:val="auto"/>
              </w:rPr>
              <w:t>Martn Marieta Northern California Aggregates, LLC, a Delaware limited liability company</w:t>
            </w:r>
          </w:p>
        </w:tc>
        <w:tc>
          <w:tcPr>
            <w:tcW w:w="2600" w:type="dxa"/>
            <w:vAlign w:val="bottom"/>
          </w:tcPr>
          <w:p>
            <w:pPr>
              <w:jc w:val="center"/>
              <w:ind w:left="1935"/>
              <w:spacing w:after="0"/>
              <w:rPr>
                <w:sz w:val="20"/>
                <w:szCs w:val="20"/>
                <w:color w:val="auto"/>
              </w:rPr>
            </w:pPr>
            <w:r>
              <w:rPr>
                <w:rFonts w:ascii="Calibri" w:cs="Calibri" w:eastAsia="Calibri" w:hAnsi="Calibri"/>
                <w:sz w:val="35"/>
                <w:szCs w:val="35"/>
                <w:color w:val="auto"/>
                <w:w w:val="80"/>
                <w:vertAlign w:val="subscript"/>
              </w:rPr>
              <w:t>100%</w:t>
            </w:r>
            <w:r>
              <w:rPr>
                <w:rFonts w:ascii="Calibri" w:cs="Calibri" w:eastAsia="Calibri" w:hAnsi="Calibri"/>
                <w:sz w:val="12"/>
                <w:szCs w:val="12"/>
                <w:color w:val="auto"/>
                <w:w w:val="80"/>
              </w:rPr>
              <w:t>[24]</w:t>
            </w:r>
          </w:p>
        </w:tc>
      </w:tr>
      <w:tr>
        <w:trPr>
          <w:trHeight w:val="486"/>
        </w:trPr>
        <w:tc>
          <w:tcPr>
            <w:tcW w:w="8460" w:type="dxa"/>
            <w:vAlign w:val="bottom"/>
          </w:tcPr>
          <w:p>
            <w:pPr>
              <w:spacing w:after="0"/>
              <w:rPr>
                <w:sz w:val="20"/>
                <w:szCs w:val="20"/>
                <w:color w:val="auto"/>
              </w:rPr>
            </w:pPr>
            <w:r>
              <w:rPr>
                <w:rFonts w:ascii="Calibri" w:cs="Calibri" w:eastAsia="Calibri" w:hAnsi="Calibri"/>
                <w:sz w:val="18"/>
                <w:szCs w:val="18"/>
                <w:color w:val="auto"/>
              </w:rPr>
              <w:t>Martn Marieta North Texas Cement, LLC, a Delaware limited liability company</w:t>
            </w:r>
          </w:p>
        </w:tc>
        <w:tc>
          <w:tcPr>
            <w:tcW w:w="2600" w:type="dxa"/>
            <w:vAlign w:val="bottom"/>
          </w:tcPr>
          <w:p>
            <w:pPr>
              <w:jc w:val="center"/>
              <w:ind w:left="1955"/>
              <w:spacing w:after="0"/>
              <w:rPr>
                <w:sz w:val="20"/>
                <w:szCs w:val="20"/>
                <w:color w:val="auto"/>
              </w:rPr>
            </w:pPr>
            <w:r>
              <w:rPr>
                <w:rFonts w:ascii="Calibri" w:cs="Calibri" w:eastAsia="Calibri" w:hAnsi="Calibri"/>
                <w:sz w:val="18"/>
                <w:szCs w:val="18"/>
                <w:color w:val="auto"/>
                <w:w w:val="99"/>
              </w:rPr>
              <w:t>100%</w:t>
            </w:r>
          </w:p>
        </w:tc>
      </w:tr>
      <w:tr>
        <w:trPr>
          <w:trHeight w:val="527"/>
        </w:trPr>
        <w:tc>
          <w:tcPr>
            <w:tcW w:w="8460" w:type="dxa"/>
            <w:vAlign w:val="bottom"/>
          </w:tcPr>
          <w:p>
            <w:pPr>
              <w:spacing w:after="0"/>
              <w:rPr>
                <w:sz w:val="20"/>
                <w:szCs w:val="20"/>
                <w:color w:val="auto"/>
              </w:rPr>
            </w:pPr>
            <w:r>
              <w:rPr>
                <w:rFonts w:ascii="Calibri" w:cs="Calibri" w:eastAsia="Calibri" w:hAnsi="Calibri"/>
                <w:sz w:val="18"/>
                <w:szCs w:val="18"/>
                <w:color w:val="auto"/>
              </w:rPr>
              <w:t>Martn Marieta Pacifc District Cement LLC, a Delaware limited liability company</w:t>
            </w:r>
          </w:p>
        </w:tc>
        <w:tc>
          <w:tcPr>
            <w:tcW w:w="2600" w:type="dxa"/>
            <w:vAlign w:val="bottom"/>
          </w:tcPr>
          <w:p>
            <w:pPr>
              <w:jc w:val="center"/>
              <w:ind w:left="1935"/>
              <w:spacing w:after="0"/>
              <w:rPr>
                <w:sz w:val="20"/>
                <w:szCs w:val="20"/>
                <w:color w:val="auto"/>
              </w:rPr>
            </w:pPr>
            <w:r>
              <w:rPr>
                <w:rFonts w:ascii="Calibri" w:cs="Calibri" w:eastAsia="Calibri" w:hAnsi="Calibri"/>
                <w:sz w:val="18"/>
                <w:szCs w:val="18"/>
                <w:color w:val="auto"/>
                <w:w w:val="87"/>
              </w:rPr>
              <w:t>100%</w:t>
            </w:r>
            <w:r>
              <w:rPr>
                <w:rFonts w:ascii="Calibri" w:cs="Calibri" w:eastAsia="Calibri" w:hAnsi="Calibri"/>
                <w:sz w:val="24"/>
                <w:szCs w:val="24"/>
                <w:color w:val="auto"/>
                <w:w w:val="87"/>
                <w:vertAlign w:val="superscript"/>
              </w:rPr>
              <w:t>[25]</w:t>
            </w:r>
          </w:p>
        </w:tc>
      </w:tr>
      <w:tr>
        <w:trPr>
          <w:trHeight w:val="486"/>
        </w:trPr>
        <w:tc>
          <w:tcPr>
            <w:tcW w:w="8460" w:type="dxa"/>
            <w:vAlign w:val="bottom"/>
          </w:tcPr>
          <w:p>
            <w:pPr>
              <w:spacing w:after="0"/>
              <w:rPr>
                <w:sz w:val="20"/>
                <w:szCs w:val="20"/>
                <w:color w:val="auto"/>
              </w:rPr>
            </w:pPr>
            <w:r>
              <w:rPr>
                <w:rFonts w:ascii="Calibri" w:cs="Calibri" w:eastAsia="Calibri" w:hAnsi="Calibri"/>
                <w:sz w:val="18"/>
                <w:szCs w:val="18"/>
                <w:color w:val="auto"/>
              </w:rPr>
              <w:t>Martn Marieta San Diego Aggregates LLC, a California limited liability company</w:t>
            </w:r>
          </w:p>
        </w:tc>
        <w:tc>
          <w:tcPr>
            <w:tcW w:w="2600" w:type="dxa"/>
            <w:vAlign w:val="bottom"/>
          </w:tcPr>
          <w:p>
            <w:pPr>
              <w:jc w:val="center"/>
              <w:ind w:left="1935"/>
              <w:spacing w:after="0"/>
              <w:rPr>
                <w:sz w:val="20"/>
                <w:szCs w:val="20"/>
                <w:color w:val="auto"/>
              </w:rPr>
            </w:pPr>
            <w:r>
              <w:rPr>
                <w:rFonts w:ascii="Calibri" w:cs="Calibri" w:eastAsia="Calibri" w:hAnsi="Calibri"/>
                <w:sz w:val="18"/>
                <w:szCs w:val="18"/>
                <w:color w:val="auto"/>
                <w:w w:val="87"/>
              </w:rPr>
              <w:t>100%</w:t>
            </w:r>
            <w:r>
              <w:rPr>
                <w:rFonts w:ascii="Calibri" w:cs="Calibri" w:eastAsia="Calibri" w:hAnsi="Calibri"/>
                <w:sz w:val="24"/>
                <w:szCs w:val="24"/>
                <w:color w:val="auto"/>
                <w:w w:val="87"/>
                <w:vertAlign w:val="superscript"/>
              </w:rPr>
              <w:t>[26]</w:t>
            </w:r>
          </w:p>
        </w:tc>
      </w:tr>
      <w:tr>
        <w:trPr>
          <w:trHeight w:val="486"/>
        </w:trPr>
        <w:tc>
          <w:tcPr>
            <w:tcW w:w="8460" w:type="dxa"/>
            <w:vAlign w:val="bottom"/>
          </w:tcPr>
          <w:p>
            <w:pPr>
              <w:spacing w:after="0"/>
              <w:rPr>
                <w:sz w:val="20"/>
                <w:szCs w:val="20"/>
                <w:color w:val="auto"/>
              </w:rPr>
            </w:pPr>
            <w:r>
              <w:rPr>
                <w:rFonts w:ascii="Calibri" w:cs="Calibri" w:eastAsia="Calibri" w:hAnsi="Calibri"/>
                <w:sz w:val="18"/>
                <w:szCs w:val="18"/>
                <w:color w:val="auto"/>
              </w:rPr>
              <w:t>Martn Marieta Southern California Aggregates, LLC, a Delaware limited liability company</w:t>
            </w:r>
          </w:p>
        </w:tc>
        <w:tc>
          <w:tcPr>
            <w:tcW w:w="2600" w:type="dxa"/>
            <w:vAlign w:val="bottom"/>
          </w:tcPr>
          <w:p>
            <w:pPr>
              <w:jc w:val="center"/>
              <w:ind w:left="1935"/>
              <w:spacing w:after="0"/>
              <w:rPr>
                <w:sz w:val="20"/>
                <w:szCs w:val="20"/>
                <w:color w:val="auto"/>
              </w:rPr>
            </w:pPr>
            <w:r>
              <w:rPr>
                <w:rFonts w:ascii="Calibri" w:cs="Calibri" w:eastAsia="Calibri" w:hAnsi="Calibri"/>
                <w:sz w:val="18"/>
                <w:szCs w:val="18"/>
                <w:color w:val="auto"/>
                <w:w w:val="87"/>
              </w:rPr>
              <w:t>100%</w:t>
            </w:r>
            <w:r>
              <w:rPr>
                <w:rFonts w:ascii="Calibri" w:cs="Calibri" w:eastAsia="Calibri" w:hAnsi="Calibri"/>
                <w:sz w:val="24"/>
                <w:szCs w:val="24"/>
                <w:color w:val="auto"/>
                <w:w w:val="87"/>
                <w:vertAlign w:val="superscript"/>
              </w:rPr>
              <w:t>[27]</w:t>
            </w:r>
          </w:p>
        </w:tc>
      </w:tr>
      <w:tr>
        <w:trPr>
          <w:trHeight w:val="445"/>
        </w:trPr>
        <w:tc>
          <w:tcPr>
            <w:tcW w:w="8460" w:type="dxa"/>
            <w:vAlign w:val="bottom"/>
          </w:tcPr>
          <w:p>
            <w:pPr>
              <w:spacing w:after="0"/>
              <w:rPr>
                <w:sz w:val="20"/>
                <w:szCs w:val="20"/>
                <w:color w:val="auto"/>
              </w:rPr>
            </w:pPr>
            <w:r>
              <w:rPr>
                <w:rFonts w:ascii="Calibri" w:cs="Calibri" w:eastAsia="Calibri" w:hAnsi="Calibri"/>
                <w:sz w:val="18"/>
                <w:szCs w:val="18"/>
                <w:color w:val="auto"/>
              </w:rPr>
              <w:t>Martn Marieta South Texas Cement, LLC, a Delaware limited liability company</w:t>
            </w:r>
          </w:p>
        </w:tc>
        <w:tc>
          <w:tcPr>
            <w:tcW w:w="2600" w:type="dxa"/>
            <w:vAlign w:val="bottom"/>
          </w:tcPr>
          <w:p>
            <w:pPr>
              <w:jc w:val="center"/>
              <w:ind w:left="1955"/>
              <w:spacing w:after="0"/>
              <w:rPr>
                <w:sz w:val="20"/>
                <w:szCs w:val="20"/>
                <w:color w:val="auto"/>
              </w:rPr>
            </w:pPr>
            <w:r>
              <w:rPr>
                <w:rFonts w:ascii="Calibri" w:cs="Calibri" w:eastAsia="Calibri" w:hAnsi="Calibri"/>
                <w:sz w:val="18"/>
                <w:szCs w:val="18"/>
                <w:color w:val="auto"/>
                <w:w w:val="99"/>
              </w:rPr>
              <w:t>100%</w:t>
            </w:r>
          </w:p>
        </w:tc>
      </w:tr>
      <w:tr>
        <w:trPr>
          <w:trHeight w:val="527"/>
        </w:trPr>
        <w:tc>
          <w:tcPr>
            <w:tcW w:w="8460" w:type="dxa"/>
            <w:vAlign w:val="bottom"/>
          </w:tcPr>
          <w:p>
            <w:pPr>
              <w:spacing w:after="0"/>
              <w:rPr>
                <w:sz w:val="20"/>
                <w:szCs w:val="20"/>
                <w:color w:val="auto"/>
              </w:rPr>
            </w:pPr>
            <w:r>
              <w:rPr>
                <w:rFonts w:ascii="Calibri" w:cs="Calibri" w:eastAsia="Calibri" w:hAnsi="Calibri"/>
                <w:sz w:val="18"/>
                <w:szCs w:val="18"/>
                <w:color w:val="auto"/>
              </w:rPr>
              <w:t>Martn Marieta Texas Ready-Mix, LLC, a Texas limited liability company</w:t>
            </w:r>
          </w:p>
        </w:tc>
        <w:tc>
          <w:tcPr>
            <w:tcW w:w="2600" w:type="dxa"/>
            <w:vAlign w:val="bottom"/>
          </w:tcPr>
          <w:p>
            <w:pPr>
              <w:jc w:val="center"/>
              <w:ind w:left="1935"/>
              <w:spacing w:after="0"/>
              <w:rPr>
                <w:sz w:val="20"/>
                <w:szCs w:val="20"/>
                <w:color w:val="auto"/>
              </w:rPr>
            </w:pPr>
            <w:r>
              <w:rPr>
                <w:rFonts w:ascii="Calibri" w:cs="Calibri" w:eastAsia="Calibri" w:hAnsi="Calibri"/>
                <w:sz w:val="18"/>
                <w:szCs w:val="18"/>
                <w:color w:val="auto"/>
                <w:w w:val="87"/>
              </w:rPr>
              <w:t>100%</w:t>
            </w:r>
            <w:r>
              <w:rPr>
                <w:rFonts w:ascii="Calibri" w:cs="Calibri" w:eastAsia="Calibri" w:hAnsi="Calibri"/>
                <w:sz w:val="24"/>
                <w:szCs w:val="24"/>
                <w:color w:val="auto"/>
                <w:w w:val="87"/>
                <w:vertAlign w:val="superscript"/>
              </w:rPr>
              <w:t>[28]</w:t>
            </w:r>
          </w:p>
        </w:tc>
      </w:tr>
      <w:tr>
        <w:trPr>
          <w:trHeight w:val="445"/>
        </w:trPr>
        <w:tc>
          <w:tcPr>
            <w:tcW w:w="8460" w:type="dxa"/>
            <w:vAlign w:val="bottom"/>
          </w:tcPr>
          <w:p>
            <w:pPr>
              <w:spacing w:after="0"/>
              <w:rPr>
                <w:sz w:val="20"/>
                <w:szCs w:val="20"/>
                <w:color w:val="auto"/>
              </w:rPr>
            </w:pPr>
            <w:r>
              <w:rPr>
                <w:rFonts w:ascii="Calibri" w:cs="Calibri" w:eastAsia="Calibri" w:hAnsi="Calibri"/>
                <w:sz w:val="18"/>
                <w:szCs w:val="18"/>
                <w:color w:val="auto"/>
              </w:rPr>
              <w:t>Martn Marieta Stockton, LLC, a Delaware limited liability company</w:t>
            </w:r>
          </w:p>
        </w:tc>
        <w:tc>
          <w:tcPr>
            <w:tcW w:w="2600" w:type="dxa"/>
            <w:vAlign w:val="bottom"/>
          </w:tcPr>
          <w:p>
            <w:pPr>
              <w:jc w:val="center"/>
              <w:ind w:left="1935"/>
              <w:spacing w:after="0"/>
              <w:rPr>
                <w:sz w:val="20"/>
                <w:szCs w:val="20"/>
                <w:color w:val="auto"/>
              </w:rPr>
            </w:pPr>
            <w:r>
              <w:rPr>
                <w:rFonts w:ascii="Calibri" w:cs="Calibri" w:eastAsia="Calibri" w:hAnsi="Calibri"/>
                <w:sz w:val="35"/>
                <w:szCs w:val="35"/>
                <w:color w:val="auto"/>
                <w:w w:val="80"/>
                <w:vertAlign w:val="subscript"/>
              </w:rPr>
              <w:t>100%</w:t>
            </w:r>
            <w:r>
              <w:rPr>
                <w:rFonts w:ascii="Calibri" w:cs="Calibri" w:eastAsia="Calibri" w:hAnsi="Calibri"/>
                <w:sz w:val="12"/>
                <w:szCs w:val="12"/>
                <w:color w:val="auto"/>
                <w:w w:val="80"/>
              </w:rPr>
              <w:t>[29]</w:t>
            </w:r>
          </w:p>
        </w:tc>
      </w:tr>
      <w:tr>
        <w:trPr>
          <w:trHeight w:val="486"/>
        </w:trPr>
        <w:tc>
          <w:tcPr>
            <w:tcW w:w="8460" w:type="dxa"/>
            <w:vAlign w:val="bottom"/>
          </w:tcPr>
          <w:p>
            <w:pPr>
              <w:spacing w:after="0"/>
              <w:rPr>
                <w:sz w:val="20"/>
                <w:szCs w:val="20"/>
                <w:color w:val="auto"/>
              </w:rPr>
            </w:pPr>
            <w:r>
              <w:rPr>
                <w:rFonts w:ascii="Calibri" w:cs="Calibri" w:eastAsia="Calibri" w:hAnsi="Calibri"/>
                <w:sz w:val="18"/>
                <w:szCs w:val="18"/>
                <w:color w:val="auto"/>
              </w:rPr>
              <w:t>Martn Marieta Southwest Ready-Mix, Inc., a Delaware corporaton</w:t>
            </w:r>
          </w:p>
        </w:tc>
        <w:tc>
          <w:tcPr>
            <w:tcW w:w="2600" w:type="dxa"/>
            <w:vAlign w:val="bottom"/>
          </w:tcPr>
          <w:p>
            <w:pPr>
              <w:jc w:val="center"/>
              <w:ind w:left="1955"/>
              <w:spacing w:after="0"/>
              <w:rPr>
                <w:sz w:val="20"/>
                <w:szCs w:val="20"/>
                <w:color w:val="auto"/>
              </w:rPr>
            </w:pPr>
            <w:r>
              <w:rPr>
                <w:rFonts w:ascii="Calibri" w:cs="Calibri" w:eastAsia="Calibri" w:hAnsi="Calibri"/>
                <w:sz w:val="18"/>
                <w:szCs w:val="18"/>
                <w:color w:val="auto"/>
                <w:w w:val="99"/>
              </w:rPr>
              <w:t>100%</w:t>
            </w:r>
          </w:p>
        </w:tc>
      </w:tr>
      <w:tr>
        <w:trPr>
          <w:trHeight w:val="486"/>
        </w:trPr>
        <w:tc>
          <w:tcPr>
            <w:tcW w:w="8460" w:type="dxa"/>
            <w:vAlign w:val="bottom"/>
          </w:tcPr>
          <w:p>
            <w:pPr>
              <w:spacing w:after="0"/>
              <w:rPr>
                <w:sz w:val="20"/>
                <w:szCs w:val="20"/>
                <w:color w:val="auto"/>
              </w:rPr>
            </w:pPr>
            <w:r>
              <w:rPr>
                <w:rFonts w:ascii="Calibri" w:cs="Calibri" w:eastAsia="Calibri" w:hAnsi="Calibri"/>
                <w:sz w:val="18"/>
                <w:szCs w:val="18"/>
                <w:color w:val="auto"/>
              </w:rPr>
              <w:t>Martn Marieta Transportaton and Distributon, LLC</w:t>
            </w:r>
          </w:p>
        </w:tc>
        <w:tc>
          <w:tcPr>
            <w:tcW w:w="2600" w:type="dxa"/>
            <w:vAlign w:val="bottom"/>
          </w:tcPr>
          <w:p>
            <w:pPr>
              <w:jc w:val="center"/>
              <w:ind w:left="1955"/>
              <w:spacing w:after="0"/>
              <w:rPr>
                <w:sz w:val="20"/>
                <w:szCs w:val="20"/>
                <w:color w:val="auto"/>
              </w:rPr>
            </w:pPr>
            <w:r>
              <w:rPr>
                <w:rFonts w:ascii="Calibri" w:cs="Calibri" w:eastAsia="Calibri" w:hAnsi="Calibri"/>
                <w:sz w:val="18"/>
                <w:szCs w:val="18"/>
                <w:color w:val="auto"/>
                <w:w w:val="99"/>
              </w:rPr>
              <w:t>100%</w:t>
            </w:r>
          </w:p>
        </w:tc>
      </w:tr>
      <w:tr>
        <w:trPr>
          <w:trHeight w:val="527"/>
        </w:trPr>
        <w:tc>
          <w:tcPr>
            <w:tcW w:w="8460" w:type="dxa"/>
            <w:vAlign w:val="bottom"/>
          </w:tcPr>
          <w:p>
            <w:pPr>
              <w:spacing w:after="0"/>
              <w:rPr>
                <w:sz w:val="20"/>
                <w:szCs w:val="20"/>
                <w:color w:val="auto"/>
              </w:rPr>
            </w:pPr>
            <w:r>
              <w:rPr>
                <w:rFonts w:ascii="Calibri" w:cs="Calibri" w:eastAsia="Calibri" w:hAnsi="Calibri"/>
                <w:sz w:val="18"/>
                <w:szCs w:val="18"/>
                <w:color w:val="auto"/>
              </w:rPr>
              <w:t>Material Producers, Inc., an Oklahoma corporaton</w:t>
            </w:r>
          </w:p>
        </w:tc>
        <w:tc>
          <w:tcPr>
            <w:tcW w:w="2600" w:type="dxa"/>
            <w:vAlign w:val="bottom"/>
          </w:tcPr>
          <w:p>
            <w:pPr>
              <w:jc w:val="center"/>
              <w:ind w:left="1935"/>
              <w:spacing w:after="0"/>
              <w:rPr>
                <w:sz w:val="20"/>
                <w:szCs w:val="20"/>
                <w:color w:val="auto"/>
              </w:rPr>
            </w:pPr>
            <w:r>
              <w:rPr>
                <w:rFonts w:ascii="Calibri" w:cs="Calibri" w:eastAsia="Calibri" w:hAnsi="Calibri"/>
                <w:sz w:val="18"/>
                <w:szCs w:val="18"/>
                <w:color w:val="auto"/>
                <w:w w:val="87"/>
              </w:rPr>
              <w:t>100%</w:t>
            </w:r>
            <w:r>
              <w:rPr>
                <w:rFonts w:ascii="Calibri" w:cs="Calibri" w:eastAsia="Calibri" w:hAnsi="Calibri"/>
                <w:sz w:val="24"/>
                <w:szCs w:val="24"/>
                <w:color w:val="auto"/>
                <w:w w:val="87"/>
                <w:vertAlign w:val="superscript"/>
              </w:rPr>
              <w:t>[30]</w:t>
            </w:r>
          </w:p>
        </w:tc>
      </w:tr>
      <w:tr>
        <w:trPr>
          <w:trHeight w:val="486"/>
        </w:trPr>
        <w:tc>
          <w:tcPr>
            <w:tcW w:w="8460" w:type="dxa"/>
            <w:vAlign w:val="bottom"/>
          </w:tcPr>
          <w:p>
            <w:pPr>
              <w:spacing w:after="0"/>
              <w:rPr>
                <w:sz w:val="20"/>
                <w:szCs w:val="20"/>
                <w:color w:val="auto"/>
              </w:rPr>
            </w:pPr>
            <w:r>
              <w:rPr>
                <w:rFonts w:ascii="Calibri" w:cs="Calibri" w:eastAsia="Calibri" w:hAnsi="Calibri"/>
                <w:sz w:val="18"/>
                <w:szCs w:val="18"/>
                <w:color w:val="auto"/>
              </w:rPr>
              <w:t>Maryland Materials, Inc., a North Carolina corporaton</w:t>
            </w:r>
          </w:p>
        </w:tc>
        <w:tc>
          <w:tcPr>
            <w:tcW w:w="2600" w:type="dxa"/>
            <w:vAlign w:val="bottom"/>
          </w:tcPr>
          <w:p>
            <w:pPr>
              <w:jc w:val="center"/>
              <w:ind w:left="1935"/>
              <w:spacing w:after="0"/>
              <w:rPr>
                <w:sz w:val="20"/>
                <w:szCs w:val="20"/>
                <w:color w:val="auto"/>
              </w:rPr>
            </w:pPr>
            <w:r>
              <w:rPr>
                <w:rFonts w:ascii="Calibri" w:cs="Calibri" w:eastAsia="Calibri" w:hAnsi="Calibri"/>
                <w:sz w:val="18"/>
                <w:szCs w:val="18"/>
                <w:color w:val="auto"/>
                <w:w w:val="87"/>
              </w:rPr>
              <w:t>100%</w:t>
            </w:r>
            <w:r>
              <w:rPr>
                <w:rFonts w:ascii="Calibri" w:cs="Calibri" w:eastAsia="Calibri" w:hAnsi="Calibri"/>
                <w:sz w:val="24"/>
                <w:szCs w:val="24"/>
                <w:color w:val="auto"/>
                <w:w w:val="87"/>
                <w:vertAlign w:val="superscript"/>
              </w:rPr>
              <w:t>[31]</w:t>
            </w:r>
          </w:p>
        </w:tc>
      </w:tr>
      <w:tr>
        <w:trPr>
          <w:trHeight w:val="445"/>
        </w:trPr>
        <w:tc>
          <w:tcPr>
            <w:tcW w:w="8460" w:type="dxa"/>
            <w:vAlign w:val="bottom"/>
          </w:tcPr>
          <w:p>
            <w:pPr>
              <w:spacing w:after="0"/>
              <w:rPr>
                <w:sz w:val="20"/>
                <w:szCs w:val="20"/>
                <w:color w:val="auto"/>
              </w:rPr>
            </w:pPr>
            <w:r>
              <w:rPr>
                <w:rFonts w:ascii="Calibri" w:cs="Calibri" w:eastAsia="Calibri" w:hAnsi="Calibri"/>
                <w:sz w:val="18"/>
                <w:szCs w:val="18"/>
                <w:color w:val="auto"/>
              </w:rPr>
              <w:t>Meridian Aggregates Company, a Limited Partnership, a North Carolina limited partnership</w:t>
            </w:r>
          </w:p>
        </w:tc>
        <w:tc>
          <w:tcPr>
            <w:tcW w:w="2600" w:type="dxa"/>
            <w:vAlign w:val="bottom"/>
          </w:tcPr>
          <w:p>
            <w:pPr>
              <w:jc w:val="center"/>
              <w:ind w:left="1935"/>
              <w:spacing w:after="0"/>
              <w:rPr>
                <w:sz w:val="20"/>
                <w:szCs w:val="20"/>
                <w:color w:val="auto"/>
              </w:rPr>
            </w:pPr>
            <w:r>
              <w:rPr>
                <w:rFonts w:ascii="Calibri" w:cs="Calibri" w:eastAsia="Calibri" w:hAnsi="Calibri"/>
                <w:sz w:val="35"/>
                <w:szCs w:val="35"/>
                <w:color w:val="auto"/>
                <w:w w:val="80"/>
                <w:vertAlign w:val="subscript"/>
              </w:rPr>
              <w:t>100%</w:t>
            </w:r>
            <w:r>
              <w:rPr>
                <w:rFonts w:ascii="Calibri" w:cs="Calibri" w:eastAsia="Calibri" w:hAnsi="Calibri"/>
                <w:sz w:val="12"/>
                <w:szCs w:val="12"/>
                <w:color w:val="auto"/>
                <w:w w:val="80"/>
              </w:rPr>
              <w:t>[32]</w:t>
            </w:r>
          </w:p>
        </w:tc>
      </w:tr>
      <w:tr>
        <w:trPr>
          <w:trHeight w:val="486"/>
        </w:trPr>
        <w:tc>
          <w:tcPr>
            <w:tcW w:w="8460" w:type="dxa"/>
            <w:vAlign w:val="bottom"/>
          </w:tcPr>
          <w:p>
            <w:pPr>
              <w:spacing w:after="0"/>
              <w:rPr>
                <w:sz w:val="20"/>
                <w:szCs w:val="20"/>
                <w:color w:val="auto"/>
              </w:rPr>
            </w:pPr>
            <w:r>
              <w:rPr>
                <w:rFonts w:ascii="Calibri" w:cs="Calibri" w:eastAsia="Calibri" w:hAnsi="Calibri"/>
                <w:sz w:val="18"/>
                <w:szCs w:val="18"/>
                <w:color w:val="auto"/>
              </w:rPr>
              <w:t>Meridian Aggregates Company Northwest, LLC, a North Carolina limited liability company</w:t>
            </w:r>
          </w:p>
        </w:tc>
        <w:tc>
          <w:tcPr>
            <w:tcW w:w="2600" w:type="dxa"/>
            <w:vAlign w:val="bottom"/>
          </w:tcPr>
          <w:p>
            <w:pPr>
              <w:jc w:val="center"/>
              <w:ind w:left="1955"/>
              <w:spacing w:after="0"/>
              <w:rPr>
                <w:sz w:val="20"/>
                <w:szCs w:val="20"/>
                <w:color w:val="auto"/>
              </w:rPr>
            </w:pPr>
            <w:r>
              <w:rPr>
                <w:rFonts w:ascii="Calibri" w:cs="Calibri" w:eastAsia="Calibri" w:hAnsi="Calibri"/>
                <w:sz w:val="18"/>
                <w:szCs w:val="18"/>
                <w:color w:val="auto"/>
                <w:w w:val="99"/>
              </w:rPr>
              <w:t>100%</w:t>
            </w:r>
          </w:p>
        </w:tc>
      </w:tr>
      <w:tr>
        <w:trPr>
          <w:trHeight w:val="527"/>
        </w:trPr>
        <w:tc>
          <w:tcPr>
            <w:tcW w:w="8460" w:type="dxa"/>
            <w:vAlign w:val="bottom"/>
          </w:tcPr>
          <w:p>
            <w:pPr>
              <w:spacing w:after="0"/>
              <w:rPr>
                <w:sz w:val="20"/>
                <w:szCs w:val="20"/>
                <w:color w:val="auto"/>
              </w:rPr>
            </w:pPr>
            <w:r>
              <w:rPr>
                <w:rFonts w:ascii="Calibri" w:cs="Calibri" w:eastAsia="Calibri" w:hAnsi="Calibri"/>
                <w:sz w:val="18"/>
                <w:szCs w:val="18"/>
                <w:color w:val="auto"/>
              </w:rPr>
              <w:t>Meridian Aggregates Investments, LLC, a North Carolina limited liability company</w:t>
            </w:r>
          </w:p>
        </w:tc>
        <w:tc>
          <w:tcPr>
            <w:tcW w:w="2600" w:type="dxa"/>
            <w:vAlign w:val="bottom"/>
          </w:tcPr>
          <w:p>
            <w:pPr>
              <w:jc w:val="center"/>
              <w:ind w:left="1935"/>
              <w:spacing w:after="0"/>
              <w:rPr>
                <w:sz w:val="20"/>
                <w:szCs w:val="20"/>
                <w:color w:val="auto"/>
              </w:rPr>
            </w:pPr>
            <w:r>
              <w:rPr>
                <w:rFonts w:ascii="Calibri" w:cs="Calibri" w:eastAsia="Calibri" w:hAnsi="Calibri"/>
                <w:sz w:val="18"/>
                <w:szCs w:val="18"/>
                <w:color w:val="auto"/>
                <w:w w:val="87"/>
              </w:rPr>
              <w:t>100%</w:t>
            </w:r>
            <w:r>
              <w:rPr>
                <w:rFonts w:ascii="Calibri" w:cs="Calibri" w:eastAsia="Calibri" w:hAnsi="Calibri"/>
                <w:sz w:val="24"/>
                <w:szCs w:val="24"/>
                <w:color w:val="auto"/>
                <w:w w:val="87"/>
                <w:vertAlign w:val="superscript"/>
              </w:rPr>
              <w:t>[33]</w:t>
            </w:r>
          </w:p>
        </w:tc>
      </w:tr>
      <w:tr>
        <w:trPr>
          <w:trHeight w:val="486"/>
        </w:trPr>
        <w:tc>
          <w:tcPr>
            <w:tcW w:w="8460" w:type="dxa"/>
            <w:vAlign w:val="bottom"/>
          </w:tcPr>
          <w:p>
            <w:pPr>
              <w:spacing w:after="0"/>
              <w:rPr>
                <w:sz w:val="20"/>
                <w:szCs w:val="20"/>
                <w:color w:val="auto"/>
              </w:rPr>
            </w:pPr>
            <w:r>
              <w:rPr>
                <w:rFonts w:ascii="Calibri" w:cs="Calibri" w:eastAsia="Calibri" w:hAnsi="Calibri"/>
                <w:sz w:val="18"/>
                <w:szCs w:val="18"/>
                <w:color w:val="auto"/>
              </w:rPr>
              <w:t>Meridian Granite Company, a North Carolina corporaton</w:t>
            </w:r>
          </w:p>
        </w:tc>
        <w:tc>
          <w:tcPr>
            <w:tcW w:w="2600" w:type="dxa"/>
            <w:vAlign w:val="bottom"/>
          </w:tcPr>
          <w:p>
            <w:pPr>
              <w:jc w:val="center"/>
              <w:ind w:left="1935"/>
              <w:spacing w:after="0"/>
              <w:rPr>
                <w:sz w:val="20"/>
                <w:szCs w:val="20"/>
                <w:color w:val="auto"/>
              </w:rPr>
            </w:pPr>
            <w:r>
              <w:rPr>
                <w:rFonts w:ascii="Calibri" w:cs="Calibri" w:eastAsia="Calibri" w:hAnsi="Calibri"/>
                <w:sz w:val="18"/>
                <w:szCs w:val="18"/>
                <w:color w:val="auto"/>
                <w:w w:val="87"/>
              </w:rPr>
              <w:t>100%</w:t>
            </w:r>
            <w:r>
              <w:rPr>
                <w:rFonts w:ascii="Calibri" w:cs="Calibri" w:eastAsia="Calibri" w:hAnsi="Calibri"/>
                <w:sz w:val="24"/>
                <w:szCs w:val="24"/>
                <w:color w:val="auto"/>
                <w:w w:val="87"/>
                <w:vertAlign w:val="superscript"/>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619125</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241" w:right="499" w:bottom="1440" w:gutter="0" w:footer="0" w:header="0"/>
        </w:sectPr>
      </w:pPr>
    </w:p>
    <w:bookmarkStart w:id="126" w:name="page127"/>
    <w:bookmarkEnd w:id="126"/>
    <w:p>
      <w:pPr>
        <w:spacing w:after="0"/>
        <w:rPr>
          <w:sz w:val="20"/>
          <w:szCs w:val="20"/>
          <w:color w:val="auto"/>
        </w:rPr>
      </w:pPr>
      <w:r>
        <w:rPr>
          <w:rFonts w:ascii="Calibri" w:cs="Calibri" w:eastAsia="Calibri" w:hAnsi="Calibri"/>
          <w:sz w:val="18"/>
          <w:szCs w:val="18"/>
          <w:color w:val="auto"/>
        </w:rPr>
        <w:t>Mid-State Constructon &amp; Materials, Inc., an Arkansas corporaton</w:t>
      </w:r>
    </w:p>
    <w:p>
      <w:pPr>
        <w:spacing w:after="0" w:line="266" w:lineRule="exact"/>
        <w:rPr>
          <w:sz w:val="20"/>
          <w:szCs w:val="20"/>
          <w:color w:val="auto"/>
        </w:rPr>
      </w:pPr>
    </w:p>
    <w:p>
      <w:pPr>
        <w:spacing w:after="0"/>
        <w:rPr>
          <w:sz w:val="20"/>
          <w:szCs w:val="20"/>
          <w:color w:val="auto"/>
        </w:rPr>
      </w:pPr>
      <w:r>
        <w:rPr>
          <w:rFonts w:ascii="Calibri" w:cs="Calibri" w:eastAsia="Calibri" w:hAnsi="Calibri"/>
          <w:sz w:val="18"/>
          <w:szCs w:val="18"/>
          <w:color w:val="auto"/>
        </w:rPr>
        <w:t>Mission Valley Rock Co., LLC, a California limited liability company</w:t>
      </w:r>
    </w:p>
    <w:p>
      <w:pPr>
        <w:spacing w:after="0" w:line="271" w:lineRule="exact"/>
        <w:rPr>
          <w:sz w:val="20"/>
          <w:szCs w:val="20"/>
          <w:color w:val="auto"/>
        </w:rPr>
      </w:pPr>
    </w:p>
    <w:p>
      <w:pPr>
        <w:ind w:right="5300" w:firstLine="1"/>
        <w:spacing w:after="0" w:line="562" w:lineRule="auto"/>
        <w:tabs>
          <w:tab w:leader="none" w:pos="490" w:val="left"/>
        </w:tabs>
        <w:numPr>
          <w:ilvl w:val="0"/>
          <w:numId w:val="26"/>
        </w:numPr>
        <w:rPr>
          <w:rFonts w:ascii="Calibri" w:cs="Calibri" w:eastAsia="Calibri" w:hAnsi="Calibri"/>
          <w:sz w:val="17"/>
          <w:szCs w:val="17"/>
          <w:color w:val="auto"/>
        </w:rPr>
      </w:pPr>
      <w:r>
        <w:rPr>
          <w:rFonts w:ascii="Calibri" w:cs="Calibri" w:eastAsia="Calibri" w:hAnsi="Calibri"/>
          <w:sz w:val="17"/>
          <w:szCs w:val="17"/>
          <w:color w:val="auto"/>
        </w:rPr>
        <w:t>Mexico I, LLC, a North Carolina limited liability company MMM Mexico, LLC, a North Carolina limited liability company MMMW AGG, LLC, a North Carolina limited liability company MMMW CMT, LLC, a North Carolina limited liability company MTD Pipeline LLC, a Delaware limited liability company</w:t>
      </w:r>
    </w:p>
    <w:p>
      <w:pPr>
        <w:ind w:right="4500"/>
        <w:spacing w:after="0" w:line="525" w:lineRule="auto"/>
        <w:rPr>
          <w:rFonts w:ascii="Calibri" w:cs="Calibri" w:eastAsia="Calibri" w:hAnsi="Calibri"/>
          <w:sz w:val="17"/>
          <w:szCs w:val="17"/>
          <w:color w:val="auto"/>
        </w:rPr>
      </w:pPr>
      <w:r>
        <w:rPr>
          <w:rFonts w:ascii="Calibri" w:cs="Calibri" w:eastAsia="Calibri" w:hAnsi="Calibri"/>
          <w:sz w:val="18"/>
          <w:szCs w:val="18"/>
          <w:color w:val="auto"/>
        </w:rPr>
        <w:t>North East Land and Material Company, Inc., a North Carolina corporaton Panadero Corp., a North Carolina corporaton</w:t>
      </w:r>
    </w:p>
    <w:p>
      <w:pPr>
        <w:spacing w:after="0" w:line="10" w:lineRule="exact"/>
        <w:rPr>
          <w:rFonts w:ascii="Calibri" w:cs="Calibri" w:eastAsia="Calibri" w:hAnsi="Calibri"/>
          <w:sz w:val="17"/>
          <w:szCs w:val="17"/>
          <w:color w:val="auto"/>
        </w:rPr>
      </w:pPr>
    </w:p>
    <w:p>
      <w:pPr>
        <w:ind w:right="5220"/>
        <w:spacing w:after="0" w:line="528" w:lineRule="auto"/>
        <w:rPr>
          <w:rFonts w:ascii="Calibri" w:cs="Calibri" w:eastAsia="Calibri" w:hAnsi="Calibri"/>
          <w:sz w:val="17"/>
          <w:szCs w:val="17"/>
          <w:color w:val="auto"/>
        </w:rPr>
      </w:pPr>
      <w:r>
        <w:rPr>
          <w:rFonts w:ascii="Calibri" w:cs="Calibri" w:eastAsia="Calibri" w:hAnsi="Calibri"/>
          <w:sz w:val="18"/>
          <w:szCs w:val="18"/>
          <w:color w:val="auto"/>
        </w:rPr>
        <w:t>Panadero Midco, LLC, a North Carolina limited liability company PCAz Leasing, LLC, an Arizona limited liability company Petrillo Brothers, Inc., a North Carolina corporaton</w:t>
      </w:r>
    </w:p>
    <w:p>
      <w:pPr>
        <w:spacing w:after="0" w:line="7" w:lineRule="exact"/>
        <w:rPr>
          <w:rFonts w:ascii="Calibri" w:cs="Calibri" w:eastAsia="Calibri" w:hAnsi="Calibri"/>
          <w:sz w:val="17"/>
          <w:szCs w:val="17"/>
          <w:color w:val="auto"/>
        </w:rPr>
      </w:pPr>
    </w:p>
    <w:p>
      <w:pPr>
        <w:ind w:right="4400"/>
        <w:spacing w:after="0" w:line="525" w:lineRule="auto"/>
        <w:rPr>
          <w:rFonts w:ascii="Calibri" w:cs="Calibri" w:eastAsia="Calibri" w:hAnsi="Calibri"/>
          <w:sz w:val="17"/>
          <w:szCs w:val="17"/>
          <w:color w:val="auto"/>
        </w:rPr>
      </w:pPr>
      <w:r>
        <w:rPr>
          <w:rFonts w:ascii="Calibri" w:cs="Calibri" w:eastAsia="Calibri" w:hAnsi="Calibri"/>
          <w:sz w:val="18"/>
          <w:szCs w:val="18"/>
          <w:color w:val="auto"/>
        </w:rPr>
        <w:t>Piedras y Arenas Baja, S. de R.L. de C.V., a Mexican limited liability company Powderly Transportaton, Inc., a North Carolina corporaton</w:t>
      </w:r>
    </w:p>
    <w:p>
      <w:pPr>
        <w:spacing w:after="0" w:line="10" w:lineRule="exact"/>
        <w:rPr>
          <w:rFonts w:ascii="Calibri" w:cs="Calibri" w:eastAsia="Calibri" w:hAnsi="Calibri"/>
          <w:sz w:val="17"/>
          <w:szCs w:val="17"/>
          <w:color w:val="auto"/>
        </w:rPr>
      </w:pPr>
    </w:p>
    <w:p>
      <w:pPr>
        <w:ind w:right="5040"/>
        <w:spacing w:after="0" w:line="525" w:lineRule="auto"/>
        <w:rPr>
          <w:rFonts w:ascii="Calibri" w:cs="Calibri" w:eastAsia="Calibri" w:hAnsi="Calibri"/>
          <w:sz w:val="17"/>
          <w:szCs w:val="17"/>
          <w:color w:val="auto"/>
        </w:rPr>
      </w:pPr>
      <w:r>
        <w:rPr>
          <w:rFonts w:ascii="Calibri" w:cs="Calibri" w:eastAsia="Calibri" w:hAnsi="Calibri"/>
          <w:sz w:val="18"/>
          <w:szCs w:val="18"/>
          <w:color w:val="auto"/>
        </w:rPr>
        <w:t>R&amp;S Sand &amp; Gravel, LLC, a North Carolina limited liability company Riverside Cement Company, a California partnership</w:t>
      </w:r>
    </w:p>
    <w:p>
      <w:pPr>
        <w:spacing w:after="0" w:line="5" w:lineRule="exact"/>
        <w:rPr>
          <w:rFonts w:ascii="Calibri" w:cs="Calibri" w:eastAsia="Calibri" w:hAnsi="Calibri"/>
          <w:sz w:val="17"/>
          <w:szCs w:val="17"/>
          <w:color w:val="auto"/>
        </w:rPr>
      </w:pPr>
    </w:p>
    <w:p>
      <w:pPr>
        <w:spacing w:after="0"/>
        <w:rPr>
          <w:rFonts w:ascii="Calibri" w:cs="Calibri" w:eastAsia="Calibri" w:hAnsi="Calibri"/>
          <w:sz w:val="17"/>
          <w:szCs w:val="17"/>
          <w:color w:val="auto"/>
        </w:rPr>
      </w:pPr>
      <w:r>
        <w:rPr>
          <w:rFonts w:ascii="Calibri" w:cs="Calibri" w:eastAsia="Calibri" w:hAnsi="Calibri"/>
          <w:sz w:val="18"/>
          <w:szCs w:val="18"/>
          <w:color w:val="auto"/>
        </w:rPr>
        <w:t>Rock &amp; Rail LLC, a Colorado limited liability company</w:t>
      </w:r>
    </w:p>
    <w:p>
      <w:pPr>
        <w:spacing w:after="0" w:line="271" w:lineRule="exact"/>
        <w:rPr>
          <w:rFonts w:ascii="Calibri" w:cs="Calibri" w:eastAsia="Calibri" w:hAnsi="Calibri"/>
          <w:sz w:val="17"/>
          <w:szCs w:val="17"/>
          <w:color w:val="auto"/>
        </w:rPr>
      </w:pPr>
    </w:p>
    <w:p>
      <w:pPr>
        <w:ind w:right="4920"/>
        <w:spacing w:after="0" w:line="525" w:lineRule="auto"/>
        <w:rPr>
          <w:rFonts w:ascii="Calibri" w:cs="Calibri" w:eastAsia="Calibri" w:hAnsi="Calibri"/>
          <w:sz w:val="17"/>
          <w:szCs w:val="17"/>
          <w:color w:val="auto"/>
        </w:rPr>
      </w:pPr>
      <w:r>
        <w:rPr>
          <w:rFonts w:ascii="Calibri" w:cs="Calibri" w:eastAsia="Calibri" w:hAnsi="Calibri"/>
          <w:sz w:val="18"/>
          <w:szCs w:val="18"/>
          <w:color w:val="auto"/>
        </w:rPr>
        <w:t>Rocky Mountain Materials and Asphalt, Inc., a Colorado corporaton Rocky Mountain Premix, Inc., a Colorado corporaton</w:t>
      </w:r>
    </w:p>
    <w:p>
      <w:pPr>
        <w:spacing w:after="0" w:line="10" w:lineRule="exact"/>
        <w:rPr>
          <w:rFonts w:ascii="Calibri" w:cs="Calibri" w:eastAsia="Calibri" w:hAnsi="Calibri"/>
          <w:sz w:val="17"/>
          <w:szCs w:val="17"/>
          <w:color w:val="auto"/>
        </w:rPr>
      </w:pPr>
    </w:p>
    <w:p>
      <w:pPr>
        <w:ind w:right="5060"/>
        <w:spacing w:after="0" w:line="562" w:lineRule="auto"/>
        <w:rPr>
          <w:rFonts w:ascii="Calibri" w:cs="Calibri" w:eastAsia="Calibri" w:hAnsi="Calibri"/>
          <w:sz w:val="17"/>
          <w:szCs w:val="17"/>
          <w:color w:val="auto"/>
        </w:rPr>
      </w:pPr>
      <w:r>
        <w:rPr>
          <w:rFonts w:ascii="Calibri" w:cs="Calibri" w:eastAsia="Calibri" w:hAnsi="Calibri"/>
          <w:sz w:val="17"/>
          <w:szCs w:val="17"/>
          <w:color w:val="auto"/>
        </w:rPr>
        <w:t>Rocky Mountain Ready Mix Concrete, Inc., a Colorado corporaton Royal Gorge Express, LLC, a Colorado Limited Liability Company</w:t>
      </w:r>
    </w:p>
    <w:p>
      <w:pPr>
        <w:ind w:right="4620"/>
        <w:spacing w:after="0" w:line="525" w:lineRule="auto"/>
        <w:rPr>
          <w:rFonts w:ascii="Calibri" w:cs="Calibri" w:eastAsia="Calibri" w:hAnsi="Calibri"/>
          <w:sz w:val="17"/>
          <w:szCs w:val="17"/>
          <w:color w:val="auto"/>
        </w:rPr>
      </w:pPr>
      <w:r>
        <w:rPr>
          <w:rFonts w:ascii="Calibri" w:cs="Calibri" w:eastAsia="Calibri" w:hAnsi="Calibri"/>
          <w:sz w:val="18"/>
          <w:szCs w:val="18"/>
          <w:color w:val="auto"/>
        </w:rPr>
        <w:t>St. Marys Sand Company, LLC, a North Carolina limited liability company Suburban Acquisiton Company, a Colorado corporaton</w:t>
      </w:r>
    </w:p>
    <w:p>
      <w:pPr>
        <w:spacing w:after="0" w:line="10" w:lineRule="exact"/>
        <w:rPr>
          <w:rFonts w:ascii="Calibri" w:cs="Calibri" w:eastAsia="Calibri" w:hAnsi="Calibri"/>
          <w:sz w:val="17"/>
          <w:szCs w:val="17"/>
          <w:color w:val="auto"/>
        </w:rPr>
      </w:pPr>
    </w:p>
    <w:p>
      <w:pPr>
        <w:ind w:right="5480"/>
        <w:spacing w:after="0" w:line="525" w:lineRule="auto"/>
        <w:rPr>
          <w:rFonts w:ascii="Calibri" w:cs="Calibri" w:eastAsia="Calibri" w:hAnsi="Calibri"/>
          <w:sz w:val="17"/>
          <w:szCs w:val="17"/>
          <w:color w:val="auto"/>
        </w:rPr>
      </w:pPr>
      <w:r>
        <w:rPr>
          <w:rFonts w:ascii="Calibri" w:cs="Calibri" w:eastAsia="Calibri" w:hAnsi="Calibri"/>
          <w:sz w:val="18"/>
          <w:szCs w:val="18"/>
          <w:color w:val="auto"/>
        </w:rPr>
        <w:t>Theodore Holding, LLC, a Delaware limited liability company Tiller Corporaton, a North Carolina corporaton</w:t>
      </w:r>
    </w:p>
    <w:p>
      <w:pPr>
        <w:spacing w:after="0" w:line="10" w:lineRule="exact"/>
        <w:rPr>
          <w:rFonts w:ascii="Calibri" w:cs="Calibri" w:eastAsia="Calibri" w:hAnsi="Calibri"/>
          <w:sz w:val="17"/>
          <w:szCs w:val="17"/>
          <w:color w:val="auto"/>
        </w:rPr>
      </w:pPr>
    </w:p>
    <w:p>
      <w:pPr>
        <w:ind w:right="5820"/>
        <w:spacing w:after="0" w:line="564" w:lineRule="auto"/>
        <w:rPr>
          <w:rFonts w:ascii="Calibri" w:cs="Calibri" w:eastAsia="Calibri" w:hAnsi="Calibri"/>
          <w:sz w:val="17"/>
          <w:szCs w:val="17"/>
          <w:color w:val="auto"/>
        </w:rPr>
      </w:pPr>
      <w:r>
        <w:rPr>
          <w:rFonts w:ascii="Calibri" w:cs="Calibri" w:eastAsia="Calibri" w:hAnsi="Calibri"/>
          <w:sz w:val="17"/>
          <w:szCs w:val="17"/>
          <w:color w:val="auto"/>
        </w:rPr>
        <w:t>TXI Aviaton, Inc. dba TXI Retail, a Texas corporaton TXI California, LLC, a Delaware limited liability company TXI Riverside, LLC, a Delaware limited liability company Valley Stone LLC, a Virginia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314325</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Calibri" w:cs="Calibri" w:eastAsia="Calibri" w:hAnsi="Calibri"/>
          <w:sz w:val="18"/>
          <w:szCs w:val="18"/>
          <w:color w:val="auto"/>
        </w:rPr>
        <w:t>100%</w:t>
      </w:r>
    </w:p>
    <w:p>
      <w:pPr>
        <w:spacing w:after="0" w:line="247"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100%</w:t>
      </w:r>
      <w:r>
        <w:rPr>
          <w:rFonts w:ascii="Calibri" w:cs="Calibri" w:eastAsia="Calibri" w:hAnsi="Calibri"/>
          <w:sz w:val="22"/>
          <w:szCs w:val="22"/>
          <w:color w:val="auto"/>
          <w:vertAlign w:val="superscript"/>
        </w:rPr>
        <w:t>[35]</w:t>
      </w:r>
    </w:p>
    <w:p>
      <w:pPr>
        <w:spacing w:after="0" w:line="39" w:lineRule="exact"/>
        <w:rPr>
          <w:sz w:val="20"/>
          <w:szCs w:val="20"/>
          <w:color w:val="auto"/>
        </w:rPr>
      </w:pPr>
    </w:p>
    <w:p>
      <w:pPr>
        <w:ind w:left="20"/>
        <w:spacing w:after="0"/>
        <w:rPr>
          <w:sz w:val="20"/>
          <w:szCs w:val="20"/>
          <w:color w:val="auto"/>
        </w:rPr>
      </w:pPr>
      <w:r>
        <w:rPr>
          <w:rFonts w:ascii="Calibri" w:cs="Calibri" w:eastAsia="Calibri" w:hAnsi="Calibri"/>
          <w:sz w:val="29"/>
          <w:szCs w:val="29"/>
          <w:color w:val="auto"/>
          <w:vertAlign w:val="subscript"/>
        </w:rPr>
        <w:t>100%</w:t>
      </w:r>
      <w:r>
        <w:rPr>
          <w:rFonts w:ascii="Calibri" w:cs="Calibri" w:eastAsia="Calibri" w:hAnsi="Calibri"/>
          <w:sz w:val="11"/>
          <w:szCs w:val="11"/>
          <w:color w:val="auto"/>
        </w:rPr>
        <w:t>[36]</w:t>
      </w:r>
    </w:p>
    <w:p>
      <w:pPr>
        <w:spacing w:after="0" w:line="310"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100%</w:t>
      </w:r>
      <w:r>
        <w:rPr>
          <w:rFonts w:ascii="Calibri" w:cs="Calibri" w:eastAsia="Calibri" w:hAnsi="Calibri"/>
          <w:sz w:val="22"/>
          <w:szCs w:val="22"/>
          <w:color w:val="auto"/>
          <w:vertAlign w:val="superscript"/>
        </w:rPr>
        <w:t>[37]</w:t>
      </w:r>
    </w:p>
    <w:p>
      <w:pPr>
        <w:spacing w:after="0" w:line="39" w:lineRule="exact"/>
        <w:rPr>
          <w:sz w:val="20"/>
          <w:szCs w:val="20"/>
          <w:color w:val="auto"/>
        </w:rPr>
      </w:pPr>
    </w:p>
    <w:p>
      <w:pPr>
        <w:ind w:left="20"/>
        <w:spacing w:after="0"/>
        <w:rPr>
          <w:sz w:val="20"/>
          <w:szCs w:val="20"/>
          <w:color w:val="auto"/>
        </w:rPr>
      </w:pPr>
      <w:r>
        <w:rPr>
          <w:rFonts w:ascii="Calibri" w:cs="Calibri" w:eastAsia="Calibri" w:hAnsi="Calibri"/>
          <w:sz w:val="29"/>
          <w:szCs w:val="29"/>
          <w:color w:val="auto"/>
          <w:vertAlign w:val="subscript"/>
        </w:rPr>
        <w:t>100%</w:t>
      </w:r>
      <w:r>
        <w:rPr>
          <w:rFonts w:ascii="Calibri" w:cs="Calibri" w:eastAsia="Calibri" w:hAnsi="Calibri"/>
          <w:sz w:val="11"/>
          <w:szCs w:val="11"/>
          <w:color w:val="auto"/>
        </w:rPr>
        <w:t>[38]</w:t>
      </w:r>
    </w:p>
    <w:p>
      <w:pPr>
        <w:spacing w:after="0" w:line="310"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100%</w:t>
      </w:r>
      <w:r>
        <w:rPr>
          <w:rFonts w:ascii="Calibri" w:cs="Calibri" w:eastAsia="Calibri" w:hAnsi="Calibri"/>
          <w:sz w:val="22"/>
          <w:szCs w:val="22"/>
          <w:color w:val="auto"/>
          <w:vertAlign w:val="superscript"/>
        </w:rPr>
        <w:t>[39]</w:t>
      </w:r>
    </w:p>
    <w:p>
      <w:pPr>
        <w:spacing w:after="0" w:line="39" w:lineRule="exact"/>
        <w:rPr>
          <w:sz w:val="20"/>
          <w:szCs w:val="20"/>
          <w:color w:val="auto"/>
        </w:rPr>
      </w:pPr>
    </w:p>
    <w:p>
      <w:pPr>
        <w:ind w:left="60"/>
        <w:spacing w:after="0"/>
        <w:rPr>
          <w:sz w:val="20"/>
          <w:szCs w:val="20"/>
          <w:color w:val="auto"/>
        </w:rPr>
      </w:pPr>
      <w:r>
        <w:rPr>
          <w:rFonts w:ascii="Calibri" w:cs="Calibri" w:eastAsia="Calibri" w:hAnsi="Calibri"/>
          <w:sz w:val="33"/>
          <w:szCs w:val="33"/>
          <w:color w:val="auto"/>
          <w:vertAlign w:val="subscript"/>
        </w:rPr>
        <w:t>50%</w:t>
      </w:r>
      <w:r>
        <w:rPr>
          <w:rFonts w:ascii="Calibri" w:cs="Calibri" w:eastAsia="Calibri" w:hAnsi="Calibri"/>
          <w:sz w:val="12"/>
          <w:szCs w:val="12"/>
          <w:color w:val="auto"/>
        </w:rPr>
        <w:t>[40]</w:t>
      </w:r>
    </w:p>
    <w:p>
      <w:pPr>
        <w:spacing w:after="0" w:line="261"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100%</w:t>
      </w:r>
      <w:r>
        <w:rPr>
          <w:rFonts w:ascii="Calibri" w:cs="Calibri" w:eastAsia="Calibri" w:hAnsi="Calibri"/>
          <w:sz w:val="22"/>
          <w:szCs w:val="22"/>
          <w:color w:val="auto"/>
          <w:vertAlign w:val="superscript"/>
        </w:rPr>
        <w:t>[41]</w:t>
      </w:r>
    </w:p>
    <w:p>
      <w:pPr>
        <w:spacing w:after="0" w:line="237"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100%</w:t>
      </w:r>
    </w:p>
    <w:p>
      <w:pPr>
        <w:spacing w:after="0" w:line="69" w:lineRule="exact"/>
        <w:rPr>
          <w:sz w:val="20"/>
          <w:szCs w:val="20"/>
          <w:color w:val="auto"/>
        </w:rPr>
      </w:pPr>
    </w:p>
    <w:p>
      <w:pPr>
        <w:ind w:left="20"/>
        <w:spacing w:after="0"/>
        <w:rPr>
          <w:sz w:val="20"/>
          <w:szCs w:val="20"/>
          <w:color w:val="auto"/>
        </w:rPr>
      </w:pPr>
      <w:r>
        <w:rPr>
          <w:rFonts w:ascii="Calibri" w:cs="Calibri" w:eastAsia="Calibri" w:hAnsi="Calibri"/>
          <w:sz w:val="29"/>
          <w:szCs w:val="29"/>
          <w:color w:val="auto"/>
          <w:vertAlign w:val="subscript"/>
        </w:rPr>
        <w:t>100%</w:t>
      </w:r>
      <w:r>
        <w:rPr>
          <w:rFonts w:ascii="Calibri" w:cs="Calibri" w:eastAsia="Calibri" w:hAnsi="Calibri"/>
          <w:sz w:val="11"/>
          <w:szCs w:val="11"/>
          <w:color w:val="auto"/>
        </w:rPr>
        <w:t>[42]</w:t>
      </w:r>
    </w:p>
    <w:p>
      <w:pPr>
        <w:spacing w:after="0" w:line="310"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100%</w:t>
      </w:r>
      <w:r>
        <w:rPr>
          <w:rFonts w:ascii="Calibri" w:cs="Calibri" w:eastAsia="Calibri" w:hAnsi="Calibri"/>
          <w:sz w:val="22"/>
          <w:szCs w:val="22"/>
          <w:color w:val="auto"/>
          <w:vertAlign w:val="superscript"/>
        </w:rPr>
        <w:t>[43]</w:t>
      </w:r>
    </w:p>
    <w:p>
      <w:pPr>
        <w:spacing w:after="0" w:line="217"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100%</w:t>
      </w:r>
      <w:r>
        <w:rPr>
          <w:rFonts w:ascii="Calibri" w:cs="Calibri" w:eastAsia="Calibri" w:hAnsi="Calibri"/>
          <w:sz w:val="22"/>
          <w:szCs w:val="22"/>
          <w:color w:val="auto"/>
          <w:vertAlign w:val="superscript"/>
        </w:rPr>
        <w:t>[44]</w:t>
      </w:r>
    </w:p>
    <w:p>
      <w:pPr>
        <w:spacing w:after="0" w:line="217"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100%</w:t>
      </w:r>
      <w:r>
        <w:rPr>
          <w:rFonts w:ascii="Calibri" w:cs="Calibri" w:eastAsia="Calibri" w:hAnsi="Calibri"/>
          <w:sz w:val="22"/>
          <w:szCs w:val="22"/>
          <w:color w:val="auto"/>
          <w:vertAlign w:val="superscript"/>
        </w:rPr>
        <w:t>[45]</w:t>
      </w:r>
    </w:p>
    <w:p>
      <w:pPr>
        <w:spacing w:after="0" w:line="217"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100%</w:t>
      </w:r>
      <w:r>
        <w:rPr>
          <w:rFonts w:ascii="Calibri" w:cs="Calibri" w:eastAsia="Calibri" w:hAnsi="Calibri"/>
          <w:sz w:val="22"/>
          <w:szCs w:val="22"/>
          <w:color w:val="auto"/>
          <w:vertAlign w:val="superscript"/>
        </w:rPr>
        <w:t>[46]</w:t>
      </w:r>
    </w:p>
    <w:p>
      <w:pPr>
        <w:spacing w:after="0" w:line="217"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100%</w:t>
      </w:r>
      <w:r>
        <w:rPr>
          <w:rFonts w:ascii="Calibri" w:cs="Calibri" w:eastAsia="Calibri" w:hAnsi="Calibri"/>
          <w:sz w:val="22"/>
          <w:szCs w:val="22"/>
          <w:color w:val="auto"/>
          <w:vertAlign w:val="superscript"/>
        </w:rPr>
        <w:t>[47]</w:t>
      </w:r>
    </w:p>
    <w:p>
      <w:pPr>
        <w:spacing w:after="0" w:line="217"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100%</w:t>
      </w:r>
      <w:r>
        <w:rPr>
          <w:rFonts w:ascii="Calibri" w:cs="Calibri" w:eastAsia="Calibri" w:hAnsi="Calibri"/>
          <w:sz w:val="22"/>
          <w:szCs w:val="22"/>
          <w:color w:val="auto"/>
          <w:vertAlign w:val="superscript"/>
        </w:rPr>
        <w:t>[48]</w:t>
      </w:r>
    </w:p>
    <w:p>
      <w:pPr>
        <w:spacing w:after="0" w:line="237"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100%</w:t>
      </w:r>
    </w:p>
    <w:p>
      <w:pPr>
        <w:spacing w:after="0" w:line="266"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100%</w:t>
      </w:r>
    </w:p>
    <w:p>
      <w:pPr>
        <w:spacing w:after="0" w:line="266"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100%</w:t>
      </w:r>
    </w:p>
    <w:p>
      <w:pPr>
        <w:spacing w:after="0" w:line="247"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100%</w:t>
      </w:r>
      <w:r>
        <w:rPr>
          <w:rFonts w:ascii="Calibri" w:cs="Calibri" w:eastAsia="Calibri" w:hAnsi="Calibri"/>
          <w:sz w:val="22"/>
          <w:szCs w:val="22"/>
          <w:color w:val="auto"/>
          <w:vertAlign w:val="superscript"/>
        </w:rPr>
        <w:t>[49]</w:t>
      </w:r>
    </w:p>
    <w:p>
      <w:pPr>
        <w:spacing w:after="0" w:line="39" w:lineRule="exact"/>
        <w:rPr>
          <w:sz w:val="20"/>
          <w:szCs w:val="20"/>
          <w:color w:val="auto"/>
        </w:rPr>
      </w:pPr>
    </w:p>
    <w:p>
      <w:pPr>
        <w:ind w:left="60"/>
        <w:spacing w:after="0"/>
        <w:rPr>
          <w:sz w:val="20"/>
          <w:szCs w:val="20"/>
          <w:color w:val="auto"/>
        </w:rPr>
      </w:pPr>
      <w:r>
        <w:rPr>
          <w:rFonts w:ascii="Calibri" w:cs="Calibri" w:eastAsia="Calibri" w:hAnsi="Calibri"/>
          <w:sz w:val="33"/>
          <w:szCs w:val="33"/>
          <w:color w:val="auto"/>
          <w:vertAlign w:val="subscript"/>
        </w:rPr>
        <w:t>50%</w:t>
      </w:r>
      <w:r>
        <w:rPr>
          <w:rFonts w:ascii="Calibri" w:cs="Calibri" w:eastAsia="Calibri" w:hAnsi="Calibri"/>
          <w:sz w:val="12"/>
          <w:szCs w:val="12"/>
          <w:color w:val="auto"/>
        </w:rPr>
        <w:t>[50]</w:t>
      </w:r>
    </w:p>
    <w:p>
      <w:pPr>
        <w:spacing w:after="0" w:line="261"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100%</w:t>
      </w:r>
      <w:r>
        <w:rPr>
          <w:rFonts w:ascii="Calibri" w:cs="Calibri" w:eastAsia="Calibri" w:hAnsi="Calibri"/>
          <w:sz w:val="22"/>
          <w:szCs w:val="22"/>
          <w:color w:val="auto"/>
          <w:vertAlign w:val="superscript"/>
        </w:rPr>
        <w:t>[51]</w:t>
      </w:r>
    </w:p>
    <w:p>
      <w:pPr>
        <w:spacing w:after="0" w:line="237"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100%</w:t>
      </w:r>
    </w:p>
    <w:p>
      <w:pPr>
        <w:spacing w:after="0" w:line="247" w:lineRule="exact"/>
        <w:rPr>
          <w:sz w:val="20"/>
          <w:szCs w:val="20"/>
          <w:color w:val="auto"/>
        </w:rPr>
      </w:pPr>
    </w:p>
    <w:p>
      <w:pPr>
        <w:spacing w:after="0"/>
        <w:rPr>
          <w:sz w:val="20"/>
          <w:szCs w:val="20"/>
          <w:color w:val="auto"/>
        </w:rPr>
      </w:pPr>
      <w:r>
        <w:rPr>
          <w:rFonts w:ascii="Calibri" w:cs="Calibri" w:eastAsia="Calibri" w:hAnsi="Calibri"/>
          <w:sz w:val="16"/>
          <w:szCs w:val="16"/>
          <w:color w:val="auto"/>
        </w:rPr>
        <w:t>60.7%</w:t>
      </w:r>
      <w:r>
        <w:rPr>
          <w:rFonts w:ascii="Calibri" w:cs="Calibri" w:eastAsia="Calibri" w:hAnsi="Calibri"/>
          <w:sz w:val="21"/>
          <w:szCs w:val="21"/>
          <w:color w:val="auto"/>
          <w:vertAlign w:val="superscript"/>
        </w:rPr>
        <w:t>[52]</w:t>
      </w:r>
    </w:p>
    <w:p>
      <w:pPr>
        <w:spacing w:after="0" w:line="249" w:lineRule="exact"/>
        <w:rPr>
          <w:sz w:val="20"/>
          <w:szCs w:val="20"/>
          <w:color w:val="auto"/>
        </w:rPr>
      </w:pPr>
    </w:p>
    <w:p>
      <w:pPr>
        <w:ind w:left="120"/>
        <w:spacing w:after="0"/>
        <w:rPr>
          <w:sz w:val="20"/>
          <w:szCs w:val="20"/>
          <w:color w:val="auto"/>
        </w:rPr>
      </w:pPr>
      <w:r>
        <w:rPr>
          <w:rFonts w:ascii="Calibri" w:cs="Calibri" w:eastAsia="Calibri" w:hAnsi="Calibri"/>
          <w:sz w:val="18"/>
          <w:szCs w:val="18"/>
          <w:color w:val="auto"/>
        </w:rPr>
        <w:t>100%</w:t>
      </w:r>
    </w:p>
    <w:p>
      <w:pPr>
        <w:spacing w:after="0" w:line="69" w:lineRule="exact"/>
        <w:rPr>
          <w:sz w:val="20"/>
          <w:szCs w:val="20"/>
          <w:color w:val="auto"/>
        </w:rPr>
      </w:pPr>
    </w:p>
    <w:p>
      <w:pPr>
        <w:ind w:left="20"/>
        <w:spacing w:after="0"/>
        <w:rPr>
          <w:sz w:val="20"/>
          <w:szCs w:val="20"/>
          <w:color w:val="auto"/>
        </w:rPr>
      </w:pPr>
      <w:r>
        <w:rPr>
          <w:rFonts w:ascii="Calibri" w:cs="Calibri" w:eastAsia="Calibri" w:hAnsi="Calibri"/>
          <w:sz w:val="29"/>
          <w:szCs w:val="29"/>
          <w:color w:val="auto"/>
          <w:vertAlign w:val="subscript"/>
        </w:rPr>
        <w:t>100%</w:t>
      </w:r>
      <w:r>
        <w:rPr>
          <w:rFonts w:ascii="Calibri" w:cs="Calibri" w:eastAsia="Calibri" w:hAnsi="Calibri"/>
          <w:sz w:val="11"/>
          <w:szCs w:val="11"/>
          <w:color w:val="auto"/>
        </w:rPr>
        <w:t>[53]</w:t>
      </w:r>
    </w:p>
    <w:p>
      <w:pPr>
        <w:spacing w:after="0" w:line="310"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100%</w:t>
      </w:r>
      <w:r>
        <w:rPr>
          <w:rFonts w:ascii="Calibri" w:cs="Calibri" w:eastAsia="Calibri" w:hAnsi="Calibri"/>
          <w:sz w:val="22"/>
          <w:szCs w:val="22"/>
          <w:color w:val="auto"/>
          <w:vertAlign w:val="superscript"/>
        </w:rPr>
        <w:t>[54]</w:t>
      </w:r>
    </w:p>
    <w:p>
      <w:pPr>
        <w:spacing w:after="0" w:line="217" w:lineRule="exact"/>
        <w:rPr>
          <w:sz w:val="20"/>
          <w:szCs w:val="20"/>
          <w:color w:val="auto"/>
        </w:rPr>
      </w:pPr>
    </w:p>
    <w:p>
      <w:pPr>
        <w:ind w:left="20"/>
        <w:spacing w:after="0"/>
        <w:rPr>
          <w:sz w:val="20"/>
          <w:szCs w:val="20"/>
          <w:color w:val="auto"/>
        </w:rPr>
      </w:pPr>
      <w:r>
        <w:rPr>
          <w:rFonts w:ascii="Calibri" w:cs="Calibri" w:eastAsia="Calibri" w:hAnsi="Calibri"/>
          <w:sz w:val="17"/>
          <w:szCs w:val="17"/>
          <w:color w:val="auto"/>
        </w:rPr>
        <w:t>100%</w:t>
      </w:r>
      <w:r>
        <w:rPr>
          <w:rFonts w:ascii="Calibri" w:cs="Calibri" w:eastAsia="Calibri" w:hAnsi="Calibri"/>
          <w:sz w:val="22"/>
          <w:szCs w:val="22"/>
          <w:color w:val="auto"/>
          <w:vertAlign w:val="superscript"/>
        </w:rPr>
        <w:t>[55]</w:t>
      </w:r>
    </w:p>
    <w:p>
      <w:pPr>
        <w:spacing w:after="0" w:line="39" w:lineRule="exact"/>
        <w:rPr>
          <w:sz w:val="20"/>
          <w:szCs w:val="20"/>
          <w:color w:val="auto"/>
        </w:rPr>
      </w:pPr>
    </w:p>
    <w:p>
      <w:pPr>
        <w:ind w:left="60"/>
        <w:spacing w:after="0"/>
        <w:rPr>
          <w:sz w:val="20"/>
          <w:szCs w:val="20"/>
          <w:color w:val="auto"/>
        </w:rPr>
      </w:pPr>
      <w:r>
        <w:rPr>
          <w:rFonts w:ascii="Calibri" w:cs="Calibri" w:eastAsia="Calibri" w:hAnsi="Calibri"/>
          <w:sz w:val="33"/>
          <w:szCs w:val="33"/>
          <w:color w:val="auto"/>
          <w:vertAlign w:val="subscript"/>
        </w:rPr>
        <w:t>50%</w:t>
      </w:r>
      <w:r>
        <w:rPr>
          <w:rFonts w:ascii="Calibri" w:cs="Calibri" w:eastAsia="Calibri" w:hAnsi="Calibri"/>
          <w:sz w:val="12"/>
          <w:szCs w:val="12"/>
          <w:color w:val="auto"/>
        </w:rPr>
        <w:t>[56]</w:t>
      </w:r>
    </w:p>
    <w:p>
      <w:pPr>
        <w:sectPr>
          <w:pgSz w:w="11900" w:h="16838" w:orient="portrait"/>
          <w:cols w:equalWidth="0" w:num="2">
            <w:col w:w="9740" w:space="720"/>
            <w:col w:w="640"/>
          </w:cols>
          <w:pgMar w:left="340" w:top="1206" w:right="459" w:bottom="962" w:gutter="0" w:footer="0" w:header="0"/>
        </w:sectPr>
      </w:pPr>
    </w:p>
    <w:bookmarkStart w:id="127" w:name="page128"/>
    <w:bookmarkEnd w:id="127"/>
    <w:p>
      <w:pPr>
        <w:spacing w:after="0"/>
        <w:rPr>
          <w:sz w:val="20"/>
          <w:szCs w:val="20"/>
          <w:color w:val="auto"/>
        </w:rPr>
      </w:pPr>
      <w:r>
        <w:rPr>
          <w:rFonts w:ascii="Calibri" w:cs="Calibri" w:eastAsia="Calibri" w:hAnsi="Calibri"/>
          <w:sz w:val="11"/>
          <w:szCs w:val="11"/>
          <w:color w:val="auto"/>
        </w:rPr>
        <w:t>------------------------------------------------------------------------------------------------------------------</w:t>
      </w:r>
    </w:p>
    <w:p>
      <w:pPr>
        <w:spacing w:after="0" w:line="242" w:lineRule="exact"/>
        <w:rPr>
          <w:sz w:val="20"/>
          <w:szCs w:val="20"/>
          <w:color w:val="auto"/>
        </w:rPr>
      </w:pPr>
    </w:p>
    <w:p>
      <w:pPr>
        <w:ind w:left="160" w:hanging="152"/>
        <w:spacing w:after="0"/>
        <w:tabs>
          <w:tab w:leader="none" w:pos="160" w:val="left"/>
        </w:tabs>
        <w:numPr>
          <w:ilvl w:val="0"/>
          <w:numId w:val="27"/>
        </w:numPr>
        <w:rPr>
          <w:rFonts w:ascii="Calibri" w:cs="Calibri" w:eastAsia="Calibri" w:hAnsi="Calibri"/>
          <w:sz w:val="20"/>
          <w:szCs w:val="20"/>
          <w:color w:val="auto"/>
          <w:vertAlign w:val="superscript"/>
        </w:rPr>
      </w:pPr>
      <w:r>
        <w:rPr>
          <w:rFonts w:ascii="Calibri" w:cs="Calibri" w:eastAsia="Calibri" w:hAnsi="Calibri"/>
          <w:sz w:val="15"/>
          <w:szCs w:val="15"/>
          <w:color w:val="auto"/>
        </w:rPr>
        <w:t>2M Lands, LLC is a wholly owned subsidiary of Martn Marieta Materials Real Estate Investments, Inc.</w:t>
      </w:r>
    </w:p>
    <w:p>
      <w:pPr>
        <w:spacing w:after="0" w:line="40" w:lineRule="exact"/>
        <w:rPr>
          <w:rFonts w:ascii="Calibri" w:cs="Calibri" w:eastAsia="Calibri" w:hAnsi="Calibri"/>
          <w:sz w:val="20"/>
          <w:szCs w:val="20"/>
          <w:color w:val="auto"/>
          <w:vertAlign w:val="superscript"/>
        </w:rPr>
      </w:pPr>
    </w:p>
    <w:p>
      <w:pPr>
        <w:ind w:left="160" w:hanging="152"/>
        <w:spacing w:after="0" w:line="238" w:lineRule="auto"/>
        <w:tabs>
          <w:tab w:leader="none" w:pos="160" w:val="left"/>
        </w:tabs>
        <w:numPr>
          <w:ilvl w:val="0"/>
          <w:numId w:val="27"/>
        </w:numPr>
        <w:rPr>
          <w:rFonts w:ascii="Calibri" w:cs="Calibri" w:eastAsia="Calibri" w:hAnsi="Calibri"/>
          <w:sz w:val="20"/>
          <w:szCs w:val="20"/>
          <w:color w:val="auto"/>
          <w:vertAlign w:val="superscript"/>
        </w:rPr>
      </w:pPr>
      <w:r>
        <w:rPr>
          <w:rFonts w:ascii="Calibri" w:cs="Calibri" w:eastAsia="Calibri" w:hAnsi="Calibri"/>
          <w:sz w:val="15"/>
          <w:szCs w:val="15"/>
          <w:color w:val="auto"/>
        </w:rPr>
        <w:t>Alamo Gulf Coast Railroad Company is owned by Martn Marieta Materials Southwest, LLC, (99.5%) and certain individuals (0.5%).</w:t>
      </w:r>
    </w:p>
    <w:p>
      <w:pPr>
        <w:spacing w:after="0" w:line="41" w:lineRule="exact"/>
        <w:rPr>
          <w:rFonts w:ascii="Calibri" w:cs="Calibri" w:eastAsia="Calibri" w:hAnsi="Calibri"/>
          <w:sz w:val="20"/>
          <w:szCs w:val="20"/>
          <w:color w:val="auto"/>
          <w:vertAlign w:val="superscript"/>
        </w:rPr>
      </w:pPr>
    </w:p>
    <w:p>
      <w:pPr>
        <w:ind w:left="160" w:hanging="152"/>
        <w:spacing w:after="0" w:line="238" w:lineRule="auto"/>
        <w:tabs>
          <w:tab w:leader="none" w:pos="160" w:val="left"/>
        </w:tabs>
        <w:numPr>
          <w:ilvl w:val="0"/>
          <w:numId w:val="27"/>
        </w:numPr>
        <w:rPr>
          <w:rFonts w:ascii="Calibri" w:cs="Calibri" w:eastAsia="Calibri" w:hAnsi="Calibri"/>
          <w:sz w:val="20"/>
          <w:szCs w:val="20"/>
          <w:color w:val="auto"/>
          <w:vertAlign w:val="superscript"/>
        </w:rPr>
      </w:pPr>
      <w:r>
        <w:rPr>
          <w:rFonts w:ascii="Calibri" w:cs="Calibri" w:eastAsia="Calibri" w:hAnsi="Calibri"/>
          <w:sz w:val="15"/>
          <w:szCs w:val="15"/>
          <w:color w:val="auto"/>
        </w:rPr>
        <w:t>Alamo North Texas Railroad Company is owned by Martn Marieta Materials Southwest, LLC, (99.5%) and certain individuals (0.5%).</w:t>
      </w:r>
    </w:p>
    <w:p>
      <w:pPr>
        <w:spacing w:after="0" w:line="41" w:lineRule="exact"/>
        <w:rPr>
          <w:rFonts w:ascii="Calibri" w:cs="Calibri" w:eastAsia="Calibri" w:hAnsi="Calibri"/>
          <w:sz w:val="20"/>
          <w:szCs w:val="20"/>
          <w:color w:val="auto"/>
          <w:vertAlign w:val="superscript"/>
        </w:rPr>
      </w:pPr>
    </w:p>
    <w:p>
      <w:pPr>
        <w:ind w:left="160" w:hanging="152"/>
        <w:spacing w:after="0" w:line="238" w:lineRule="auto"/>
        <w:tabs>
          <w:tab w:leader="none" w:pos="160" w:val="left"/>
        </w:tabs>
        <w:numPr>
          <w:ilvl w:val="0"/>
          <w:numId w:val="27"/>
        </w:numPr>
        <w:rPr>
          <w:rFonts w:ascii="Calibri" w:cs="Calibri" w:eastAsia="Calibri" w:hAnsi="Calibri"/>
          <w:sz w:val="20"/>
          <w:szCs w:val="20"/>
          <w:color w:val="auto"/>
          <w:vertAlign w:val="superscript"/>
        </w:rPr>
      </w:pPr>
      <w:r>
        <w:rPr>
          <w:rFonts w:ascii="Calibri" w:cs="Calibri" w:eastAsia="Calibri" w:hAnsi="Calibri"/>
          <w:sz w:val="15"/>
          <w:szCs w:val="15"/>
          <w:color w:val="auto"/>
        </w:rPr>
        <w:t>American Materials Technologies, LLC is a wholly owned subsidiary of Meridian Aggregates Company, a Limited Partnership.</w:t>
      </w:r>
    </w:p>
    <w:p>
      <w:pPr>
        <w:spacing w:after="0" w:line="41" w:lineRule="exact"/>
        <w:rPr>
          <w:rFonts w:ascii="Calibri" w:cs="Calibri" w:eastAsia="Calibri" w:hAnsi="Calibri"/>
          <w:sz w:val="20"/>
          <w:szCs w:val="20"/>
          <w:color w:val="auto"/>
          <w:vertAlign w:val="superscript"/>
        </w:rPr>
      </w:pPr>
    </w:p>
    <w:p>
      <w:pPr>
        <w:ind w:left="160" w:hanging="152"/>
        <w:spacing w:after="0" w:line="238" w:lineRule="auto"/>
        <w:tabs>
          <w:tab w:leader="none" w:pos="160" w:val="left"/>
        </w:tabs>
        <w:numPr>
          <w:ilvl w:val="0"/>
          <w:numId w:val="27"/>
        </w:numPr>
        <w:rPr>
          <w:rFonts w:ascii="Calibri" w:cs="Calibri" w:eastAsia="Calibri" w:hAnsi="Calibri"/>
          <w:sz w:val="20"/>
          <w:szCs w:val="20"/>
          <w:color w:val="auto"/>
          <w:vertAlign w:val="superscript"/>
        </w:rPr>
      </w:pPr>
      <w:r>
        <w:rPr>
          <w:rFonts w:ascii="Calibri" w:cs="Calibri" w:eastAsia="Calibri" w:hAnsi="Calibri"/>
          <w:sz w:val="15"/>
          <w:szCs w:val="15"/>
          <w:color w:val="auto"/>
        </w:rPr>
        <w:t>Martn Marieta Materials, Inc. owns a 50% interest in American Stone Company.</w:t>
      </w:r>
    </w:p>
    <w:p>
      <w:pPr>
        <w:spacing w:after="0" w:line="41" w:lineRule="exact"/>
        <w:rPr>
          <w:rFonts w:ascii="Calibri" w:cs="Calibri" w:eastAsia="Calibri" w:hAnsi="Calibri"/>
          <w:sz w:val="20"/>
          <w:szCs w:val="20"/>
          <w:color w:val="auto"/>
          <w:vertAlign w:val="superscript"/>
        </w:rPr>
      </w:pPr>
    </w:p>
    <w:p>
      <w:pPr>
        <w:ind w:left="160" w:hanging="152"/>
        <w:spacing w:after="0" w:line="238" w:lineRule="auto"/>
        <w:tabs>
          <w:tab w:leader="none" w:pos="160" w:val="left"/>
        </w:tabs>
        <w:numPr>
          <w:ilvl w:val="0"/>
          <w:numId w:val="27"/>
        </w:numPr>
        <w:rPr>
          <w:rFonts w:ascii="Calibri" w:cs="Calibri" w:eastAsia="Calibri" w:hAnsi="Calibri"/>
          <w:sz w:val="20"/>
          <w:szCs w:val="20"/>
          <w:color w:val="auto"/>
          <w:vertAlign w:val="superscript"/>
        </w:rPr>
      </w:pPr>
      <w:r>
        <w:rPr>
          <w:rFonts w:ascii="Calibri" w:cs="Calibri" w:eastAsia="Calibri" w:hAnsi="Calibri"/>
          <w:sz w:val="15"/>
          <w:szCs w:val="15"/>
          <w:color w:val="auto"/>
        </w:rPr>
        <w:t>Bluegrass – Blue Mount, LLC is a wholly owned subsidiary of Bluegrass Materials Company, LLC.</w:t>
      </w:r>
    </w:p>
    <w:p>
      <w:pPr>
        <w:spacing w:after="0" w:line="41" w:lineRule="exact"/>
        <w:rPr>
          <w:rFonts w:ascii="Calibri" w:cs="Calibri" w:eastAsia="Calibri" w:hAnsi="Calibri"/>
          <w:sz w:val="20"/>
          <w:szCs w:val="20"/>
          <w:color w:val="auto"/>
          <w:vertAlign w:val="superscript"/>
        </w:rPr>
      </w:pPr>
    </w:p>
    <w:p>
      <w:pPr>
        <w:ind w:left="160" w:hanging="152"/>
        <w:spacing w:after="0" w:line="238" w:lineRule="auto"/>
        <w:tabs>
          <w:tab w:leader="none" w:pos="160" w:val="left"/>
        </w:tabs>
        <w:numPr>
          <w:ilvl w:val="0"/>
          <w:numId w:val="27"/>
        </w:numPr>
        <w:rPr>
          <w:rFonts w:ascii="Calibri" w:cs="Calibri" w:eastAsia="Calibri" w:hAnsi="Calibri"/>
          <w:sz w:val="20"/>
          <w:szCs w:val="20"/>
          <w:color w:val="auto"/>
          <w:vertAlign w:val="superscript"/>
        </w:rPr>
      </w:pPr>
      <w:r>
        <w:rPr>
          <w:rFonts w:ascii="Calibri" w:cs="Calibri" w:eastAsia="Calibri" w:hAnsi="Calibri"/>
          <w:sz w:val="15"/>
          <w:szCs w:val="15"/>
          <w:color w:val="auto"/>
        </w:rPr>
        <w:t>Bluegrass Materials Company, LLC is a wholly owned subsidiary of Panadero Midco, LLC.</w:t>
      </w:r>
    </w:p>
    <w:p>
      <w:pPr>
        <w:spacing w:after="0" w:line="41" w:lineRule="exact"/>
        <w:rPr>
          <w:rFonts w:ascii="Calibri" w:cs="Calibri" w:eastAsia="Calibri" w:hAnsi="Calibri"/>
          <w:sz w:val="20"/>
          <w:szCs w:val="20"/>
          <w:color w:val="auto"/>
          <w:vertAlign w:val="superscript"/>
        </w:rPr>
      </w:pPr>
    </w:p>
    <w:p>
      <w:pPr>
        <w:ind w:left="160" w:hanging="152"/>
        <w:spacing w:after="0" w:line="238" w:lineRule="auto"/>
        <w:tabs>
          <w:tab w:leader="none" w:pos="160" w:val="left"/>
        </w:tabs>
        <w:numPr>
          <w:ilvl w:val="0"/>
          <w:numId w:val="27"/>
        </w:numPr>
        <w:rPr>
          <w:rFonts w:ascii="Calibri" w:cs="Calibri" w:eastAsia="Calibri" w:hAnsi="Calibri"/>
          <w:sz w:val="20"/>
          <w:szCs w:val="20"/>
          <w:color w:val="auto"/>
          <w:vertAlign w:val="superscript"/>
        </w:rPr>
      </w:pPr>
      <w:r>
        <w:rPr>
          <w:rFonts w:ascii="Calibri" w:cs="Calibri" w:eastAsia="Calibri" w:hAnsi="Calibri"/>
          <w:sz w:val="15"/>
          <w:szCs w:val="15"/>
          <w:color w:val="auto"/>
        </w:rPr>
        <w:t>Bluegrass-St. Marys, LLC is a wholly owned subsidiary of Bluegrass Materials Company, LLC.</w:t>
      </w:r>
    </w:p>
    <w:p>
      <w:pPr>
        <w:spacing w:after="0" w:line="41" w:lineRule="exact"/>
        <w:rPr>
          <w:rFonts w:ascii="Calibri" w:cs="Calibri" w:eastAsia="Calibri" w:hAnsi="Calibri"/>
          <w:sz w:val="20"/>
          <w:szCs w:val="20"/>
          <w:color w:val="auto"/>
          <w:vertAlign w:val="superscript"/>
        </w:rPr>
      </w:pPr>
    </w:p>
    <w:p>
      <w:pPr>
        <w:ind w:left="160" w:hanging="152"/>
        <w:spacing w:after="0" w:line="238" w:lineRule="auto"/>
        <w:tabs>
          <w:tab w:leader="none" w:pos="160" w:val="left"/>
        </w:tabs>
        <w:numPr>
          <w:ilvl w:val="0"/>
          <w:numId w:val="27"/>
        </w:numPr>
        <w:rPr>
          <w:rFonts w:ascii="Calibri" w:cs="Calibri" w:eastAsia="Calibri" w:hAnsi="Calibri"/>
          <w:sz w:val="20"/>
          <w:szCs w:val="20"/>
          <w:color w:val="auto"/>
          <w:vertAlign w:val="superscript"/>
        </w:rPr>
      </w:pPr>
      <w:r>
        <w:rPr>
          <w:rFonts w:ascii="Calibri" w:cs="Calibri" w:eastAsia="Calibri" w:hAnsi="Calibri"/>
          <w:sz w:val="15"/>
          <w:szCs w:val="15"/>
          <w:color w:val="auto"/>
        </w:rPr>
        <w:t>Brookhollow Corporaton is a wholly owned subsidiary of Martn Marieta Southwest Ready-Mix, Inc.</w:t>
      </w:r>
    </w:p>
    <w:p>
      <w:pPr>
        <w:spacing w:after="0" w:line="64" w:lineRule="exact"/>
        <w:rPr>
          <w:rFonts w:ascii="Calibri" w:cs="Calibri" w:eastAsia="Calibri" w:hAnsi="Calibri"/>
          <w:sz w:val="20"/>
          <w:szCs w:val="20"/>
          <w:color w:val="auto"/>
          <w:vertAlign w:val="superscript"/>
        </w:rPr>
      </w:pPr>
    </w:p>
    <w:p>
      <w:pPr>
        <w:ind w:left="220" w:hanging="212"/>
        <w:spacing w:after="0"/>
        <w:tabs>
          <w:tab w:leader="none" w:pos="220" w:val="left"/>
        </w:tabs>
        <w:numPr>
          <w:ilvl w:val="0"/>
          <w:numId w:val="27"/>
        </w:numPr>
        <w:rPr>
          <w:rFonts w:ascii="Calibri" w:cs="Calibri" w:eastAsia="Calibri" w:hAnsi="Calibri"/>
          <w:sz w:val="18"/>
          <w:szCs w:val="18"/>
          <w:color w:val="auto"/>
          <w:vertAlign w:val="superscript"/>
        </w:rPr>
      </w:pPr>
      <w:r>
        <w:rPr>
          <w:rFonts w:ascii="Calibri" w:cs="Calibri" w:eastAsia="Calibri" w:hAnsi="Calibri"/>
          <w:sz w:val="14"/>
          <w:szCs w:val="14"/>
          <w:color w:val="auto"/>
        </w:rPr>
        <w:t>Campbell’s C-Ment Contractng, Inc. is a wholly owned subsidiary of Suburban Acquisiton Company.</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7"/>
        </w:numPr>
        <w:rPr>
          <w:rFonts w:ascii="Calibri" w:cs="Calibri" w:eastAsia="Calibri" w:hAnsi="Calibri"/>
          <w:sz w:val="18"/>
          <w:szCs w:val="18"/>
          <w:color w:val="auto"/>
          <w:vertAlign w:val="superscript"/>
        </w:rPr>
      </w:pPr>
      <w:r>
        <w:rPr>
          <w:rFonts w:ascii="Calibri" w:cs="Calibri" w:eastAsia="Calibri" w:hAnsi="Calibri"/>
          <w:sz w:val="14"/>
          <w:szCs w:val="14"/>
          <w:color w:val="auto"/>
        </w:rPr>
        <w:t>Creole Corporaton is a wholly owned subsidiary of Martn Marieta Southwest Ready-Mix, Inc.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7"/>
        </w:numPr>
        <w:rPr>
          <w:rFonts w:ascii="Calibri" w:cs="Calibri" w:eastAsia="Calibri" w:hAnsi="Calibri"/>
          <w:sz w:val="18"/>
          <w:szCs w:val="18"/>
          <w:color w:val="auto"/>
          <w:vertAlign w:val="superscript"/>
        </w:rPr>
      </w:pPr>
      <w:r>
        <w:rPr>
          <w:rFonts w:ascii="Calibri" w:cs="Calibri" w:eastAsia="Calibri" w:hAnsi="Calibri"/>
          <w:sz w:val="14"/>
          <w:szCs w:val="14"/>
          <w:color w:val="auto"/>
        </w:rPr>
        <w:t>FRI Ready Mix of Tennessee, LLC is a wholly owned subsidiary of American Materials Technologies,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7"/>
        </w:numPr>
        <w:rPr>
          <w:rFonts w:ascii="Calibri" w:cs="Calibri" w:eastAsia="Calibri" w:hAnsi="Calibri"/>
          <w:sz w:val="18"/>
          <w:szCs w:val="18"/>
          <w:color w:val="auto"/>
          <w:vertAlign w:val="superscript"/>
        </w:rPr>
      </w:pPr>
      <w:r>
        <w:rPr>
          <w:rFonts w:ascii="Calibri" w:cs="Calibri" w:eastAsia="Calibri" w:hAnsi="Calibri"/>
          <w:sz w:val="14"/>
          <w:szCs w:val="14"/>
          <w:color w:val="auto"/>
        </w:rPr>
        <w:t>Granite Canyon Quarry is owned 51% by Meridian Granite Company and 49% by Martn Marieta Materials Real Estate Investments, Inc.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7"/>
        </w:numPr>
        <w:rPr>
          <w:rFonts w:ascii="Calibri" w:cs="Calibri" w:eastAsia="Calibri" w:hAnsi="Calibri"/>
          <w:sz w:val="18"/>
          <w:szCs w:val="18"/>
          <w:color w:val="auto"/>
          <w:vertAlign w:val="superscript"/>
        </w:rPr>
      </w:pPr>
      <w:r>
        <w:rPr>
          <w:rFonts w:ascii="Calibri" w:cs="Calibri" w:eastAsia="Calibri" w:hAnsi="Calibri"/>
          <w:sz w:val="14"/>
          <w:szCs w:val="14"/>
          <w:color w:val="auto"/>
        </w:rPr>
        <w:t>Kent Sand &amp; Gravel Company, LLC is a wholly owned subsidiary of Bluegrass Materials Company,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7"/>
        </w:numPr>
        <w:rPr>
          <w:rFonts w:ascii="Calibri" w:cs="Calibri" w:eastAsia="Calibri" w:hAnsi="Calibri"/>
          <w:sz w:val="18"/>
          <w:szCs w:val="18"/>
          <w:color w:val="auto"/>
          <w:vertAlign w:val="superscript"/>
        </w:rPr>
      </w:pPr>
      <w:r>
        <w:rPr>
          <w:rFonts w:ascii="Calibri" w:cs="Calibri" w:eastAsia="Calibri" w:hAnsi="Calibri"/>
          <w:sz w:val="14"/>
          <w:szCs w:val="14"/>
          <w:color w:val="auto"/>
        </w:rPr>
        <w:t>Mardell Trucking Company, Inc. is owned 50% by Bluegrass Materials Company, LLC and 50% by Petrillo Brothers, Inc.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7"/>
        </w:numPr>
        <w:rPr>
          <w:rFonts w:ascii="Calibri" w:cs="Calibri" w:eastAsia="Calibri" w:hAnsi="Calibri"/>
          <w:sz w:val="18"/>
          <w:szCs w:val="18"/>
          <w:color w:val="auto"/>
          <w:vertAlign w:val="superscript"/>
        </w:rPr>
      </w:pPr>
      <w:r>
        <w:rPr>
          <w:rFonts w:ascii="Calibri" w:cs="Calibri" w:eastAsia="Calibri" w:hAnsi="Calibri"/>
          <w:sz w:val="14"/>
          <w:szCs w:val="14"/>
          <w:color w:val="auto"/>
        </w:rPr>
        <w:t>Martn Marieta Arizona, LLC is a wholly owned subsidiary of Martn Marieta Materials West Division,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7"/>
        </w:numPr>
        <w:rPr>
          <w:rFonts w:ascii="Calibri" w:cs="Calibri" w:eastAsia="Calibri" w:hAnsi="Calibri"/>
          <w:sz w:val="18"/>
          <w:szCs w:val="18"/>
          <w:color w:val="auto"/>
          <w:vertAlign w:val="superscript"/>
        </w:rPr>
      </w:pPr>
      <w:r>
        <w:rPr>
          <w:rFonts w:ascii="Calibri" w:cs="Calibri" w:eastAsia="Calibri" w:hAnsi="Calibri"/>
          <w:sz w:val="14"/>
          <w:szCs w:val="14"/>
          <w:color w:val="auto"/>
        </w:rPr>
        <w:t>Martn Marieta Bluegrass, LLC is owned 61.62% by Panadero Corp. and 38.38% by Martn Marieta Materials, Inc.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7"/>
        </w:numPr>
        <w:rPr>
          <w:rFonts w:ascii="Calibri" w:cs="Calibri" w:eastAsia="Calibri" w:hAnsi="Calibri"/>
          <w:sz w:val="18"/>
          <w:szCs w:val="18"/>
          <w:color w:val="auto"/>
          <w:vertAlign w:val="superscript"/>
        </w:rPr>
      </w:pPr>
      <w:r>
        <w:rPr>
          <w:rFonts w:ascii="Calibri" w:cs="Calibri" w:eastAsia="Calibri" w:hAnsi="Calibri"/>
          <w:sz w:val="14"/>
          <w:szCs w:val="14"/>
          <w:color w:val="auto"/>
        </w:rPr>
        <w:t>Martn Marieta California A&amp;P, LLC is a wholly owned subsidiary of Martn Marieta Materials West Division,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7"/>
        </w:numPr>
        <w:rPr>
          <w:rFonts w:ascii="Calibri" w:cs="Calibri" w:eastAsia="Calibri" w:hAnsi="Calibri"/>
          <w:sz w:val="18"/>
          <w:szCs w:val="18"/>
          <w:color w:val="auto"/>
          <w:vertAlign w:val="superscript"/>
        </w:rPr>
      </w:pPr>
      <w:r>
        <w:rPr>
          <w:rFonts w:ascii="Calibri" w:cs="Calibri" w:eastAsia="Calibri" w:hAnsi="Calibri"/>
          <w:sz w:val="14"/>
          <w:szCs w:val="14"/>
          <w:color w:val="auto"/>
        </w:rPr>
        <w:t>Martn Marieta California Ready-Mix, LLC is a wholly owned subsidiary of Martn Marieta Southern California Cement,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7"/>
        </w:numPr>
        <w:rPr>
          <w:rFonts w:ascii="Calibri" w:cs="Calibri" w:eastAsia="Calibri" w:hAnsi="Calibri"/>
          <w:sz w:val="18"/>
          <w:szCs w:val="18"/>
          <w:color w:val="auto"/>
          <w:vertAlign w:val="superscript"/>
        </w:rPr>
      </w:pPr>
      <w:r>
        <w:rPr>
          <w:rFonts w:ascii="Calibri" w:cs="Calibri" w:eastAsia="Calibri" w:hAnsi="Calibri"/>
          <w:sz w:val="14"/>
          <w:szCs w:val="14"/>
          <w:color w:val="auto"/>
        </w:rPr>
        <w:t>Martn Marieta Fleet Management LLC, is a wholly owned subsidiary of Martn Marieta Texas Ready-Mix, LLC</w:t>
      </w:r>
    </w:p>
    <w:p>
      <w:pPr>
        <w:spacing w:after="0" w:line="68" w:lineRule="exact"/>
        <w:rPr>
          <w:sz w:val="20"/>
          <w:szCs w:val="20"/>
          <w:color w:val="auto"/>
        </w:rPr>
      </w:pPr>
    </w:p>
    <w:p>
      <w:pPr>
        <w:spacing w:after="0"/>
        <w:rPr>
          <w:sz w:val="20"/>
          <w:szCs w:val="20"/>
          <w:color w:val="auto"/>
        </w:rPr>
      </w:pPr>
      <w:r>
        <w:rPr>
          <w:rFonts w:ascii="Calibri" w:cs="Calibri" w:eastAsia="Calibri" w:hAnsi="Calibri"/>
          <w:sz w:val="21"/>
          <w:szCs w:val="21"/>
          <w:color w:val="auto"/>
          <w:vertAlign w:val="superscript"/>
        </w:rPr>
        <w:t>[21]</w:t>
      </w:r>
      <w:r>
        <w:rPr>
          <w:rFonts w:ascii="Calibri" w:cs="Calibri" w:eastAsia="Calibri" w:hAnsi="Calibri"/>
          <w:sz w:val="16"/>
          <w:szCs w:val="16"/>
          <w:color w:val="auto"/>
        </w:rPr>
        <w:t>Martn Marieta Kansas City, LLC is owned 95% by Martn Marieta Materials, Inc. and 5% by Martn Marieta Materials of Missouri, Inc.</w:t>
      </w:r>
    </w:p>
    <w:p>
      <w:pPr>
        <w:spacing w:after="0" w:line="23" w:lineRule="exact"/>
        <w:rPr>
          <w:sz w:val="20"/>
          <w:szCs w:val="20"/>
          <w:color w:val="auto"/>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Martn Marieta Marine Finance, LLC is a wholly owned subsidiary of Martn Marieta Northern California Aggregates,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Martn Marieta Marine Operatons, LLC is a wholly owned subsidiary of Martn Marieta Northern California Aggregates,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Martn Marieta Northern California Aggregates, LLC is a wholly owned subsidiary of Martn Marieta Southern California Aggregates,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Martn Marieta Pacifc District Cement LLC is a wholly owned subsidiary of MMMW CMT,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Martn Marieta San Diego Aggregates LLC is a wholly owned subsidiary of Martn Marieta Southern California Aggregates,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Martn Marieta Southern California Aggregates, LLC is a wholly owned subsidiary of MMMW AGG,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Martn Marieta Texas Ready-Mix, LLC is a wholly owned subsidiary of Martn Marieta Southwest Ready-Mix, Inc.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Martn Marieta Stockton, LLC is a wholly owned subsidiary of Martn Marieta Southern California Cement,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Material Producers, Inc. is a wholly owned subsidiary of Martn Marieta Materials Southwest,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Maryland Materials, Inc. is owned 50% by Bluegrass Materials Company, LLC and 50% by Petrillo Brothers, Inc.</w:t>
      </w:r>
    </w:p>
    <w:p>
      <w:pPr>
        <w:spacing w:after="0" w:line="90" w:lineRule="exact"/>
        <w:rPr>
          <w:rFonts w:ascii="Calibri" w:cs="Calibri" w:eastAsia="Calibri" w:hAnsi="Calibri"/>
          <w:sz w:val="18"/>
          <w:szCs w:val="18"/>
          <w:color w:val="auto"/>
          <w:vertAlign w:val="superscript"/>
        </w:rPr>
      </w:pPr>
    </w:p>
    <w:p>
      <w:pPr>
        <w:ind w:firstLine="8"/>
        <w:spacing w:after="0"/>
        <w:tabs>
          <w:tab w:leader="none" w:pos="239" w:val="left"/>
        </w:tabs>
        <w:numPr>
          <w:ilvl w:val="0"/>
          <w:numId w:val="28"/>
        </w:numPr>
        <w:rPr>
          <w:rFonts w:ascii="Calibri" w:cs="Calibri" w:eastAsia="Calibri" w:hAnsi="Calibri"/>
          <w:sz w:val="21"/>
          <w:szCs w:val="21"/>
          <w:color w:val="auto"/>
          <w:vertAlign w:val="superscript"/>
        </w:rPr>
      </w:pPr>
      <w:r>
        <w:rPr>
          <w:rFonts w:ascii="Calibri" w:cs="Calibri" w:eastAsia="Calibri" w:hAnsi="Calibri"/>
          <w:sz w:val="15"/>
          <w:szCs w:val="15"/>
          <w:color w:val="auto"/>
        </w:rPr>
        <w:t>Meridian Aggregates Company, a Limited Partnership, is owned 98% by Meridian Aggregates Investments, LLC. The remaining 2% is owned by Martn Marieta Materials, Inc.</w:t>
      </w:r>
    </w:p>
    <w:p>
      <w:pPr>
        <w:spacing w:after="0" w:line="203" w:lineRule="exact"/>
        <w:rPr>
          <w:rFonts w:ascii="Calibri" w:cs="Calibri" w:eastAsia="Calibri" w:hAnsi="Calibri"/>
          <w:sz w:val="21"/>
          <w:szCs w:val="21"/>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Meridian Aggregates Investments, LLC is owned 99% by Martn Marieta Materials, Inc. and 1% by Martn Marieta Materials Real Estate Investments, Inc.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Meridian Granite Company is a wholly owned subsidiary of Meridian Aggregates Company, a Limited Partnership.</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Mission Valley Rock Co., LLC is a wholly owned subsidiary of Martn Marieta Northern California Aggregates,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MMM Mexico I, LLC is a wholly owned subsidiary of Martn Marieta Materials West Division,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MMM Mexico, LLC is a wholly owned subsidiary of Martn Marieta Materials West Division,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MMMW AGG, LLC is a wholly owned subsidiary of Martn Marieta Materials West Division,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MMMW CMT, LLC is a wholly owned subsidiary of Martn Marieta Materials West Division,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Martn Marieta Magnesia Specialtes, LLC, a wholly owned subsidiary of Martn Marieta Materials, Inc., owns a 50% interest in MTD Pipeline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North East Land and Material Company, Inc. is a wholly owned subsidiary of Maryland Materials, Inc.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Panadero Midco, LLC is a wholly owned subsidiary of Martn Marieta Bluegrass, LLC.</w:t>
      </w:r>
    </w:p>
    <w:p>
      <w:pPr>
        <w:spacing w:after="0" w:line="63" w:lineRule="exact"/>
        <w:rPr>
          <w:rFonts w:ascii="Calibri" w:cs="Calibri" w:eastAsia="Calibri" w:hAnsi="Calibri"/>
          <w:sz w:val="18"/>
          <w:szCs w:val="18"/>
          <w:color w:val="auto"/>
          <w:vertAlign w:val="superscript"/>
        </w:rPr>
      </w:pPr>
    </w:p>
    <w:p>
      <w:pPr>
        <w:ind w:left="220" w:hanging="212"/>
        <w:spacing w:after="0"/>
        <w:tabs>
          <w:tab w:leader="none" w:pos="220" w:val="left"/>
        </w:tabs>
        <w:numPr>
          <w:ilvl w:val="0"/>
          <w:numId w:val="28"/>
        </w:numPr>
        <w:rPr>
          <w:rFonts w:ascii="Calibri" w:cs="Calibri" w:eastAsia="Calibri" w:hAnsi="Calibri"/>
          <w:sz w:val="18"/>
          <w:szCs w:val="18"/>
          <w:color w:val="auto"/>
          <w:vertAlign w:val="superscript"/>
        </w:rPr>
      </w:pPr>
      <w:r>
        <w:rPr>
          <w:rFonts w:ascii="Calibri" w:cs="Calibri" w:eastAsia="Calibri" w:hAnsi="Calibri"/>
          <w:sz w:val="14"/>
          <w:szCs w:val="14"/>
          <w:color w:val="auto"/>
        </w:rPr>
        <w:t>PCAz Leasing, LLC is a wholly owned subsidiary of Martn Marieta Arizona,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5" w:right="359" w:bottom="1440" w:gutter="0" w:footer="0" w:header="0"/>
        </w:sectPr>
      </w:pPr>
    </w:p>
    <w:bookmarkStart w:id="128" w:name="page129"/>
    <w:bookmarkEnd w:id="128"/>
    <w:p>
      <w:pPr>
        <w:ind w:left="212" w:hanging="212"/>
        <w:spacing w:after="0"/>
        <w:tabs>
          <w:tab w:leader="none" w:pos="212" w:val="left"/>
        </w:tabs>
        <w:numPr>
          <w:ilvl w:val="0"/>
          <w:numId w:val="29"/>
        </w:numPr>
        <w:rPr>
          <w:rFonts w:ascii="Calibri" w:cs="Calibri" w:eastAsia="Calibri" w:hAnsi="Calibri"/>
          <w:sz w:val="18"/>
          <w:szCs w:val="18"/>
          <w:color w:val="auto"/>
          <w:vertAlign w:val="superscript"/>
        </w:rPr>
      </w:pPr>
      <w:r>
        <w:rPr>
          <w:rFonts w:ascii="Calibri" w:cs="Calibri" w:eastAsia="Calibri" w:hAnsi="Calibri"/>
          <w:sz w:val="14"/>
          <w:szCs w:val="14"/>
          <w:color w:val="auto"/>
        </w:rPr>
        <w:t>Petrillo Brothers, Inc. is a wholly owned subsidiary of Bluegrass Materials Company, LLC.</w:t>
      </w:r>
    </w:p>
    <w:p>
      <w:pPr>
        <w:spacing w:after="0" w:line="63" w:lineRule="exact"/>
        <w:rPr>
          <w:rFonts w:ascii="Calibri" w:cs="Calibri" w:eastAsia="Calibri" w:hAnsi="Calibri"/>
          <w:sz w:val="18"/>
          <w:szCs w:val="18"/>
          <w:color w:val="auto"/>
          <w:vertAlign w:val="superscript"/>
        </w:rPr>
      </w:pPr>
    </w:p>
    <w:p>
      <w:pPr>
        <w:ind w:left="212" w:hanging="212"/>
        <w:spacing w:after="0"/>
        <w:tabs>
          <w:tab w:leader="none" w:pos="212" w:val="left"/>
        </w:tabs>
        <w:numPr>
          <w:ilvl w:val="0"/>
          <w:numId w:val="29"/>
        </w:numPr>
        <w:rPr>
          <w:rFonts w:ascii="Calibri" w:cs="Calibri" w:eastAsia="Calibri" w:hAnsi="Calibri"/>
          <w:sz w:val="18"/>
          <w:szCs w:val="18"/>
          <w:color w:val="auto"/>
          <w:vertAlign w:val="superscript"/>
        </w:rPr>
      </w:pPr>
      <w:r>
        <w:rPr>
          <w:rFonts w:ascii="Calibri" w:cs="Calibri" w:eastAsia="Calibri" w:hAnsi="Calibri"/>
          <w:sz w:val="14"/>
          <w:szCs w:val="14"/>
          <w:color w:val="auto"/>
        </w:rPr>
        <w:t>Piedras y Arenas Baja, S. De R.L. de C.V. is owned 99.9999% by MMM Mexico, LLC and 0.0001% by MMM Mexico I, LLC.</w:t>
      </w:r>
    </w:p>
    <w:p>
      <w:pPr>
        <w:spacing w:after="0" w:line="63" w:lineRule="exact"/>
        <w:rPr>
          <w:rFonts w:ascii="Calibri" w:cs="Calibri" w:eastAsia="Calibri" w:hAnsi="Calibri"/>
          <w:sz w:val="18"/>
          <w:szCs w:val="18"/>
          <w:color w:val="auto"/>
          <w:vertAlign w:val="superscript"/>
        </w:rPr>
      </w:pPr>
    </w:p>
    <w:p>
      <w:pPr>
        <w:ind w:left="212" w:hanging="212"/>
        <w:spacing w:after="0"/>
        <w:tabs>
          <w:tab w:leader="none" w:pos="212" w:val="left"/>
        </w:tabs>
        <w:numPr>
          <w:ilvl w:val="0"/>
          <w:numId w:val="29"/>
        </w:numPr>
        <w:rPr>
          <w:rFonts w:ascii="Calibri" w:cs="Calibri" w:eastAsia="Calibri" w:hAnsi="Calibri"/>
          <w:sz w:val="18"/>
          <w:szCs w:val="18"/>
          <w:color w:val="auto"/>
          <w:vertAlign w:val="superscript"/>
        </w:rPr>
      </w:pPr>
      <w:r>
        <w:rPr>
          <w:rFonts w:ascii="Calibri" w:cs="Calibri" w:eastAsia="Calibri" w:hAnsi="Calibri"/>
          <w:sz w:val="14"/>
          <w:szCs w:val="14"/>
          <w:color w:val="auto"/>
        </w:rPr>
        <w:t>Powderly Transportaton, Inc. is a wholly owned subsidiary of Meridian Aggregates Company, a Limited Partnership.</w:t>
      </w:r>
    </w:p>
    <w:p>
      <w:pPr>
        <w:spacing w:after="0" w:line="90" w:lineRule="exact"/>
        <w:rPr>
          <w:rFonts w:ascii="Calibri" w:cs="Calibri" w:eastAsia="Calibri" w:hAnsi="Calibri"/>
          <w:sz w:val="18"/>
          <w:szCs w:val="18"/>
          <w:color w:val="auto"/>
          <w:vertAlign w:val="superscript"/>
        </w:rPr>
      </w:pPr>
    </w:p>
    <w:p>
      <w:pPr>
        <w:ind w:left="-8" w:firstLine="8"/>
        <w:spacing w:after="0" w:line="247" w:lineRule="auto"/>
        <w:tabs>
          <w:tab w:leader="none" w:pos="210" w:val="left"/>
        </w:tabs>
        <w:numPr>
          <w:ilvl w:val="0"/>
          <w:numId w:val="29"/>
        </w:numPr>
        <w:rPr>
          <w:rFonts w:ascii="Calibri" w:cs="Calibri" w:eastAsia="Calibri" w:hAnsi="Calibri"/>
          <w:sz w:val="18"/>
          <w:szCs w:val="18"/>
          <w:color w:val="auto"/>
          <w:vertAlign w:val="superscript"/>
        </w:rPr>
      </w:pPr>
      <w:r>
        <w:rPr>
          <w:rFonts w:ascii="Calibri" w:cs="Calibri" w:eastAsia="Calibri" w:hAnsi="Calibri"/>
          <w:sz w:val="14"/>
          <w:szCs w:val="14"/>
          <w:color w:val="auto"/>
        </w:rPr>
        <w:t>Martn Marieta Materials, Inc. is the manager of and owns a 90% interest in R&amp;S Sand &amp; Gravel, LLC. The other 10% is owned by Harding Street Corporaton, a wholly owned subsidiary of Martn Marieta Materials, Inc.</w:t>
      </w:r>
    </w:p>
    <w:p>
      <w:pPr>
        <w:spacing w:after="0" w:line="57" w:lineRule="exact"/>
        <w:rPr>
          <w:rFonts w:ascii="Calibri" w:cs="Calibri" w:eastAsia="Calibri" w:hAnsi="Calibri"/>
          <w:sz w:val="18"/>
          <w:szCs w:val="18"/>
          <w:color w:val="auto"/>
          <w:vertAlign w:val="superscript"/>
        </w:rPr>
      </w:pPr>
    </w:p>
    <w:p>
      <w:pPr>
        <w:ind w:left="212" w:hanging="212"/>
        <w:spacing w:after="0"/>
        <w:tabs>
          <w:tab w:leader="none" w:pos="212" w:val="left"/>
        </w:tabs>
        <w:numPr>
          <w:ilvl w:val="0"/>
          <w:numId w:val="29"/>
        </w:numPr>
        <w:rPr>
          <w:rFonts w:ascii="Calibri" w:cs="Calibri" w:eastAsia="Calibri" w:hAnsi="Calibri"/>
          <w:sz w:val="18"/>
          <w:szCs w:val="18"/>
          <w:color w:val="auto"/>
          <w:vertAlign w:val="superscript"/>
        </w:rPr>
      </w:pPr>
      <w:r>
        <w:rPr>
          <w:rFonts w:ascii="Calibri" w:cs="Calibri" w:eastAsia="Calibri" w:hAnsi="Calibri"/>
          <w:sz w:val="14"/>
          <w:szCs w:val="14"/>
          <w:color w:val="auto"/>
        </w:rPr>
        <w:t>Riverside Cement Company is owned 49% by TXI California, LLC. and 51% by TXI Riverside LLC</w:t>
      </w:r>
    </w:p>
    <w:p>
      <w:pPr>
        <w:spacing w:after="0" w:line="63" w:lineRule="exact"/>
        <w:rPr>
          <w:rFonts w:ascii="Calibri" w:cs="Calibri" w:eastAsia="Calibri" w:hAnsi="Calibri"/>
          <w:sz w:val="18"/>
          <w:szCs w:val="18"/>
          <w:color w:val="auto"/>
          <w:vertAlign w:val="superscript"/>
        </w:rPr>
      </w:pPr>
    </w:p>
    <w:p>
      <w:pPr>
        <w:ind w:left="212" w:hanging="212"/>
        <w:spacing w:after="0"/>
        <w:tabs>
          <w:tab w:leader="none" w:pos="212" w:val="left"/>
        </w:tabs>
        <w:numPr>
          <w:ilvl w:val="0"/>
          <w:numId w:val="29"/>
        </w:numPr>
        <w:rPr>
          <w:rFonts w:ascii="Calibri" w:cs="Calibri" w:eastAsia="Calibri" w:hAnsi="Calibri"/>
          <w:sz w:val="18"/>
          <w:szCs w:val="18"/>
          <w:color w:val="auto"/>
          <w:vertAlign w:val="superscript"/>
        </w:rPr>
      </w:pPr>
      <w:r>
        <w:rPr>
          <w:rFonts w:ascii="Calibri" w:cs="Calibri" w:eastAsia="Calibri" w:hAnsi="Calibri"/>
          <w:sz w:val="14"/>
          <w:szCs w:val="14"/>
          <w:color w:val="auto"/>
        </w:rPr>
        <w:t>Rocky Mountain Ready Mix Concrete, Inc. is a wholly owned subsidiary of Campbell’s C-Ment Contractng, Inc.</w:t>
      </w:r>
    </w:p>
    <w:p>
      <w:pPr>
        <w:spacing w:after="0" w:line="63" w:lineRule="exact"/>
        <w:rPr>
          <w:rFonts w:ascii="Calibri" w:cs="Calibri" w:eastAsia="Calibri" w:hAnsi="Calibri"/>
          <w:sz w:val="18"/>
          <w:szCs w:val="18"/>
          <w:color w:val="auto"/>
          <w:vertAlign w:val="superscript"/>
        </w:rPr>
      </w:pPr>
    </w:p>
    <w:p>
      <w:pPr>
        <w:ind w:left="212" w:hanging="212"/>
        <w:spacing w:after="0"/>
        <w:tabs>
          <w:tab w:leader="none" w:pos="212" w:val="left"/>
        </w:tabs>
        <w:numPr>
          <w:ilvl w:val="0"/>
          <w:numId w:val="29"/>
        </w:numPr>
        <w:rPr>
          <w:rFonts w:ascii="Calibri" w:cs="Calibri" w:eastAsia="Calibri" w:hAnsi="Calibri"/>
          <w:sz w:val="18"/>
          <w:szCs w:val="18"/>
          <w:color w:val="auto"/>
          <w:vertAlign w:val="superscript"/>
        </w:rPr>
      </w:pPr>
      <w:r>
        <w:rPr>
          <w:rFonts w:ascii="Calibri" w:cs="Calibri" w:eastAsia="Calibri" w:hAnsi="Calibri"/>
          <w:sz w:val="14"/>
          <w:szCs w:val="14"/>
          <w:color w:val="auto"/>
        </w:rPr>
        <w:t>Rock &amp; Rail LLC, a wholly owned subsidiary of Martn Marieta Materials, Inc., owns a 50% interest in Royal Gorge Express, LLC</w:t>
      </w:r>
    </w:p>
    <w:p>
      <w:pPr>
        <w:spacing w:after="0" w:line="63" w:lineRule="exact"/>
        <w:rPr>
          <w:rFonts w:ascii="Calibri" w:cs="Calibri" w:eastAsia="Calibri" w:hAnsi="Calibri"/>
          <w:sz w:val="18"/>
          <w:szCs w:val="18"/>
          <w:color w:val="auto"/>
          <w:vertAlign w:val="superscript"/>
        </w:rPr>
      </w:pPr>
    </w:p>
    <w:p>
      <w:pPr>
        <w:ind w:left="212" w:hanging="212"/>
        <w:spacing w:after="0"/>
        <w:tabs>
          <w:tab w:leader="none" w:pos="212" w:val="left"/>
        </w:tabs>
        <w:numPr>
          <w:ilvl w:val="0"/>
          <w:numId w:val="29"/>
        </w:numPr>
        <w:rPr>
          <w:rFonts w:ascii="Calibri" w:cs="Calibri" w:eastAsia="Calibri" w:hAnsi="Calibri"/>
          <w:sz w:val="18"/>
          <w:szCs w:val="18"/>
          <w:color w:val="auto"/>
          <w:vertAlign w:val="superscript"/>
        </w:rPr>
      </w:pPr>
      <w:r>
        <w:rPr>
          <w:rFonts w:ascii="Calibri" w:cs="Calibri" w:eastAsia="Calibri" w:hAnsi="Calibri"/>
          <w:sz w:val="14"/>
          <w:szCs w:val="14"/>
          <w:color w:val="auto"/>
        </w:rPr>
        <w:t>St. Marys Sand Company, LLC is a wholly owned subsidiary of Bluegrass-St. Marys, LLC.</w:t>
      </w:r>
    </w:p>
    <w:p>
      <w:pPr>
        <w:spacing w:after="0" w:line="63" w:lineRule="exact"/>
        <w:rPr>
          <w:rFonts w:ascii="Calibri" w:cs="Calibri" w:eastAsia="Calibri" w:hAnsi="Calibri"/>
          <w:sz w:val="18"/>
          <w:szCs w:val="18"/>
          <w:color w:val="auto"/>
          <w:vertAlign w:val="superscript"/>
        </w:rPr>
      </w:pPr>
    </w:p>
    <w:p>
      <w:pPr>
        <w:ind w:left="212" w:hanging="212"/>
        <w:spacing w:after="0"/>
        <w:tabs>
          <w:tab w:leader="none" w:pos="212" w:val="left"/>
        </w:tabs>
        <w:numPr>
          <w:ilvl w:val="0"/>
          <w:numId w:val="29"/>
        </w:numPr>
        <w:rPr>
          <w:rFonts w:ascii="Calibri" w:cs="Calibri" w:eastAsia="Calibri" w:hAnsi="Calibri"/>
          <w:sz w:val="18"/>
          <w:szCs w:val="18"/>
          <w:color w:val="auto"/>
          <w:vertAlign w:val="superscript"/>
        </w:rPr>
      </w:pPr>
      <w:r>
        <w:rPr>
          <w:rFonts w:ascii="Calibri" w:cs="Calibri" w:eastAsia="Calibri" w:hAnsi="Calibri"/>
          <w:sz w:val="14"/>
          <w:szCs w:val="14"/>
          <w:color w:val="auto"/>
        </w:rPr>
        <w:t>Martn Marieta Materials, Inc. is the manager of and owns a 60.7% interest in Theodore Holdings, LLC.</w:t>
      </w:r>
    </w:p>
    <w:p>
      <w:pPr>
        <w:spacing w:after="0" w:line="63" w:lineRule="exact"/>
        <w:rPr>
          <w:rFonts w:ascii="Calibri" w:cs="Calibri" w:eastAsia="Calibri" w:hAnsi="Calibri"/>
          <w:sz w:val="18"/>
          <w:szCs w:val="18"/>
          <w:color w:val="auto"/>
          <w:vertAlign w:val="superscript"/>
        </w:rPr>
      </w:pPr>
    </w:p>
    <w:p>
      <w:pPr>
        <w:ind w:left="212" w:hanging="212"/>
        <w:spacing w:after="0"/>
        <w:tabs>
          <w:tab w:leader="none" w:pos="212" w:val="left"/>
        </w:tabs>
        <w:numPr>
          <w:ilvl w:val="0"/>
          <w:numId w:val="29"/>
        </w:numPr>
        <w:rPr>
          <w:rFonts w:ascii="Calibri" w:cs="Calibri" w:eastAsia="Calibri" w:hAnsi="Calibri"/>
          <w:sz w:val="18"/>
          <w:szCs w:val="18"/>
          <w:color w:val="auto"/>
          <w:vertAlign w:val="superscript"/>
        </w:rPr>
      </w:pPr>
      <w:r>
        <w:rPr>
          <w:rFonts w:ascii="Calibri" w:cs="Calibri" w:eastAsia="Calibri" w:hAnsi="Calibri"/>
          <w:sz w:val="14"/>
          <w:szCs w:val="14"/>
          <w:color w:val="auto"/>
        </w:rPr>
        <w:t>TXI Aviaton, Inc. is a wholly owned subsidiary of Martn Marieta Southwest Ready-Mix, Inc.</w:t>
      </w:r>
    </w:p>
    <w:p>
      <w:pPr>
        <w:spacing w:after="0" w:line="63" w:lineRule="exact"/>
        <w:rPr>
          <w:rFonts w:ascii="Calibri" w:cs="Calibri" w:eastAsia="Calibri" w:hAnsi="Calibri"/>
          <w:sz w:val="18"/>
          <w:szCs w:val="18"/>
          <w:color w:val="auto"/>
          <w:vertAlign w:val="superscript"/>
        </w:rPr>
      </w:pPr>
    </w:p>
    <w:p>
      <w:pPr>
        <w:ind w:left="212" w:hanging="212"/>
        <w:spacing w:after="0"/>
        <w:tabs>
          <w:tab w:leader="none" w:pos="212" w:val="left"/>
        </w:tabs>
        <w:numPr>
          <w:ilvl w:val="0"/>
          <w:numId w:val="29"/>
        </w:numPr>
        <w:rPr>
          <w:rFonts w:ascii="Calibri" w:cs="Calibri" w:eastAsia="Calibri" w:hAnsi="Calibri"/>
          <w:sz w:val="18"/>
          <w:szCs w:val="18"/>
          <w:color w:val="auto"/>
          <w:vertAlign w:val="superscript"/>
        </w:rPr>
      </w:pPr>
      <w:r>
        <w:rPr>
          <w:rFonts w:ascii="Calibri" w:cs="Calibri" w:eastAsia="Calibri" w:hAnsi="Calibri"/>
          <w:sz w:val="14"/>
          <w:szCs w:val="14"/>
          <w:color w:val="auto"/>
        </w:rPr>
        <w:t>TXI California, LLC is a wholly owned subsidiary of Martn Marieta Southwest Ready-Mix, Inc.</w:t>
      </w:r>
    </w:p>
    <w:p>
      <w:pPr>
        <w:spacing w:after="0" w:line="63" w:lineRule="exact"/>
        <w:rPr>
          <w:rFonts w:ascii="Calibri" w:cs="Calibri" w:eastAsia="Calibri" w:hAnsi="Calibri"/>
          <w:sz w:val="18"/>
          <w:szCs w:val="18"/>
          <w:color w:val="auto"/>
          <w:vertAlign w:val="superscript"/>
        </w:rPr>
      </w:pPr>
    </w:p>
    <w:p>
      <w:pPr>
        <w:ind w:left="212" w:hanging="212"/>
        <w:spacing w:after="0"/>
        <w:tabs>
          <w:tab w:leader="none" w:pos="212" w:val="left"/>
        </w:tabs>
        <w:numPr>
          <w:ilvl w:val="0"/>
          <w:numId w:val="29"/>
        </w:numPr>
        <w:rPr>
          <w:rFonts w:ascii="Calibri" w:cs="Calibri" w:eastAsia="Calibri" w:hAnsi="Calibri"/>
          <w:sz w:val="18"/>
          <w:szCs w:val="18"/>
          <w:color w:val="auto"/>
          <w:vertAlign w:val="superscript"/>
        </w:rPr>
      </w:pPr>
      <w:r>
        <w:rPr>
          <w:rFonts w:ascii="Calibri" w:cs="Calibri" w:eastAsia="Calibri" w:hAnsi="Calibri"/>
          <w:sz w:val="14"/>
          <w:szCs w:val="14"/>
          <w:color w:val="auto"/>
        </w:rPr>
        <w:t>TXI Riverside, LLC is a wholly owned subsidiary of Martn Marieta Southwest Ready-Mix, Inc.</w:t>
      </w:r>
    </w:p>
    <w:p>
      <w:pPr>
        <w:spacing w:after="0" w:line="75" w:lineRule="exact"/>
        <w:rPr>
          <w:rFonts w:ascii="Calibri" w:cs="Calibri" w:eastAsia="Calibri" w:hAnsi="Calibri"/>
          <w:sz w:val="18"/>
          <w:szCs w:val="18"/>
          <w:color w:val="auto"/>
          <w:vertAlign w:val="superscript"/>
        </w:rPr>
      </w:pPr>
    </w:p>
    <w:p>
      <w:pPr>
        <w:ind w:left="192" w:hanging="192"/>
        <w:spacing w:after="0"/>
        <w:tabs>
          <w:tab w:leader="none" w:pos="192" w:val="left"/>
        </w:tabs>
        <w:numPr>
          <w:ilvl w:val="0"/>
          <w:numId w:val="29"/>
        </w:numPr>
        <w:rPr>
          <w:rFonts w:ascii="Calibri" w:cs="Calibri" w:eastAsia="Calibri" w:hAnsi="Calibri"/>
          <w:sz w:val="17"/>
          <w:szCs w:val="17"/>
          <w:color w:val="auto"/>
          <w:vertAlign w:val="superscript"/>
        </w:rPr>
      </w:pPr>
      <w:r>
        <w:rPr>
          <w:rFonts w:ascii="Calibri" w:cs="Calibri" w:eastAsia="Calibri" w:hAnsi="Calibri"/>
          <w:sz w:val="13"/>
          <w:szCs w:val="13"/>
          <w:color w:val="auto"/>
        </w:rPr>
        <w:t>Martn Marieta Materials, Inc. is the manager of and owns a 50% interest in Valley Stone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518795</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02" w:right="339" w:bottom="1440" w:gutter="0" w:footer="0" w:header="0"/>
        </w:sectPr>
      </w:pPr>
    </w:p>
    <w:bookmarkStart w:id="129" w:name="page130"/>
    <w:bookmarkEnd w:id="129"/>
    <w:p>
      <w:pPr>
        <w:jc w:val="right"/>
        <w:spacing w:after="0"/>
        <w:rPr>
          <w:sz w:val="20"/>
          <w:szCs w:val="20"/>
          <w:color w:val="auto"/>
        </w:rPr>
      </w:pPr>
      <w:r>
        <w:rPr>
          <w:rFonts w:ascii="Calibri" w:cs="Calibri" w:eastAsia="Calibri" w:hAnsi="Calibri"/>
          <w:sz w:val="20"/>
          <w:szCs w:val="20"/>
          <w:b w:val="1"/>
          <w:bCs w:val="1"/>
          <w:color w:val="auto"/>
        </w:rPr>
        <w:t>EXHIBIT 23.01</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CONSENT OF INDEPENDENT REGISTERED PUBLIC ACCOUNTING FIRM</w:t>
      </w:r>
    </w:p>
    <w:p>
      <w:pPr>
        <w:spacing w:after="0" w:line="252"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We hereby consent to the incorporaton by reference in the Registraton Statements on Form S-3 (No. 333-271686) and Form S-8 (Nos. 33-83516, 333-37886, 333-79039, 333-115918, 333-85608, 333-15429, 333-211735, and 333-197201) of Martn Marieta Materials, Inc. of our report dated February 23, 2024 relatng to the fnancial statements, fnancial statement schedule and the efectveness of internal control over fnancial reportng, which appears in this Form 10-K.</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alibri" w:cs="Calibri" w:eastAsia="Calibri" w:hAnsi="Calibri"/>
          <w:sz w:val="20"/>
          <w:szCs w:val="20"/>
          <w:color w:val="auto"/>
        </w:rPr>
        <w:t>/s/ PricewaterhouseCoopers LLP</w:t>
      </w:r>
    </w:p>
    <w:p>
      <w:pPr>
        <w:spacing w:after="0" w:line="238" w:lineRule="auto"/>
        <w:rPr>
          <w:sz w:val="20"/>
          <w:szCs w:val="20"/>
          <w:color w:val="auto"/>
        </w:rPr>
      </w:pPr>
      <w:r>
        <w:rPr>
          <w:rFonts w:ascii="Calibri" w:cs="Calibri" w:eastAsia="Calibri" w:hAnsi="Calibri"/>
          <w:sz w:val="20"/>
          <w:szCs w:val="20"/>
          <w:color w:val="auto"/>
        </w:rPr>
        <w:t>Raleigh, North Carolina</w:t>
      </w:r>
    </w:p>
    <w:p>
      <w:pPr>
        <w:spacing w:after="0"/>
        <w:rPr>
          <w:sz w:val="20"/>
          <w:szCs w:val="20"/>
          <w:color w:val="auto"/>
        </w:rPr>
      </w:pPr>
      <w:r>
        <w:rPr>
          <w:rFonts w:ascii="Calibri" w:cs="Calibri" w:eastAsia="Calibri" w:hAnsi="Calibri"/>
          <w:sz w:val="20"/>
          <w:szCs w:val="20"/>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1191260</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30" w:name="page131"/>
    <w:bookmarkEnd w:id="130"/>
    <w:p>
      <w:pPr>
        <w:jc w:val="right"/>
        <w:spacing w:after="0"/>
        <w:rPr>
          <w:sz w:val="20"/>
          <w:szCs w:val="20"/>
          <w:color w:val="auto"/>
        </w:rPr>
      </w:pPr>
      <w:r>
        <w:rPr>
          <w:rFonts w:ascii="Calibri" w:cs="Calibri" w:eastAsia="Calibri" w:hAnsi="Calibri"/>
          <w:sz w:val="20"/>
          <w:szCs w:val="20"/>
          <w:b w:val="1"/>
          <w:bCs w:val="1"/>
          <w:color w:val="auto"/>
        </w:rPr>
        <w:t>EXHIBIT 31.01</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CERTIFICATION PURSUANT TO SECURITIES AND EXCHANGE ACT OF 1934</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RULE 13a-14 AS ADOPTED PURSUANT TO SECTION 302 OF THE</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SARBANES-OXLEY ACT OF 2002</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CERTIFICATIONS</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I, C. Howard Nye, certfy that:</w:t>
      </w:r>
    </w:p>
    <w:p>
      <w:pPr>
        <w:spacing w:after="0" w:line="201" w:lineRule="exact"/>
        <w:rPr>
          <w:sz w:val="20"/>
          <w:szCs w:val="20"/>
          <w:color w:val="auto"/>
        </w:rPr>
      </w:pPr>
    </w:p>
    <w:p>
      <w:pPr>
        <w:ind w:left="1140" w:hanging="383"/>
        <w:spacing w:after="0"/>
        <w:tabs>
          <w:tab w:leader="none" w:pos="114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I have reviewed this Form 10-K of Martn Marieta Materials, Inc.;</w:t>
      </w:r>
    </w:p>
    <w:p>
      <w:pPr>
        <w:spacing w:after="0" w:line="21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1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30"/>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6"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30"/>
        </w:numPr>
        <w:rPr>
          <w:rFonts w:ascii="Calibri" w:cs="Calibri" w:eastAsia="Calibri" w:hAnsi="Calibri"/>
          <w:sz w:val="20"/>
          <w:szCs w:val="20"/>
          <w:color w:val="auto"/>
        </w:rPr>
      </w:pPr>
      <w:r>
        <w:rPr>
          <w:rFonts w:ascii="Calibri" w:cs="Calibri" w:eastAsia="Calibri" w:hAnsi="Calibri"/>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9"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30"/>
        </w:numPr>
        <w:rPr>
          <w:rFonts w:ascii="Calibri" w:cs="Calibri" w:eastAsia="Calibri" w:hAnsi="Calibri"/>
          <w:sz w:val="20"/>
          <w:szCs w:val="20"/>
          <w:color w:val="auto"/>
        </w:rPr>
      </w:pPr>
      <w:r>
        <w:rPr>
          <w:rFonts w:ascii="Calibri" w:cs="Calibri" w:eastAsia="Calibri" w:hAnsi="Calibri"/>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9"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30"/>
        </w:numPr>
        <w:rPr>
          <w:rFonts w:ascii="Calibri" w:cs="Calibri" w:eastAsia="Calibri" w:hAnsi="Calibri"/>
          <w:sz w:val="20"/>
          <w:szCs w:val="20"/>
          <w:color w:val="auto"/>
        </w:rPr>
      </w:pPr>
      <w:r>
        <w:rPr>
          <w:rFonts w:ascii="Calibri" w:cs="Calibri" w:eastAsia="Calibri" w:hAnsi="Calibri"/>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16"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30"/>
        </w:numPr>
        <w:rPr>
          <w:rFonts w:ascii="Calibri" w:cs="Calibri" w:eastAsia="Calibri" w:hAnsi="Calibri"/>
          <w:sz w:val="20"/>
          <w:szCs w:val="20"/>
          <w:color w:val="auto"/>
        </w:rPr>
      </w:pPr>
      <w:r>
        <w:rPr>
          <w:rFonts w:ascii="Calibri" w:cs="Calibri" w:eastAsia="Calibri" w:hAnsi="Calibri"/>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31" w:name="page132"/>
    <w:bookmarkEnd w:id="131"/>
    <w:p>
      <w:pPr>
        <w:spacing w:after="0" w:line="174" w:lineRule="exact"/>
        <w:rPr>
          <w:sz w:val="20"/>
          <w:szCs w:val="20"/>
          <w:color w:val="auto"/>
        </w:rPr>
      </w:pPr>
    </w:p>
    <w:p>
      <w:pPr>
        <w:jc w:val="both"/>
        <w:ind w:left="1140" w:hanging="383"/>
        <w:spacing w:after="0" w:line="236" w:lineRule="auto"/>
        <w:tabs>
          <w:tab w:leader="none" w:pos="1140" w:val="left"/>
        </w:tabs>
        <w:numPr>
          <w:ilvl w:val="0"/>
          <w:numId w:val="31"/>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16"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31"/>
        </w:numPr>
        <w:rPr>
          <w:rFonts w:ascii="Calibri" w:cs="Calibri" w:eastAsia="Calibri" w:hAnsi="Calibri"/>
          <w:sz w:val="20"/>
          <w:szCs w:val="20"/>
          <w:color w:val="auto"/>
        </w:rPr>
      </w:pPr>
      <w:r>
        <w:rPr>
          <w:rFonts w:ascii="Calibri" w:cs="Calibri" w:eastAsia="Calibri" w:hAnsi="Calibri"/>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16" w:lineRule="exact"/>
        <w:rPr>
          <w:rFonts w:ascii="Calibri" w:cs="Calibri" w:eastAsia="Calibri" w:hAnsi="Calibri"/>
          <w:sz w:val="20"/>
          <w:szCs w:val="20"/>
          <w:color w:val="auto"/>
        </w:rPr>
      </w:pPr>
    </w:p>
    <w:p>
      <w:pPr>
        <w:ind w:left="1840" w:right="20" w:hanging="751"/>
        <w:spacing w:after="0" w:line="234" w:lineRule="auto"/>
        <w:tabs>
          <w:tab w:leader="none" w:pos="1840" w:val="left"/>
        </w:tabs>
        <w:numPr>
          <w:ilvl w:val="1"/>
          <w:numId w:val="31"/>
        </w:numPr>
        <w:rPr>
          <w:rFonts w:ascii="Calibri" w:cs="Calibri" w:eastAsia="Calibri" w:hAnsi="Calibri"/>
          <w:sz w:val="20"/>
          <w:szCs w:val="20"/>
          <w:color w:val="auto"/>
        </w:rPr>
      </w:pPr>
      <w:r>
        <w:rPr>
          <w:rFonts w:ascii="Calibri" w:cs="Calibri" w:eastAsia="Calibri" w:hAnsi="Calibri"/>
          <w:sz w:val="20"/>
          <w:szCs w:val="20"/>
          <w:color w:val="auto"/>
        </w:rPr>
        <w:t>any fraud, whether or not material, that involves management or other employees who have a signifcant role in the registrant’s internal control over fnancial reportng.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980" w:type="dxa"/>
            <w:vAlign w:val="bottom"/>
          </w:tcPr>
          <w:p>
            <w:pPr>
              <w:ind w:left="20"/>
              <w:spacing w:after="0"/>
              <w:rPr>
                <w:sz w:val="20"/>
                <w:szCs w:val="20"/>
                <w:color w:val="auto"/>
              </w:rPr>
            </w:pPr>
            <w:r>
              <w:rPr>
                <w:rFonts w:ascii="Calibri" w:cs="Calibri" w:eastAsia="Calibri" w:hAnsi="Calibri"/>
                <w:sz w:val="20"/>
                <w:szCs w:val="20"/>
                <w:color w:val="auto"/>
              </w:rPr>
              <w:t>Date:   February 23, 2024</w:t>
            </w:r>
          </w:p>
        </w:tc>
        <w:tc>
          <w:tcPr>
            <w:tcW w:w="4260" w:type="dxa"/>
            <w:vAlign w:val="bottom"/>
          </w:tcPr>
          <w:p>
            <w:pPr>
              <w:spacing w:after="0"/>
              <w:rPr>
                <w:sz w:val="20"/>
                <w:szCs w:val="20"/>
                <w:color w:val="auto"/>
              </w:rPr>
            </w:pPr>
            <w:r>
              <w:rPr>
                <w:rFonts w:ascii="Calibri" w:cs="Calibri" w:eastAsia="Calibri" w:hAnsi="Calibri"/>
                <w:sz w:val="20"/>
                <w:szCs w:val="20"/>
                <w:color w:val="auto"/>
              </w:rPr>
              <w:t>By:  /s/   C. Howard Nye</w:t>
            </w:r>
          </w:p>
        </w:tc>
      </w:tr>
      <w:tr>
        <w:trPr>
          <w:trHeight w:val="47"/>
        </w:trPr>
        <w:tc>
          <w:tcPr>
            <w:tcW w:w="6980" w:type="dxa"/>
            <w:vAlign w:val="bottom"/>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r>
      <w:tr>
        <w:trPr>
          <w:trHeight w:val="228"/>
        </w:trPr>
        <w:tc>
          <w:tcPr>
            <w:tcW w:w="6980" w:type="dxa"/>
            <w:vAlign w:val="bottom"/>
          </w:tcPr>
          <w:p>
            <w:pPr>
              <w:spacing w:after="0"/>
              <w:rPr>
                <w:sz w:val="19"/>
                <w:szCs w:val="19"/>
                <w:color w:val="auto"/>
              </w:rPr>
            </w:pPr>
          </w:p>
        </w:tc>
        <w:tc>
          <w:tcPr>
            <w:tcW w:w="4260" w:type="dxa"/>
            <w:vAlign w:val="bottom"/>
          </w:tcPr>
          <w:p>
            <w:pPr>
              <w:ind w:left="960"/>
              <w:spacing w:after="0" w:line="228" w:lineRule="exact"/>
              <w:rPr>
                <w:sz w:val="20"/>
                <w:szCs w:val="20"/>
                <w:color w:val="auto"/>
              </w:rPr>
            </w:pPr>
            <w:r>
              <w:rPr>
                <w:rFonts w:ascii="Calibri" w:cs="Calibri" w:eastAsia="Calibri" w:hAnsi="Calibri"/>
                <w:sz w:val="20"/>
                <w:szCs w:val="20"/>
                <w:color w:val="auto"/>
              </w:rPr>
              <w:t>C. Howard Nye</w:t>
            </w:r>
          </w:p>
        </w:tc>
      </w:tr>
      <w:tr>
        <w:trPr>
          <w:trHeight w:val="259"/>
        </w:trPr>
        <w:tc>
          <w:tcPr>
            <w:tcW w:w="6980" w:type="dxa"/>
            <w:vAlign w:val="bottom"/>
          </w:tcPr>
          <w:p>
            <w:pPr>
              <w:spacing w:after="0"/>
              <w:rPr>
                <w:sz w:val="22"/>
                <w:szCs w:val="22"/>
                <w:color w:val="auto"/>
              </w:rPr>
            </w:pPr>
          </w:p>
        </w:tc>
        <w:tc>
          <w:tcPr>
            <w:tcW w:w="4260" w:type="dxa"/>
            <w:vAlign w:val="bottom"/>
          </w:tcPr>
          <w:p>
            <w:pPr>
              <w:ind w:left="960"/>
              <w:spacing w:after="0"/>
              <w:rPr>
                <w:sz w:val="20"/>
                <w:szCs w:val="20"/>
                <w:color w:val="auto"/>
              </w:rPr>
            </w:pPr>
            <w:r>
              <w:rPr>
                <w:rFonts w:ascii="Calibri" w:cs="Calibri" w:eastAsia="Calibri" w:hAnsi="Calibri"/>
                <w:sz w:val="20"/>
                <w:szCs w:val="20"/>
                <w:color w:val="auto"/>
              </w:rPr>
              <w:t>Chairman, President and</w:t>
            </w:r>
          </w:p>
        </w:tc>
      </w:tr>
      <w:tr>
        <w:trPr>
          <w:trHeight w:val="270"/>
        </w:trPr>
        <w:tc>
          <w:tcPr>
            <w:tcW w:w="6980" w:type="dxa"/>
            <w:vAlign w:val="bottom"/>
          </w:tcPr>
          <w:p>
            <w:pPr>
              <w:spacing w:after="0"/>
              <w:rPr>
                <w:sz w:val="23"/>
                <w:szCs w:val="23"/>
                <w:color w:val="auto"/>
              </w:rPr>
            </w:pPr>
          </w:p>
        </w:tc>
        <w:tc>
          <w:tcPr>
            <w:tcW w:w="4260" w:type="dxa"/>
            <w:vAlign w:val="bottom"/>
          </w:tcPr>
          <w:p>
            <w:pPr>
              <w:ind w:left="960"/>
              <w:spacing w:after="0"/>
              <w:rPr>
                <w:sz w:val="20"/>
                <w:szCs w:val="20"/>
                <w:color w:val="auto"/>
              </w:rPr>
            </w:pPr>
            <w:r>
              <w:rPr>
                <w:rFonts w:ascii="Calibri" w:cs="Calibri" w:eastAsia="Calibri" w:hAnsi="Calibri"/>
                <w:sz w:val="20"/>
                <w:szCs w:val="20"/>
                <w:color w:val="auto"/>
              </w:rPr>
              <w:t>Chief Executve Ofcer</w:t>
            </w:r>
          </w:p>
        </w:tc>
      </w:tr>
      <w:tr>
        <w:trPr>
          <w:trHeight w:val="1673"/>
        </w:trPr>
        <w:tc>
          <w:tcPr>
            <w:tcW w:w="69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8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jc w:val="right"/>
        <w:spacing w:after="0"/>
        <w:rPr>
          <w:sz w:val="20"/>
          <w:szCs w:val="20"/>
          <w:color w:val="auto"/>
        </w:rPr>
      </w:pPr>
      <w:r>
        <w:rPr>
          <w:rFonts w:ascii="Calibri" w:cs="Calibri" w:eastAsia="Calibri" w:hAnsi="Calibri"/>
          <w:sz w:val="20"/>
          <w:szCs w:val="20"/>
          <w:b w:val="1"/>
          <w:bCs w:val="1"/>
          <w:color w:val="auto"/>
        </w:rPr>
        <w:t>EXHIBIT 31.02</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CERTIFICATION PURSUANT TO SECURITIES AND EXCHANGE ACT OF 1934</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RULE 13a-14 AS ADOPTED PURSUANT TO SECTION 302 OF THE</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SARBANES-OXLEY ACT OF 2002</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CERTIFICATIONS</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color w:val="auto"/>
        </w:rPr>
        <w:t>I, James A. J. Nickolas, certfy that:</w:t>
      </w:r>
    </w:p>
    <w:p>
      <w:pPr>
        <w:spacing w:after="0" w:line="201" w:lineRule="exact"/>
        <w:rPr>
          <w:sz w:val="20"/>
          <w:szCs w:val="20"/>
          <w:color w:val="auto"/>
        </w:rPr>
      </w:pPr>
    </w:p>
    <w:p>
      <w:pPr>
        <w:ind w:left="1140" w:hanging="383"/>
        <w:spacing w:after="0"/>
        <w:tabs>
          <w:tab w:leader="none" w:pos="1140" w:val="left"/>
        </w:tabs>
        <w:numPr>
          <w:ilvl w:val="0"/>
          <w:numId w:val="32"/>
        </w:numPr>
        <w:rPr>
          <w:rFonts w:ascii="Calibri" w:cs="Calibri" w:eastAsia="Calibri" w:hAnsi="Calibri"/>
          <w:sz w:val="20"/>
          <w:szCs w:val="20"/>
          <w:color w:val="auto"/>
        </w:rPr>
      </w:pPr>
      <w:r>
        <w:rPr>
          <w:rFonts w:ascii="Calibri" w:cs="Calibri" w:eastAsia="Calibri" w:hAnsi="Calibri"/>
          <w:sz w:val="20"/>
          <w:szCs w:val="20"/>
          <w:color w:val="auto"/>
        </w:rPr>
        <w:t>I have reviewed this Form 10-K of Martn Marieta Materials, Inc.;</w:t>
      </w:r>
    </w:p>
    <w:p>
      <w:pPr>
        <w:spacing w:after="0" w:line="21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32"/>
        </w:numPr>
        <w:rPr>
          <w:rFonts w:ascii="Calibri" w:cs="Calibri" w:eastAsia="Calibri" w:hAnsi="Calibri"/>
          <w:sz w:val="20"/>
          <w:szCs w:val="20"/>
          <w:color w:val="auto"/>
        </w:rPr>
      </w:pPr>
      <w:r>
        <w:rPr>
          <w:rFonts w:ascii="Calibri" w:cs="Calibri" w:eastAsia="Calibri" w:hAnsi="Calibri"/>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32"/>
        </w:numPr>
        <w:rPr>
          <w:rFonts w:ascii="Calibri" w:cs="Calibri" w:eastAsia="Calibri" w:hAnsi="Calibri"/>
          <w:sz w:val="20"/>
          <w:szCs w:val="20"/>
          <w:color w:val="auto"/>
        </w:rPr>
      </w:pPr>
      <w:r>
        <w:rPr>
          <w:rFonts w:ascii="Calibri" w:cs="Calibri" w:eastAsia="Calibri" w:hAnsi="Calibri"/>
          <w:sz w:val="20"/>
          <w:szCs w:val="20"/>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211" w:lineRule="exact"/>
        <w:rPr>
          <w:rFonts w:ascii="Calibri" w:cs="Calibri" w:eastAsia="Calibri" w:hAnsi="Calibri"/>
          <w:sz w:val="20"/>
          <w:szCs w:val="20"/>
          <w:color w:val="auto"/>
        </w:rPr>
      </w:pPr>
    </w:p>
    <w:p>
      <w:pPr>
        <w:jc w:val="both"/>
        <w:ind w:left="1140" w:hanging="383"/>
        <w:spacing w:after="0" w:line="236" w:lineRule="auto"/>
        <w:tabs>
          <w:tab w:leader="none" w:pos="1140" w:val="left"/>
        </w:tabs>
        <w:numPr>
          <w:ilvl w:val="0"/>
          <w:numId w:val="32"/>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16"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32"/>
        </w:numPr>
        <w:rPr>
          <w:rFonts w:ascii="Calibri" w:cs="Calibri" w:eastAsia="Calibri" w:hAnsi="Calibri"/>
          <w:sz w:val="20"/>
          <w:szCs w:val="20"/>
          <w:color w:val="auto"/>
        </w:rPr>
      </w:pPr>
      <w:r>
        <w:rPr>
          <w:rFonts w:ascii="Calibri" w:cs="Calibri" w:eastAsia="Calibri" w:hAnsi="Calibri"/>
          <w:sz w:val="20"/>
          <w:szCs w:val="20"/>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19"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32"/>
        </w:numPr>
        <w:rPr>
          <w:rFonts w:ascii="Calibri" w:cs="Calibri" w:eastAsia="Calibri" w:hAnsi="Calibri"/>
          <w:sz w:val="20"/>
          <w:szCs w:val="20"/>
          <w:color w:val="auto"/>
        </w:rPr>
      </w:pPr>
      <w:r>
        <w:rPr>
          <w:rFonts w:ascii="Calibri" w:cs="Calibri" w:eastAsia="Calibri" w:hAnsi="Calibri"/>
          <w:sz w:val="20"/>
          <w:szCs w:val="20"/>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19"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32"/>
        </w:numPr>
        <w:rPr>
          <w:rFonts w:ascii="Calibri" w:cs="Calibri" w:eastAsia="Calibri" w:hAnsi="Calibri"/>
          <w:sz w:val="20"/>
          <w:szCs w:val="20"/>
          <w:color w:val="auto"/>
        </w:rPr>
      </w:pPr>
      <w:r>
        <w:rPr>
          <w:rFonts w:ascii="Calibri" w:cs="Calibri" w:eastAsia="Calibri" w:hAnsi="Calibri"/>
          <w:sz w:val="20"/>
          <w:szCs w:val="20"/>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16"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32"/>
        </w:numPr>
        <w:rPr>
          <w:rFonts w:ascii="Calibri" w:cs="Calibri" w:eastAsia="Calibri" w:hAnsi="Calibri"/>
          <w:sz w:val="20"/>
          <w:szCs w:val="20"/>
          <w:color w:val="auto"/>
        </w:rPr>
      </w:pPr>
      <w:r>
        <w:rPr>
          <w:rFonts w:ascii="Calibri" w:cs="Calibri" w:eastAsia="Calibri" w:hAnsi="Calibri"/>
          <w:sz w:val="20"/>
          <w:szCs w:val="20"/>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33" w:name="page134"/>
    <w:bookmarkEnd w:id="133"/>
    <w:p>
      <w:pPr>
        <w:spacing w:after="0" w:line="174" w:lineRule="exact"/>
        <w:rPr>
          <w:sz w:val="20"/>
          <w:szCs w:val="20"/>
          <w:color w:val="auto"/>
        </w:rPr>
      </w:pPr>
    </w:p>
    <w:p>
      <w:pPr>
        <w:jc w:val="both"/>
        <w:ind w:left="1140" w:hanging="383"/>
        <w:spacing w:after="0" w:line="236" w:lineRule="auto"/>
        <w:tabs>
          <w:tab w:leader="none" w:pos="1140" w:val="left"/>
        </w:tabs>
        <w:numPr>
          <w:ilvl w:val="0"/>
          <w:numId w:val="33"/>
        </w:numPr>
        <w:rPr>
          <w:rFonts w:ascii="Calibri" w:cs="Calibri" w:eastAsia="Calibri" w:hAnsi="Calibri"/>
          <w:sz w:val="20"/>
          <w:szCs w:val="20"/>
          <w:color w:val="auto"/>
        </w:rPr>
      </w:pPr>
      <w:r>
        <w:rPr>
          <w:rFonts w:ascii="Calibri" w:cs="Calibri" w:eastAsia="Calibri" w:hAnsi="Calibri"/>
          <w:sz w:val="20"/>
          <w:szCs w:val="20"/>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16" w:lineRule="exact"/>
        <w:rPr>
          <w:rFonts w:ascii="Calibri" w:cs="Calibri" w:eastAsia="Calibri" w:hAnsi="Calibri"/>
          <w:sz w:val="20"/>
          <w:szCs w:val="20"/>
          <w:color w:val="auto"/>
        </w:rPr>
      </w:pPr>
    </w:p>
    <w:p>
      <w:pPr>
        <w:jc w:val="both"/>
        <w:ind w:left="1840" w:hanging="751"/>
        <w:spacing w:after="0" w:line="236" w:lineRule="auto"/>
        <w:tabs>
          <w:tab w:leader="none" w:pos="1840" w:val="left"/>
        </w:tabs>
        <w:numPr>
          <w:ilvl w:val="1"/>
          <w:numId w:val="33"/>
        </w:numPr>
        <w:rPr>
          <w:rFonts w:ascii="Calibri" w:cs="Calibri" w:eastAsia="Calibri" w:hAnsi="Calibri"/>
          <w:sz w:val="20"/>
          <w:szCs w:val="20"/>
          <w:color w:val="auto"/>
        </w:rPr>
      </w:pPr>
      <w:r>
        <w:rPr>
          <w:rFonts w:ascii="Calibri" w:cs="Calibri" w:eastAsia="Calibri" w:hAnsi="Calibri"/>
          <w:sz w:val="20"/>
          <w:szCs w:val="20"/>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116" w:lineRule="exact"/>
        <w:rPr>
          <w:rFonts w:ascii="Calibri" w:cs="Calibri" w:eastAsia="Calibri" w:hAnsi="Calibri"/>
          <w:sz w:val="20"/>
          <w:szCs w:val="20"/>
          <w:color w:val="auto"/>
        </w:rPr>
      </w:pPr>
    </w:p>
    <w:p>
      <w:pPr>
        <w:ind w:left="1840" w:right="20" w:hanging="751"/>
        <w:spacing w:after="0" w:line="234" w:lineRule="auto"/>
        <w:tabs>
          <w:tab w:leader="none" w:pos="1840" w:val="left"/>
        </w:tabs>
        <w:numPr>
          <w:ilvl w:val="1"/>
          <w:numId w:val="33"/>
        </w:numPr>
        <w:rPr>
          <w:rFonts w:ascii="Calibri" w:cs="Calibri" w:eastAsia="Calibri" w:hAnsi="Calibri"/>
          <w:sz w:val="20"/>
          <w:szCs w:val="20"/>
          <w:color w:val="auto"/>
        </w:rPr>
      </w:pPr>
      <w:r>
        <w:rPr>
          <w:rFonts w:ascii="Calibri" w:cs="Calibri" w:eastAsia="Calibri" w:hAnsi="Calibri"/>
          <w:sz w:val="20"/>
          <w:szCs w:val="20"/>
          <w:color w:val="auto"/>
        </w:rPr>
        <w:t>any fraud, whether or not material, that involves management or other employees who have a signifcant role in the registrant’s internal control over fnancial reportng.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100" w:type="dxa"/>
            <w:vAlign w:val="bottom"/>
          </w:tcPr>
          <w:p>
            <w:pPr>
              <w:ind w:left="20"/>
              <w:spacing w:after="0"/>
              <w:rPr>
                <w:sz w:val="20"/>
                <w:szCs w:val="20"/>
                <w:color w:val="auto"/>
              </w:rPr>
            </w:pPr>
            <w:r>
              <w:rPr>
                <w:rFonts w:ascii="Calibri" w:cs="Calibri" w:eastAsia="Calibri" w:hAnsi="Calibri"/>
                <w:sz w:val="20"/>
                <w:szCs w:val="20"/>
                <w:color w:val="auto"/>
              </w:rPr>
              <w:t>Date:   February 23, 2024</w:t>
            </w:r>
          </w:p>
        </w:tc>
        <w:tc>
          <w:tcPr>
            <w:tcW w:w="4140" w:type="dxa"/>
            <w:vAlign w:val="bottom"/>
          </w:tcPr>
          <w:p>
            <w:pPr>
              <w:jc w:val="right"/>
              <w:ind w:right="1601"/>
              <w:spacing w:after="0"/>
              <w:rPr>
                <w:sz w:val="20"/>
                <w:szCs w:val="20"/>
                <w:color w:val="auto"/>
              </w:rPr>
            </w:pPr>
            <w:r>
              <w:rPr>
                <w:rFonts w:ascii="Calibri" w:cs="Calibri" w:eastAsia="Calibri" w:hAnsi="Calibri"/>
                <w:sz w:val="20"/>
                <w:szCs w:val="20"/>
                <w:color w:val="auto"/>
              </w:rPr>
              <w:t>By:  /s/  James A. J. Nickolas</w:t>
            </w:r>
          </w:p>
        </w:tc>
      </w:tr>
      <w:tr>
        <w:trPr>
          <w:trHeight w:val="47"/>
        </w:trPr>
        <w:tc>
          <w:tcPr>
            <w:tcW w:w="710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r>
      <w:tr>
        <w:trPr>
          <w:trHeight w:val="228"/>
        </w:trPr>
        <w:tc>
          <w:tcPr>
            <w:tcW w:w="7100" w:type="dxa"/>
            <w:vAlign w:val="bottom"/>
          </w:tcPr>
          <w:p>
            <w:pPr>
              <w:spacing w:after="0"/>
              <w:rPr>
                <w:sz w:val="19"/>
                <w:szCs w:val="19"/>
                <w:color w:val="auto"/>
              </w:rPr>
            </w:pPr>
          </w:p>
        </w:tc>
        <w:tc>
          <w:tcPr>
            <w:tcW w:w="4140" w:type="dxa"/>
            <w:vAlign w:val="bottom"/>
          </w:tcPr>
          <w:p>
            <w:pPr>
              <w:jc w:val="right"/>
              <w:ind w:right="1601"/>
              <w:spacing w:after="0" w:line="228" w:lineRule="exact"/>
              <w:rPr>
                <w:sz w:val="20"/>
                <w:szCs w:val="20"/>
                <w:color w:val="auto"/>
              </w:rPr>
            </w:pPr>
            <w:r>
              <w:rPr>
                <w:rFonts w:ascii="Calibri" w:cs="Calibri" w:eastAsia="Calibri" w:hAnsi="Calibri"/>
                <w:sz w:val="20"/>
                <w:szCs w:val="20"/>
                <w:color w:val="auto"/>
              </w:rPr>
              <w:t>James A. J. Nickolas</w:t>
            </w:r>
          </w:p>
        </w:tc>
      </w:tr>
      <w:tr>
        <w:trPr>
          <w:trHeight w:val="259"/>
        </w:trPr>
        <w:tc>
          <w:tcPr>
            <w:tcW w:w="7100" w:type="dxa"/>
            <w:vAlign w:val="bottom"/>
          </w:tcPr>
          <w:p>
            <w:pPr>
              <w:spacing w:after="0"/>
              <w:rPr>
                <w:sz w:val="22"/>
                <w:szCs w:val="22"/>
                <w:color w:val="auto"/>
              </w:rPr>
            </w:pPr>
          </w:p>
        </w:tc>
        <w:tc>
          <w:tcPr>
            <w:tcW w:w="4140" w:type="dxa"/>
            <w:vAlign w:val="bottom"/>
          </w:tcPr>
          <w:p>
            <w:pPr>
              <w:jc w:val="right"/>
              <w:ind w:right="861"/>
              <w:spacing w:after="0"/>
              <w:rPr>
                <w:sz w:val="20"/>
                <w:szCs w:val="20"/>
                <w:color w:val="auto"/>
              </w:rPr>
            </w:pPr>
            <w:r>
              <w:rPr>
                <w:rFonts w:ascii="Calibri" w:cs="Calibri" w:eastAsia="Calibri" w:hAnsi="Calibri"/>
                <w:sz w:val="20"/>
                <w:szCs w:val="20"/>
                <w:color w:val="auto"/>
              </w:rPr>
              <w:t>Executve Vice President and</w:t>
            </w:r>
          </w:p>
        </w:tc>
      </w:tr>
      <w:tr>
        <w:trPr>
          <w:trHeight w:val="270"/>
        </w:trPr>
        <w:tc>
          <w:tcPr>
            <w:tcW w:w="7100" w:type="dxa"/>
            <w:vAlign w:val="bottom"/>
          </w:tcPr>
          <w:p>
            <w:pPr>
              <w:spacing w:after="0"/>
              <w:rPr>
                <w:sz w:val="23"/>
                <w:szCs w:val="23"/>
                <w:color w:val="auto"/>
              </w:rPr>
            </w:pPr>
          </w:p>
        </w:tc>
        <w:tc>
          <w:tcPr>
            <w:tcW w:w="4140" w:type="dxa"/>
            <w:vAlign w:val="bottom"/>
          </w:tcPr>
          <w:p>
            <w:pPr>
              <w:jc w:val="right"/>
              <w:ind w:right="1281"/>
              <w:spacing w:after="0"/>
              <w:rPr>
                <w:sz w:val="20"/>
                <w:szCs w:val="20"/>
                <w:color w:val="auto"/>
              </w:rPr>
            </w:pPr>
            <w:r>
              <w:rPr>
                <w:rFonts w:ascii="Calibri" w:cs="Calibri" w:eastAsia="Calibri" w:hAnsi="Calibri"/>
                <w:sz w:val="20"/>
                <w:szCs w:val="20"/>
                <w:color w:val="auto"/>
              </w:rPr>
              <w:t>Chief Financial Ofcer</w:t>
            </w:r>
          </w:p>
        </w:tc>
      </w:tr>
      <w:tr>
        <w:trPr>
          <w:trHeight w:val="1673"/>
        </w:trPr>
        <w:tc>
          <w:tcPr>
            <w:tcW w:w="71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8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jc w:val="right"/>
        <w:spacing w:after="0"/>
        <w:rPr>
          <w:sz w:val="20"/>
          <w:szCs w:val="20"/>
          <w:color w:val="auto"/>
        </w:rPr>
      </w:pPr>
      <w:r>
        <w:rPr>
          <w:rFonts w:ascii="Calibri" w:cs="Calibri" w:eastAsia="Calibri" w:hAnsi="Calibri"/>
          <w:sz w:val="20"/>
          <w:szCs w:val="20"/>
          <w:b w:val="1"/>
          <w:bCs w:val="1"/>
          <w:color w:val="auto"/>
        </w:rPr>
        <w:t>EXHIBIT 32.01</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WRITTEN STATEMENT PURSUANT TO 18 U.S.C. 1350,</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AS ADOPTED PURSUANT TO SECTION 906 OF THE</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SARBANES-OXLEY ACT OF 2002</w:t>
      </w:r>
    </w:p>
    <w:p>
      <w:pPr>
        <w:spacing w:after="0" w:line="211" w:lineRule="exact"/>
        <w:rPr>
          <w:sz w:val="20"/>
          <w:szCs w:val="20"/>
          <w:color w:val="auto"/>
        </w:rPr>
      </w:pPr>
    </w:p>
    <w:p>
      <w:pPr>
        <w:ind w:right="20" w:firstLine="509"/>
        <w:spacing w:after="0" w:line="234" w:lineRule="auto"/>
        <w:rPr>
          <w:sz w:val="20"/>
          <w:szCs w:val="20"/>
          <w:color w:val="auto"/>
        </w:rPr>
      </w:pPr>
      <w:r>
        <w:rPr>
          <w:rFonts w:ascii="Calibri" w:cs="Calibri" w:eastAsia="Calibri" w:hAnsi="Calibri"/>
          <w:sz w:val="20"/>
          <w:szCs w:val="20"/>
          <w:color w:val="auto"/>
        </w:rPr>
        <w:t>In connecton with the 2023 Annual Report on Form 10-K (the Report) of Martn Marieta Materials, Inc. (the Registrant), as fled with the Securites and Exchange Commission, I, C. Howard Nye, the Chief Executve Ofcer of the Registrant, certfy that:</w:t>
      </w:r>
    </w:p>
    <w:p>
      <w:pPr>
        <w:spacing w:after="0" w:line="118" w:lineRule="exact"/>
        <w:rPr>
          <w:sz w:val="20"/>
          <w:szCs w:val="20"/>
          <w:color w:val="auto"/>
        </w:rPr>
      </w:pPr>
    </w:p>
    <w:p>
      <w:pPr>
        <w:ind w:left="1020" w:hanging="503"/>
        <w:spacing w:after="0" w:line="234" w:lineRule="auto"/>
        <w:tabs>
          <w:tab w:leader="none" w:pos="1020" w:val="left"/>
        </w:tabs>
        <w:numPr>
          <w:ilvl w:val="0"/>
          <w:numId w:val="34"/>
        </w:numPr>
        <w:rPr>
          <w:rFonts w:ascii="Calibri" w:cs="Calibri" w:eastAsia="Calibri" w:hAnsi="Calibri"/>
          <w:sz w:val="20"/>
          <w:szCs w:val="20"/>
          <w:color w:val="auto"/>
        </w:rPr>
      </w:pPr>
      <w:r>
        <w:rPr>
          <w:rFonts w:ascii="Calibri" w:cs="Calibri" w:eastAsia="Calibri" w:hAnsi="Calibri"/>
          <w:sz w:val="20"/>
          <w:szCs w:val="20"/>
          <w:color w:val="auto"/>
        </w:rPr>
        <w:t>the Report fully complies with the requirements of Secton 13(a) or 15(d) of the Securites Exchange Act of 1934, as amended; and</w:t>
      </w:r>
    </w:p>
    <w:p>
      <w:pPr>
        <w:spacing w:after="0" w:line="117" w:lineRule="exact"/>
        <w:rPr>
          <w:rFonts w:ascii="Calibri" w:cs="Calibri" w:eastAsia="Calibri" w:hAnsi="Calibri"/>
          <w:sz w:val="20"/>
          <w:szCs w:val="20"/>
          <w:color w:val="auto"/>
        </w:rPr>
      </w:pPr>
    </w:p>
    <w:p>
      <w:pPr>
        <w:ind w:left="1020" w:right="20" w:hanging="503"/>
        <w:spacing w:after="0" w:line="234" w:lineRule="auto"/>
        <w:tabs>
          <w:tab w:leader="none" w:pos="1020" w:val="left"/>
        </w:tabs>
        <w:numPr>
          <w:ilvl w:val="0"/>
          <w:numId w:val="34"/>
        </w:numPr>
        <w:rPr>
          <w:rFonts w:ascii="Calibri" w:cs="Calibri" w:eastAsia="Calibri" w:hAnsi="Calibri"/>
          <w:sz w:val="20"/>
          <w:szCs w:val="20"/>
          <w:color w:val="auto"/>
        </w:rPr>
      </w:pPr>
      <w:r>
        <w:rPr>
          <w:rFonts w:ascii="Calibri" w:cs="Calibri" w:eastAsia="Calibri" w:hAnsi="Calibri"/>
          <w:sz w:val="20"/>
          <w:szCs w:val="20"/>
          <w:color w:val="auto"/>
        </w:rPr>
        <w:t>the informaton contained in the Report fairly presents, in all material respects, the fnancial conditon and results of operatons of the Registrant.</w:t>
      </w:r>
    </w:p>
    <w:p>
      <w:pPr>
        <w:spacing w:after="0" w:line="257"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29845</wp:posOffset>
            </wp:positionV>
            <wp:extent cx="284607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0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C. Howard Nye</w:t>
      </w:r>
    </w:p>
    <w:p>
      <w:pPr>
        <w:spacing w:after="0" w:line="26"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Chief Executve Ofcer</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Date:  February 23, 2024</w:t>
      </w:r>
    </w:p>
    <w:p>
      <w:pPr>
        <w:spacing w:after="0" w:line="198" w:lineRule="exact"/>
        <w:rPr>
          <w:sz w:val="20"/>
          <w:szCs w:val="20"/>
          <w:color w:val="auto"/>
        </w:rPr>
      </w:pPr>
    </w:p>
    <w:p>
      <w:pPr>
        <w:ind w:right="20" w:firstLine="509"/>
        <w:spacing w:after="0" w:line="234" w:lineRule="auto"/>
        <w:rPr>
          <w:sz w:val="20"/>
          <w:szCs w:val="20"/>
          <w:color w:val="auto"/>
        </w:rPr>
      </w:pPr>
      <w:r>
        <w:rPr>
          <w:rFonts w:ascii="Calibri" w:cs="Calibri" w:eastAsia="Calibri" w:hAnsi="Calibri"/>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1449070</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35" w:name="page136"/>
    <w:bookmarkEnd w:id="135"/>
    <w:p>
      <w:pPr>
        <w:jc w:val="right"/>
        <w:spacing w:after="0"/>
        <w:rPr>
          <w:sz w:val="20"/>
          <w:szCs w:val="20"/>
          <w:color w:val="auto"/>
        </w:rPr>
      </w:pPr>
      <w:r>
        <w:rPr>
          <w:rFonts w:ascii="Calibri" w:cs="Calibri" w:eastAsia="Calibri" w:hAnsi="Calibri"/>
          <w:sz w:val="20"/>
          <w:szCs w:val="20"/>
          <w:b w:val="1"/>
          <w:bCs w:val="1"/>
          <w:color w:val="auto"/>
        </w:rPr>
        <w:t>EXHIBIT 32.02</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WRITTEN STATEMENT PURSUANT TO 18 U.S.C. 1350,</w:t>
      </w:r>
    </w:p>
    <w:p>
      <w:pPr>
        <w:spacing w:after="0" w:line="188"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AS ADOPTED PURSUANT TO SECTION 906 OF THE</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SARBANES-OXLEY ACT OF 2002</w:t>
      </w:r>
    </w:p>
    <w:p>
      <w:pPr>
        <w:spacing w:after="0" w:line="211" w:lineRule="exact"/>
        <w:rPr>
          <w:sz w:val="20"/>
          <w:szCs w:val="20"/>
          <w:color w:val="auto"/>
        </w:rPr>
      </w:pPr>
    </w:p>
    <w:p>
      <w:pPr>
        <w:ind w:right="20" w:firstLine="509"/>
        <w:spacing w:after="0" w:line="234" w:lineRule="auto"/>
        <w:rPr>
          <w:sz w:val="20"/>
          <w:szCs w:val="20"/>
          <w:color w:val="auto"/>
        </w:rPr>
      </w:pPr>
      <w:r>
        <w:rPr>
          <w:rFonts w:ascii="Calibri" w:cs="Calibri" w:eastAsia="Calibri" w:hAnsi="Calibri"/>
          <w:sz w:val="20"/>
          <w:szCs w:val="20"/>
          <w:color w:val="auto"/>
        </w:rPr>
        <w:t>In connecton with the 2023 Annual Report on Form 10-K (the Report) of Martn Marieta Materials, Inc. (the Registrant), as fled with the Securites and Exchange Commission, I, James A. J. Nickolas, the Chief Financial Ofcer of the Registrant, certfy that:</w:t>
      </w:r>
    </w:p>
    <w:p>
      <w:pPr>
        <w:spacing w:after="0" w:line="118" w:lineRule="exact"/>
        <w:rPr>
          <w:sz w:val="20"/>
          <w:szCs w:val="20"/>
          <w:color w:val="auto"/>
        </w:rPr>
      </w:pPr>
    </w:p>
    <w:p>
      <w:pPr>
        <w:ind w:left="1020" w:hanging="503"/>
        <w:spacing w:after="0" w:line="234" w:lineRule="auto"/>
        <w:tabs>
          <w:tab w:leader="none" w:pos="1020" w:val="left"/>
        </w:tabs>
        <w:numPr>
          <w:ilvl w:val="0"/>
          <w:numId w:val="35"/>
        </w:numPr>
        <w:rPr>
          <w:rFonts w:ascii="Calibri" w:cs="Calibri" w:eastAsia="Calibri" w:hAnsi="Calibri"/>
          <w:sz w:val="20"/>
          <w:szCs w:val="20"/>
          <w:color w:val="auto"/>
        </w:rPr>
      </w:pPr>
      <w:r>
        <w:rPr>
          <w:rFonts w:ascii="Calibri" w:cs="Calibri" w:eastAsia="Calibri" w:hAnsi="Calibri"/>
          <w:sz w:val="20"/>
          <w:szCs w:val="20"/>
          <w:color w:val="auto"/>
        </w:rPr>
        <w:t>the Report fully complies with the requirements of Secton 13(a) or 15(d) of the Securites Exchange Act of 1934, as amended; and</w:t>
      </w:r>
    </w:p>
    <w:p>
      <w:pPr>
        <w:spacing w:after="0" w:line="117" w:lineRule="exact"/>
        <w:rPr>
          <w:rFonts w:ascii="Calibri" w:cs="Calibri" w:eastAsia="Calibri" w:hAnsi="Calibri"/>
          <w:sz w:val="20"/>
          <w:szCs w:val="20"/>
          <w:color w:val="auto"/>
        </w:rPr>
      </w:pPr>
    </w:p>
    <w:p>
      <w:pPr>
        <w:ind w:left="1020" w:right="20" w:hanging="503"/>
        <w:spacing w:after="0" w:line="234" w:lineRule="auto"/>
        <w:tabs>
          <w:tab w:leader="none" w:pos="1020" w:val="left"/>
        </w:tabs>
        <w:numPr>
          <w:ilvl w:val="0"/>
          <w:numId w:val="35"/>
        </w:numPr>
        <w:rPr>
          <w:rFonts w:ascii="Calibri" w:cs="Calibri" w:eastAsia="Calibri" w:hAnsi="Calibri"/>
          <w:sz w:val="20"/>
          <w:szCs w:val="20"/>
          <w:color w:val="auto"/>
        </w:rPr>
      </w:pPr>
      <w:r>
        <w:rPr>
          <w:rFonts w:ascii="Calibri" w:cs="Calibri" w:eastAsia="Calibri" w:hAnsi="Calibri"/>
          <w:sz w:val="20"/>
          <w:szCs w:val="20"/>
          <w:color w:val="auto"/>
        </w:rPr>
        <w:t>the informaton contained in the Report fairly presents, in all material respects, the fnancial conditon and results of operatons of the Registrant.</w:t>
      </w:r>
    </w:p>
    <w:p>
      <w:pPr>
        <w:spacing w:after="0" w:line="257"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29845</wp:posOffset>
            </wp:positionV>
            <wp:extent cx="284607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0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James A. J. Nickolas</w:t>
      </w:r>
    </w:p>
    <w:p>
      <w:pPr>
        <w:spacing w:after="0" w:line="26" w:lineRule="exact"/>
        <w:rPr>
          <w:sz w:val="20"/>
          <w:szCs w:val="20"/>
          <w:color w:val="auto"/>
        </w:rPr>
      </w:pPr>
    </w:p>
    <w:p>
      <w:pPr>
        <w:ind w:left="6780"/>
        <w:spacing w:after="0"/>
        <w:rPr>
          <w:sz w:val="20"/>
          <w:szCs w:val="20"/>
          <w:color w:val="auto"/>
        </w:rPr>
      </w:pPr>
      <w:r>
        <w:rPr>
          <w:rFonts w:ascii="Calibri" w:cs="Calibri" w:eastAsia="Calibri" w:hAnsi="Calibri"/>
          <w:sz w:val="20"/>
          <w:szCs w:val="20"/>
          <w:color w:val="auto"/>
        </w:rPr>
        <w:t>Chief Financial Ofcer</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color w:val="auto"/>
        </w:rPr>
        <w:t>Date: February 23, 2024</w:t>
      </w:r>
    </w:p>
    <w:p>
      <w:pPr>
        <w:spacing w:after="0" w:line="198" w:lineRule="exact"/>
        <w:rPr>
          <w:sz w:val="20"/>
          <w:szCs w:val="20"/>
          <w:color w:val="auto"/>
        </w:rPr>
      </w:pPr>
    </w:p>
    <w:p>
      <w:pPr>
        <w:ind w:right="20" w:firstLine="509"/>
        <w:spacing w:after="0" w:line="234" w:lineRule="auto"/>
        <w:rPr>
          <w:sz w:val="20"/>
          <w:szCs w:val="20"/>
          <w:color w:val="auto"/>
        </w:rPr>
      </w:pPr>
      <w:r>
        <w:rPr>
          <w:rFonts w:ascii="Calibri" w:cs="Calibri" w:eastAsia="Calibri" w:hAnsi="Calibri"/>
          <w:sz w:val="20"/>
          <w:szCs w:val="20"/>
          <w:color w:val="auto"/>
        </w:rPr>
        <w:t>A signed original of this writen statement required by Secton 906 has been provided to Martn Marieta Materials, Inc. and will be retained by Martn Marieta Materials, Inc. and furnished to the Securites and Exchange Commission or its staf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1449070</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36" w:name="page137"/>
    <w:bookmarkEnd w:id="136"/>
    <w:p>
      <w:pPr>
        <w:jc w:val="right"/>
        <w:spacing w:after="0"/>
        <w:rPr>
          <w:sz w:val="20"/>
          <w:szCs w:val="20"/>
          <w:color w:val="auto"/>
        </w:rPr>
      </w:pPr>
      <w:r>
        <w:rPr>
          <w:rFonts w:ascii="Calibri" w:cs="Calibri" w:eastAsia="Calibri" w:hAnsi="Calibri"/>
          <w:sz w:val="18"/>
          <w:szCs w:val="18"/>
          <w:b w:val="1"/>
          <w:bCs w:val="1"/>
          <w:color w:val="auto"/>
        </w:rPr>
        <w:t>EXHIBIT 95</w:t>
      </w: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MINE SAFETY DISCLOSURE EXHIBIT</w:t>
      </w:r>
    </w:p>
    <w:p>
      <w:pPr>
        <w:spacing w:after="0" w:line="325"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operaton of the Company’s U.S. aggregate quarries and mines (including the mining operatons of the cement product line) is subject to regulaton by the federal Mine Safety and Health Administraton (MSHA) under the Federal Mine Safety and Health Act of 1977 (the Mine Act). MSHA inspects the Company’s quarries and mines (and cement plants) on a regular basis and issues various citatons and orders when it believes a violaton has occurred under the Mine Act. Whenever MSHA issues a citaton or order, it also generally proposes a civil penalty, or fne, related to the alleged violaton. Citatons or orders can be contested and appealed, and as part of that process, are ofen reduced in severity and amount, and are sometmes dismissed.</w:t>
      </w:r>
    </w:p>
    <w:p>
      <w:pPr>
        <w:spacing w:after="0" w:line="220"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Under the Dodd-Frank Wall Street Reform and Consumer Protecton Act (the Dodd-Frank Act), the Company is required to present informaton regarding certain mining safety and health citatons which MSHA has issued with respect to its aggregates mining operatons in its periodic reports fled with the Securites and Exchange Commission (the SEC). In evaluatng this informaton, consideraton should be given to factors such as: (i) the number of citatons and orders will vary depending on the size of the quarry or mine and type of operatons (underground or surface), (ii) the number of citatons issued will vary from inspector to inspector and locaton to locaton, and (iii) citatons and orders can be contested and appealed, and in that process, may be reduced in severity and amount, and are sometmes dismissed.</w:t>
      </w:r>
    </w:p>
    <w:p>
      <w:pPr>
        <w:spacing w:after="0" w:line="221"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We have provided informaton below in response to the rules and regulatons of the SEC issued under Secton 1503(a) of the Dodd-Frank Act. The disclosures refect U.S. mining operatons only, as the requirements of the Dodd-Frank Act and the SEC rules and regulatons thereunder do not apply to our quarries and mines operated outside the United States.</w:t>
      </w:r>
    </w:p>
    <w:p>
      <w:pPr>
        <w:spacing w:after="0" w:line="21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Company presents the following items regarding certain mining safety and health maters for the year ended December 31, 2023 (Appendix 1):</w:t>
      </w:r>
    </w:p>
    <w:p>
      <w:pPr>
        <w:spacing w:after="0" w:line="123" w:lineRule="exact"/>
        <w:rPr>
          <w:sz w:val="20"/>
          <w:szCs w:val="20"/>
          <w:color w:val="auto"/>
        </w:rPr>
      </w:pPr>
    </w:p>
    <w:p>
      <w:pPr>
        <w:jc w:val="both"/>
        <w:ind w:left="1020" w:hanging="503"/>
        <w:spacing w:after="0" w:line="235" w:lineRule="auto"/>
        <w:tabs>
          <w:tab w:leader="none" w:pos="1020" w:val="left"/>
        </w:tabs>
        <w:numPr>
          <w:ilvl w:val="0"/>
          <w:numId w:val="36"/>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violatons of mandatory health or safety standards that could signifcantly and substantally contribute to the cause and efect of a mine safety or health hazard under secton 104 of the Mine Act for which the Company received a citaton from MSHA (hereinafer, “Secton 104 S&amp;S Citatons”). If MSHA determines that a violaton of a mandatory health or safety standard is reasonably likely to result in a reasonably serious injury or illness under the unique circumstance contributed to by the violaton, MSHA will classify the violaton as a “signifcant and substantal” violaton (commonly referred to as a “S&amp;S” violaton). MSHA inspectors will classify each citaton or order writen as a S&amp;S violaton or not.</w:t>
      </w:r>
    </w:p>
    <w:p>
      <w:pPr>
        <w:spacing w:after="0" w:line="126"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36"/>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orders issued under secton 104(b) of the Mine Act (hereinafer, “Secton 104(b) Orders”). These orders are issued for situatons in which MSHA determines a previous violaton covered by a Secton 104(a) citaton has not been totally abated within the prescribed tme period, so a further order is needed to require the mine operator to immediately withdraw all persons (except certain authorized persons) from the afected area of a quarry or mine.</w:t>
      </w:r>
    </w:p>
    <w:p>
      <w:pPr>
        <w:spacing w:after="0" w:line="124"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36"/>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citatons and orders for unwarrantable failure of the mine operator to comply with mandatory health or safety standards under Secton 104(d) of the Mine Act (hereinafer, “Secton 104(d) Citatons and Orders”). These violatons are similar to those described above, but the standard is that the violaton could signifcantly and substantally contribute to the cause and efect of a safety or health hazard, but the conditons do not cause imminent danger, and the MSHA inspector fnds that the violaton is caused by an unwarranted failure of the operator to comply with the health and safety standards.</w:t>
      </w:r>
    </w:p>
    <w:p>
      <w:pPr>
        <w:spacing w:after="0" w:line="125"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36"/>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fagrant violatons under secton 110(b)(2) of the Mine Act (hereinafer, “Secton 110(b)(2) Violatons”). These violatons are penalty violatons issued if MSHA determines that violatons are “fagrant”, for which civil penaltes may be assessed. A “fagrant” violaton means a reckless or repeated failure to make reasonable eforts to eliminate a known violaton of a mandatory health or safety standard that substantally and proximately caused, or reasonably could have been expected to cause, death or serious bodily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7" w:name="page138"/>
    <w:bookmarkEnd w:id="137"/>
    <w:p>
      <w:pPr>
        <w:spacing w:after="0" w:line="95" w:lineRule="exact"/>
        <w:rPr>
          <w:sz w:val="20"/>
          <w:szCs w:val="20"/>
          <w:color w:val="auto"/>
        </w:rPr>
      </w:pPr>
    </w:p>
    <w:p>
      <w:pPr>
        <w:jc w:val="both"/>
        <w:ind w:left="1020" w:hanging="503"/>
        <w:spacing w:after="0" w:line="235" w:lineRule="auto"/>
        <w:tabs>
          <w:tab w:leader="none" w:pos="1020" w:val="left"/>
        </w:tabs>
        <w:numPr>
          <w:ilvl w:val="0"/>
          <w:numId w:val="37"/>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imminent danger orders issued under secton 107(a) of the Mine Act (hereinafer, “Secton 107(a) Orders”). These orders are issued for situatons in which MSHA determines an imminent danger exists in the quarry or mine and results in orders of immediate withdrawal of all persons (except certain authorized persons) from the area of the quarry or mine afected by its conditon untl the imminent danger and the underlying conditons causing the imminent danger no longer exist.</w:t>
      </w:r>
    </w:p>
    <w:p>
      <w:pPr>
        <w:spacing w:after="0" w:line="124"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37"/>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Dollar Value of MSHA Assessments Proposed. These are the amounts of proposed assessments issued by MSHA with each citaton or order for the tme period covered by the report. Penaltes are assessed by MSHA according to a formula that considers a number of factors, including the mine operator’s history, size, negligence, gravity of the violaton, good faith in trying to correct the violaton promptly, and the efect of the penalty on the operator’s ability to contnue in business.</w:t>
      </w:r>
    </w:p>
    <w:p>
      <w:pPr>
        <w:spacing w:after="0" w:line="124"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37"/>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Total Number of Mining-Related Fatalites. Mines subject to the Mine Act are required to report all fatalites occurring at their facilites unless the fatality is determined to be “non-chargeable” to the mining industry. The fnal rules of the SEC require disclosure of mining-related fatalites at mines subject to the Mine Act. Only fatalites determined by MSHA not to be mining-related may be excluded.</w:t>
      </w:r>
    </w:p>
    <w:p>
      <w:pPr>
        <w:spacing w:after="0" w:line="124" w:lineRule="exact"/>
        <w:rPr>
          <w:rFonts w:ascii="Times New Roman" w:cs="Times New Roman" w:eastAsia="Times New Roman" w:hAnsi="Times New Roman"/>
          <w:sz w:val="18"/>
          <w:szCs w:val="18"/>
          <w:b w:val="1"/>
          <w:bCs w:val="1"/>
          <w:color w:val="auto"/>
        </w:rPr>
      </w:pPr>
    </w:p>
    <w:p>
      <w:pPr>
        <w:jc w:val="both"/>
        <w:ind w:left="1020" w:hanging="503"/>
        <w:spacing w:after="0" w:line="235" w:lineRule="auto"/>
        <w:tabs>
          <w:tab w:leader="none" w:pos="1020" w:val="left"/>
        </w:tabs>
        <w:numPr>
          <w:ilvl w:val="0"/>
          <w:numId w:val="37"/>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Receipt of writen notce from MSHA of a patern (or a potental to have such a patern) of violatons of mandatory health or safety standards that are of such nature as could have signifcantly and substantally contributed to the cause and efect of other mine health or safety hazards under secton 104(e) of the Mine Act. If MHSA determines that a mine has a “patern” of these types of violatons, or the potental to have such a patern, MSHA is required to notfy the mine operator of the existence of such a thing.</w:t>
      </w:r>
    </w:p>
    <w:p>
      <w:pPr>
        <w:spacing w:after="0" w:line="120"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Legal Actons Pending as of the Last Day of Period.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Legal Actons Initated During Period.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b w:val="1"/>
          <w:bCs w:val="1"/>
          <w:color w:val="auto"/>
        </w:rPr>
      </w:pPr>
      <w:r>
        <w:rPr>
          <w:rFonts w:ascii="Calibri" w:cs="Calibri" w:eastAsia="Calibri" w:hAnsi="Calibri"/>
          <w:sz w:val="18"/>
          <w:szCs w:val="18"/>
          <w:color w:val="auto"/>
        </w:rPr>
        <w:t>Legal Actons Resolved During Period.</w:t>
      </w:r>
    </w:p>
    <w:p>
      <w:pPr>
        <w:spacing w:after="0" w:line="217" w:lineRule="exact"/>
        <w:rPr>
          <w:sz w:val="20"/>
          <w:szCs w:val="20"/>
          <w:color w:val="auto"/>
        </w:rPr>
      </w:pPr>
    </w:p>
    <w:p>
      <w:pPr>
        <w:jc w:val="both"/>
        <w:ind w:firstLine="509"/>
        <w:spacing w:after="0" w:line="251" w:lineRule="auto"/>
        <w:rPr>
          <w:sz w:val="20"/>
          <w:szCs w:val="20"/>
          <w:color w:val="auto"/>
        </w:rPr>
      </w:pPr>
      <w:r>
        <w:rPr>
          <w:rFonts w:ascii="Calibri" w:cs="Calibri" w:eastAsia="Calibri" w:hAnsi="Calibri"/>
          <w:sz w:val="17"/>
          <w:szCs w:val="17"/>
          <w:color w:val="auto"/>
        </w:rPr>
        <w:t>The Federal Mine Safety and Health Review Commission (the Commission) is an independent adjudicatve agency that provides administratve trial and appellate review of legal disputes arising under the Mine Act. The cases may involve, among other questons, challenges by operators to citatons, orders and penaltes they have received from MSHA, or complaints of discriminaton by miners under Secton 105 of the Mine Act. Appendix 1 shows, for each of the Company’s quarries and mines identfed, as of December 31, 2023, the number of legal actons pending before the Commission, along with the number of legal actons initated before the Commission during the year as well as resolved during the year. In additon, Appendix 1 includes a footnote to the column for legal actons before the Commission pending as of the last day of the period, which footnote breaks down that total number of legal actons pending by categories according to the type of proceeding in accordance with various categories established by the Procedural Rules of the Commission.</w:t>
      </w:r>
    </w:p>
    <w:p>
      <w:pPr>
        <w:spacing w:after="0" w:line="312" w:lineRule="exact"/>
        <w:rPr>
          <w:sz w:val="20"/>
          <w:szCs w:val="20"/>
          <w:color w:val="auto"/>
        </w:rPr>
      </w:pPr>
    </w:p>
    <w:p>
      <w:pPr>
        <w:spacing w:after="0"/>
        <w:rPr>
          <w:sz w:val="20"/>
          <w:szCs w:val="20"/>
          <w:color w:val="auto"/>
        </w:rPr>
      </w:pPr>
      <w:r>
        <w:rPr>
          <w:rFonts w:ascii="Calibri" w:cs="Calibri" w:eastAsia="Calibri" w:hAnsi="Calibri"/>
          <w:sz w:val="18"/>
          <w:szCs w:val="18"/>
          <w:color w:val="auto"/>
        </w:rPr>
        <w:t>Appendix 1 atached.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1373505</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20"/>
        </w:trPr>
        <w:tc>
          <w:tcPr>
            <w:tcW w:w="1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ind w:left="40"/>
              <w:spacing w:after="0"/>
              <w:rPr>
                <w:sz w:val="20"/>
                <w:szCs w:val="20"/>
                <w:color w:val="auto"/>
              </w:rPr>
            </w:pPr>
            <w:r>
              <w:rPr>
                <w:rFonts w:ascii="Calibri" w:cs="Calibri" w:eastAsia="Calibri" w:hAnsi="Calibri"/>
                <w:sz w:val="18"/>
                <w:szCs w:val="18"/>
                <w:color w:val="auto"/>
                <w:w w:val="94"/>
              </w:rPr>
              <w:t>Appendix 1</w:t>
            </w:r>
          </w:p>
        </w:tc>
      </w:tr>
      <w:tr>
        <w:trPr>
          <w:trHeight w:val="662"/>
        </w:trPr>
        <w:tc>
          <w:tcPr>
            <w:tcW w:w="1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Calibri" w:cs="Calibri" w:eastAsia="Calibri" w:hAnsi="Calibri"/>
                <w:sz w:val="18"/>
                <w:szCs w:val="18"/>
                <w:b w:val="1"/>
                <w:bCs w:val="1"/>
                <w:color w:val="auto"/>
                <w:w w:val="97"/>
              </w:rPr>
              <w:t>Received</w:t>
            </w: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Received</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Notce of</w:t>
            </w:r>
          </w:p>
        </w:tc>
        <w:tc>
          <w:tcPr>
            <w:tcW w:w="6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Legal</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Notce of</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Potental</w:t>
            </w:r>
          </w:p>
        </w:tc>
        <w:tc>
          <w:tcPr>
            <w:tcW w:w="6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Actons</w:t>
            </w:r>
          </w:p>
        </w:tc>
        <w:tc>
          <w:tcPr>
            <w:tcW w:w="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Legal</w:t>
            </w:r>
          </w:p>
        </w:tc>
        <w:tc>
          <w:tcPr>
            <w:tcW w:w="84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2"/>
          </w:tcPr>
          <w:p>
            <w:pPr>
              <w:ind w:left="20"/>
              <w:spacing w:after="0" w:line="216" w:lineRule="exact"/>
              <w:rPr>
                <w:sz w:val="20"/>
                <w:szCs w:val="20"/>
                <w:color w:val="auto"/>
              </w:rPr>
            </w:pPr>
            <w:r>
              <w:rPr>
                <w:rFonts w:ascii="Calibri" w:cs="Calibri" w:eastAsia="Calibri" w:hAnsi="Calibri"/>
                <w:sz w:val="18"/>
                <w:szCs w:val="18"/>
                <w:b w:val="1"/>
                <w:bCs w:val="1"/>
                <w:color w:val="auto"/>
              </w:rPr>
              <w:t>Total Dollar</w:t>
            </w:r>
          </w:p>
        </w:tc>
        <w:tc>
          <w:tcPr>
            <w:tcW w:w="1100" w:type="dxa"/>
            <w:vAlign w:val="bottom"/>
          </w:tcPr>
          <w:p>
            <w:pPr>
              <w:spacing w:after="0"/>
              <w:rPr>
                <w:sz w:val="18"/>
                <w:szCs w:val="18"/>
                <w:color w:val="auto"/>
              </w:rPr>
            </w:pPr>
          </w:p>
        </w:tc>
        <w:tc>
          <w:tcPr>
            <w:tcW w:w="8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Patern of</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to have</w:t>
            </w:r>
          </w:p>
        </w:tc>
        <w:tc>
          <w:tcPr>
            <w:tcW w:w="1240" w:type="dxa"/>
            <w:vAlign w:val="bottom"/>
            <w:gridSpan w:val="2"/>
          </w:tcPr>
          <w:p>
            <w:pPr>
              <w:ind w:left="100"/>
              <w:spacing w:after="0" w:line="216" w:lineRule="exact"/>
              <w:rPr>
                <w:sz w:val="20"/>
                <w:szCs w:val="20"/>
                <w:color w:val="auto"/>
              </w:rPr>
            </w:pPr>
            <w:r>
              <w:rPr>
                <w:rFonts w:ascii="Calibri" w:cs="Calibri" w:eastAsia="Calibri" w:hAnsi="Calibri"/>
                <w:sz w:val="18"/>
                <w:szCs w:val="18"/>
                <w:b w:val="1"/>
                <w:bCs w:val="1"/>
                <w:color w:val="auto"/>
              </w:rPr>
              <w:t>Pendin Actons</w:t>
            </w:r>
          </w:p>
        </w:tc>
        <w:tc>
          <w:tcPr>
            <w:tcW w:w="84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Secto</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Secton</w:t>
            </w:r>
          </w:p>
        </w:tc>
        <w:tc>
          <w:tcPr>
            <w:tcW w:w="6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Secton</w:t>
            </w:r>
          </w:p>
        </w:tc>
        <w:tc>
          <w:tcPr>
            <w:tcW w:w="5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Secto</w:t>
            </w:r>
          </w:p>
        </w:tc>
        <w:tc>
          <w:tcPr>
            <w:tcW w:w="120" w:type="dxa"/>
            <w:vAlign w:val="bottom"/>
          </w:tcPr>
          <w:p>
            <w:pPr>
              <w:spacing w:after="0"/>
              <w:rPr>
                <w:sz w:val="18"/>
                <w:szCs w:val="18"/>
                <w:color w:val="auto"/>
              </w:rPr>
            </w:pPr>
          </w:p>
        </w:tc>
        <w:tc>
          <w:tcPr>
            <w:tcW w:w="800" w:type="dxa"/>
            <w:vAlign w:val="bottom"/>
          </w:tcPr>
          <w:p>
            <w:pPr>
              <w:jc w:val="center"/>
              <w:ind w:right="110"/>
              <w:spacing w:after="0" w:line="216" w:lineRule="exact"/>
              <w:rPr>
                <w:sz w:val="20"/>
                <w:szCs w:val="20"/>
                <w:color w:val="auto"/>
              </w:rPr>
            </w:pPr>
            <w:r>
              <w:rPr>
                <w:rFonts w:ascii="Calibri" w:cs="Calibri" w:eastAsia="Calibri" w:hAnsi="Calibri"/>
                <w:sz w:val="18"/>
                <w:szCs w:val="18"/>
                <w:b w:val="1"/>
                <w:bCs w:val="1"/>
                <w:color w:val="auto"/>
                <w:w w:val="96"/>
              </w:rPr>
              <w:t>Value of</w:t>
            </w:r>
          </w:p>
        </w:tc>
        <w:tc>
          <w:tcPr>
            <w:tcW w:w="1100" w:type="dxa"/>
            <w:vAlign w:val="bottom"/>
          </w:tcPr>
          <w:p>
            <w:pPr>
              <w:spacing w:after="0"/>
              <w:rPr>
                <w:sz w:val="18"/>
                <w:szCs w:val="18"/>
                <w:color w:val="auto"/>
              </w:rPr>
            </w:pPr>
          </w:p>
        </w:tc>
        <w:tc>
          <w:tcPr>
            <w:tcW w:w="8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Violaton</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Patern</w:t>
            </w:r>
          </w:p>
        </w:tc>
        <w:tc>
          <w:tcPr>
            <w:tcW w:w="6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g as of</w:t>
            </w:r>
          </w:p>
        </w:tc>
        <w:tc>
          <w:tcPr>
            <w:tcW w:w="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Insttut</w:t>
            </w:r>
          </w:p>
        </w:tc>
        <w:tc>
          <w:tcPr>
            <w:tcW w:w="8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Legal</w:t>
            </w:r>
          </w:p>
        </w:tc>
      </w:tr>
      <w:tr>
        <w:trPr>
          <w:trHeight w:val="216"/>
        </w:trPr>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Secton</w:t>
            </w:r>
          </w:p>
        </w:tc>
        <w:tc>
          <w:tcPr>
            <w:tcW w:w="5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n</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104(d)</w:t>
            </w:r>
          </w:p>
        </w:tc>
        <w:tc>
          <w:tcPr>
            <w:tcW w:w="6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110(b)</w:t>
            </w:r>
          </w:p>
        </w:tc>
        <w:tc>
          <w:tcPr>
            <w:tcW w:w="5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82"/>
              </w:rPr>
              <w:t>n</w:t>
            </w:r>
          </w:p>
        </w:tc>
        <w:tc>
          <w:tcPr>
            <w:tcW w:w="120" w:type="dxa"/>
            <w:vAlign w:val="bottom"/>
          </w:tcPr>
          <w:p>
            <w:pPr>
              <w:spacing w:after="0"/>
              <w:rPr>
                <w:sz w:val="18"/>
                <w:szCs w:val="18"/>
                <w:color w:val="auto"/>
              </w:rPr>
            </w:pPr>
          </w:p>
        </w:tc>
        <w:tc>
          <w:tcPr>
            <w:tcW w:w="800" w:type="dxa"/>
            <w:vAlign w:val="bottom"/>
          </w:tcPr>
          <w:p>
            <w:pPr>
              <w:jc w:val="center"/>
              <w:ind w:right="90"/>
              <w:spacing w:after="0" w:line="216" w:lineRule="exact"/>
              <w:rPr>
                <w:sz w:val="20"/>
                <w:szCs w:val="20"/>
                <w:color w:val="auto"/>
              </w:rPr>
            </w:pPr>
            <w:r>
              <w:rPr>
                <w:rFonts w:ascii="Calibri" w:cs="Calibri" w:eastAsia="Calibri" w:hAnsi="Calibri"/>
                <w:sz w:val="18"/>
                <w:szCs w:val="18"/>
                <w:b w:val="1"/>
                <w:bCs w:val="1"/>
                <w:color w:val="auto"/>
                <w:w w:val="98"/>
              </w:rPr>
              <w:t>MSHA</w:t>
            </w:r>
          </w:p>
        </w:tc>
        <w:tc>
          <w:tcPr>
            <w:tcW w:w="11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4"/>
              </w:rPr>
              <w:t>Total Number</w:t>
            </w:r>
          </w:p>
        </w:tc>
        <w:tc>
          <w:tcPr>
            <w:tcW w:w="8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Under</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4"/>
              </w:rPr>
              <w:t>under</w:t>
            </w:r>
          </w:p>
        </w:tc>
        <w:tc>
          <w:tcPr>
            <w:tcW w:w="6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Last</w:t>
            </w:r>
          </w:p>
        </w:tc>
        <w:tc>
          <w:tcPr>
            <w:tcW w:w="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ed</w:t>
            </w:r>
          </w:p>
        </w:tc>
        <w:tc>
          <w:tcPr>
            <w:tcW w:w="8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Actons</w:t>
            </w:r>
          </w:p>
        </w:tc>
      </w:tr>
      <w:tr>
        <w:trPr>
          <w:trHeight w:val="216"/>
        </w:trPr>
        <w:tc>
          <w:tcPr>
            <w:tcW w:w="1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104 S&amp;S</w:t>
            </w:r>
          </w:p>
        </w:tc>
        <w:tc>
          <w:tcPr>
            <w:tcW w:w="5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104(b)</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Citatons</w:t>
            </w:r>
          </w:p>
        </w:tc>
        <w:tc>
          <w:tcPr>
            <w:tcW w:w="6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(2)</w:t>
            </w:r>
          </w:p>
        </w:tc>
        <w:tc>
          <w:tcPr>
            <w:tcW w:w="1480" w:type="dxa"/>
            <w:vAlign w:val="bottom"/>
            <w:gridSpan w:val="3"/>
          </w:tcPr>
          <w:p>
            <w:pPr>
              <w:jc w:val="right"/>
              <w:spacing w:after="0" w:line="216" w:lineRule="exact"/>
              <w:rPr>
                <w:sz w:val="20"/>
                <w:szCs w:val="20"/>
                <w:color w:val="auto"/>
              </w:rPr>
            </w:pPr>
            <w:r>
              <w:rPr>
                <w:rFonts w:ascii="Calibri" w:cs="Calibri" w:eastAsia="Calibri" w:hAnsi="Calibri"/>
                <w:sz w:val="18"/>
                <w:szCs w:val="18"/>
                <w:b w:val="1"/>
                <w:bCs w:val="1"/>
                <w:color w:val="auto"/>
              </w:rPr>
              <w:t>107(a) Assessmen</w:t>
            </w:r>
          </w:p>
        </w:tc>
        <w:tc>
          <w:tcPr>
            <w:tcW w:w="11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of Mining</w:t>
            </w:r>
          </w:p>
        </w:tc>
        <w:tc>
          <w:tcPr>
            <w:tcW w:w="8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Secton</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Secton</w:t>
            </w:r>
          </w:p>
        </w:tc>
        <w:tc>
          <w:tcPr>
            <w:tcW w:w="6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Day of</w:t>
            </w:r>
          </w:p>
        </w:tc>
        <w:tc>
          <w:tcPr>
            <w:tcW w:w="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9"/>
              </w:rPr>
              <w:t>During</w:t>
            </w:r>
          </w:p>
        </w:tc>
        <w:tc>
          <w:tcPr>
            <w:tcW w:w="8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Resolved</w:t>
            </w:r>
          </w:p>
        </w:tc>
      </w:tr>
      <w:tr>
        <w:trPr>
          <w:trHeight w:val="216"/>
        </w:trPr>
        <w:tc>
          <w:tcPr>
            <w:tcW w:w="1760" w:type="dxa"/>
            <w:vAlign w:val="bottom"/>
          </w:tcPr>
          <w:p>
            <w:pPr>
              <w:spacing w:after="0"/>
              <w:rPr>
                <w:sz w:val="18"/>
                <w:szCs w:val="18"/>
                <w:color w:val="auto"/>
              </w:rPr>
            </w:pPr>
          </w:p>
        </w:tc>
        <w:tc>
          <w:tcPr>
            <w:tcW w:w="1840" w:type="dxa"/>
            <w:vAlign w:val="bottom"/>
            <w:gridSpan w:val="3"/>
          </w:tcPr>
          <w:p>
            <w:pPr>
              <w:jc w:val="center"/>
              <w:spacing w:after="0" w:line="216" w:lineRule="exact"/>
              <w:rPr>
                <w:sz w:val="20"/>
                <w:szCs w:val="20"/>
                <w:color w:val="auto"/>
              </w:rPr>
            </w:pPr>
            <w:r>
              <w:rPr>
                <w:rFonts w:ascii="Calibri" w:cs="Calibri" w:eastAsia="Calibri" w:hAnsi="Calibri"/>
                <w:sz w:val="18"/>
                <w:szCs w:val="18"/>
                <w:b w:val="1"/>
                <w:bCs w:val="1"/>
                <w:color w:val="auto"/>
              </w:rPr>
              <w:t>MSHA Citatons Orders</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9"/>
              </w:rPr>
              <w:t>and</w:t>
            </w:r>
          </w:p>
        </w:tc>
        <w:tc>
          <w:tcPr>
            <w:tcW w:w="1180" w:type="dxa"/>
            <w:vAlign w:val="bottom"/>
            <w:gridSpan w:val="2"/>
          </w:tcPr>
          <w:p>
            <w:pPr>
              <w:ind w:left="40"/>
              <w:spacing w:after="0" w:line="216" w:lineRule="exact"/>
              <w:rPr>
                <w:sz w:val="20"/>
                <w:szCs w:val="20"/>
                <w:color w:val="auto"/>
              </w:rPr>
            </w:pPr>
            <w:r>
              <w:rPr>
                <w:rFonts w:ascii="Calibri" w:cs="Calibri" w:eastAsia="Calibri" w:hAnsi="Calibri"/>
                <w:sz w:val="18"/>
                <w:szCs w:val="18"/>
                <w:b w:val="1"/>
                <w:bCs w:val="1"/>
                <w:color w:val="auto"/>
              </w:rPr>
              <w:t>Violato Orders</w:t>
            </w:r>
          </w:p>
        </w:tc>
        <w:tc>
          <w:tcPr>
            <w:tcW w:w="120" w:type="dxa"/>
            <w:vAlign w:val="bottom"/>
          </w:tcPr>
          <w:p>
            <w:pPr>
              <w:spacing w:after="0"/>
              <w:rPr>
                <w:sz w:val="18"/>
                <w:szCs w:val="18"/>
                <w:color w:val="auto"/>
              </w:rPr>
            </w:pPr>
          </w:p>
        </w:tc>
        <w:tc>
          <w:tcPr>
            <w:tcW w:w="800" w:type="dxa"/>
            <w:vAlign w:val="bottom"/>
          </w:tcPr>
          <w:p>
            <w:pPr>
              <w:jc w:val="center"/>
              <w:ind w:right="110"/>
              <w:spacing w:after="0" w:line="216" w:lineRule="exact"/>
              <w:rPr>
                <w:sz w:val="20"/>
                <w:szCs w:val="20"/>
                <w:color w:val="auto"/>
              </w:rPr>
            </w:pPr>
            <w:r>
              <w:rPr>
                <w:rFonts w:ascii="Calibri" w:cs="Calibri" w:eastAsia="Calibri" w:hAnsi="Calibri"/>
                <w:sz w:val="18"/>
                <w:szCs w:val="18"/>
                <w:b w:val="1"/>
                <w:bCs w:val="1"/>
                <w:color w:val="auto"/>
              </w:rPr>
              <w:t>t/$</w:t>
            </w:r>
          </w:p>
        </w:tc>
        <w:tc>
          <w:tcPr>
            <w:tcW w:w="11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Related</w:t>
            </w:r>
          </w:p>
        </w:tc>
        <w:tc>
          <w:tcPr>
            <w:tcW w:w="8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104(e)</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6"/>
              </w:rPr>
              <w:t>104(e)</w:t>
            </w:r>
          </w:p>
        </w:tc>
        <w:tc>
          <w:tcPr>
            <w:tcW w:w="6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Period</w:t>
            </w:r>
          </w:p>
        </w:tc>
        <w:tc>
          <w:tcPr>
            <w:tcW w:w="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Period</w:t>
            </w:r>
          </w:p>
        </w:tc>
        <w:tc>
          <w:tcPr>
            <w:tcW w:w="8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During</w:t>
            </w:r>
          </w:p>
        </w:tc>
      </w:tr>
      <w:tr>
        <w:trPr>
          <w:trHeight w:val="216"/>
        </w:trPr>
        <w:tc>
          <w:tcPr>
            <w:tcW w:w="1760" w:type="dxa"/>
            <w:vAlign w:val="bottom"/>
          </w:tcPr>
          <w:p>
            <w:pPr>
              <w:ind w:left="600"/>
              <w:spacing w:after="0" w:line="216" w:lineRule="exact"/>
              <w:rPr>
                <w:sz w:val="20"/>
                <w:szCs w:val="20"/>
                <w:color w:val="auto"/>
              </w:rPr>
            </w:pPr>
            <w:r>
              <w:rPr>
                <w:rFonts w:ascii="Calibri" w:cs="Calibri" w:eastAsia="Calibri" w:hAnsi="Calibri"/>
                <w:sz w:val="18"/>
                <w:szCs w:val="18"/>
                <w:b w:val="1"/>
                <w:bCs w:val="1"/>
                <w:color w:val="auto"/>
              </w:rPr>
              <w:t>Locaton</w:t>
            </w:r>
          </w:p>
        </w:tc>
        <w:tc>
          <w:tcPr>
            <w:tcW w:w="560" w:type="dxa"/>
            <w:vAlign w:val="bottom"/>
          </w:tcPr>
          <w:p>
            <w:pPr>
              <w:ind w:left="220"/>
              <w:spacing w:after="0" w:line="216" w:lineRule="exact"/>
              <w:rPr>
                <w:sz w:val="20"/>
                <w:szCs w:val="20"/>
                <w:color w:val="auto"/>
              </w:rPr>
            </w:pPr>
            <w:r>
              <w:rPr>
                <w:rFonts w:ascii="Calibri" w:cs="Calibri" w:eastAsia="Calibri" w:hAnsi="Calibri"/>
                <w:sz w:val="18"/>
                <w:szCs w:val="18"/>
                <w:b w:val="1"/>
                <w:bCs w:val="1"/>
                <w:color w:val="auto"/>
              </w:rPr>
              <w:t>ID</w:t>
            </w:r>
          </w:p>
        </w:tc>
        <w:tc>
          <w:tcPr>
            <w:tcW w:w="7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w:t>
            </w:r>
          </w:p>
        </w:tc>
        <w:tc>
          <w:tcPr>
            <w:tcW w:w="5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88"/>
              </w:rPr>
              <w:t>(#)</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Orders (#)</w:t>
            </w:r>
          </w:p>
        </w:tc>
        <w:tc>
          <w:tcPr>
            <w:tcW w:w="6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ns (#)</w:t>
            </w:r>
          </w:p>
        </w:tc>
        <w:tc>
          <w:tcPr>
            <w:tcW w:w="56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w:t>
            </w:r>
          </w:p>
        </w:tc>
        <w:tc>
          <w:tcPr>
            <w:tcW w:w="920" w:type="dxa"/>
            <w:vAlign w:val="bottom"/>
            <w:gridSpan w:val="2"/>
          </w:tcPr>
          <w:p>
            <w:pPr>
              <w:jc w:val="center"/>
              <w:spacing w:after="0" w:line="216" w:lineRule="exact"/>
              <w:rPr>
                <w:sz w:val="20"/>
                <w:szCs w:val="20"/>
                <w:color w:val="auto"/>
              </w:rPr>
            </w:pPr>
            <w:r>
              <w:rPr>
                <w:rFonts w:ascii="Calibri" w:cs="Calibri" w:eastAsia="Calibri" w:hAnsi="Calibri"/>
                <w:sz w:val="18"/>
                <w:szCs w:val="18"/>
                <w:b w:val="1"/>
                <w:bCs w:val="1"/>
                <w:color w:val="auto"/>
                <w:w w:val="95"/>
              </w:rPr>
              <w:t>Proposed</w:t>
            </w:r>
          </w:p>
        </w:tc>
        <w:tc>
          <w:tcPr>
            <w:tcW w:w="11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Fatalites (#)</w:t>
            </w:r>
          </w:p>
        </w:tc>
        <w:tc>
          <w:tcPr>
            <w:tcW w:w="8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(yes/no)</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(yes/no)</w:t>
            </w:r>
          </w:p>
        </w:tc>
        <w:tc>
          <w:tcPr>
            <w:tcW w:w="6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5"/>
              </w:rPr>
              <w:t>(#)*</w:t>
            </w:r>
          </w:p>
        </w:tc>
        <w:tc>
          <w:tcPr>
            <w:tcW w:w="60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w:t>
            </w:r>
          </w:p>
        </w:tc>
        <w:tc>
          <w:tcPr>
            <w:tcW w:w="8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8"/>
              </w:rPr>
              <w:t>Period (#)</w:t>
            </w:r>
          </w:p>
        </w:tc>
      </w:tr>
      <w:tr>
        <w:trPr>
          <w:trHeight w:val="243"/>
        </w:trPr>
        <w:tc>
          <w:tcPr>
            <w:tcW w:w="176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Calibri" w:cs="Calibri" w:eastAsia="Calibri" w:hAnsi="Calibri"/>
                <w:sz w:val="18"/>
                <w:szCs w:val="18"/>
                <w:color w:val="auto"/>
              </w:rPr>
              <w:t>31016</w:t>
            </w: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6"/>
        </w:trPr>
        <w:tc>
          <w:tcPr>
            <w:tcW w:w="1760" w:type="dxa"/>
            <w:vAlign w:val="bottom"/>
          </w:tcPr>
          <w:p>
            <w:pPr>
              <w:ind w:left="20"/>
              <w:spacing w:after="0" w:line="216" w:lineRule="exact"/>
              <w:rPr>
                <w:sz w:val="20"/>
                <w:szCs w:val="20"/>
                <w:color w:val="auto"/>
              </w:rPr>
            </w:pPr>
            <w:r>
              <w:rPr>
                <w:rFonts w:ascii="Calibri" w:cs="Calibri" w:eastAsia="Calibri" w:hAnsi="Calibri"/>
                <w:sz w:val="18"/>
                <w:szCs w:val="18"/>
                <w:color w:val="auto"/>
              </w:rPr>
              <w:t>Alexander Quarry</w:t>
            </w:r>
          </w:p>
        </w:tc>
        <w:tc>
          <w:tcPr>
            <w:tcW w:w="560" w:type="dxa"/>
            <w:vAlign w:val="bottom"/>
          </w:tcPr>
          <w:p>
            <w:pPr>
              <w:ind w:left="40"/>
              <w:spacing w:after="0" w:line="216" w:lineRule="exact"/>
              <w:rPr>
                <w:sz w:val="20"/>
                <w:szCs w:val="20"/>
                <w:color w:val="auto"/>
              </w:rPr>
            </w:pPr>
            <w:r>
              <w:rPr>
                <w:rFonts w:ascii="Calibri" w:cs="Calibri" w:eastAsia="Calibri" w:hAnsi="Calibri"/>
                <w:sz w:val="18"/>
                <w:szCs w:val="18"/>
                <w:color w:val="auto"/>
              </w:rPr>
              <w:t>36</w:t>
            </w:r>
          </w:p>
        </w:tc>
        <w:tc>
          <w:tcPr>
            <w:tcW w:w="700" w:type="dxa"/>
            <w:vAlign w:val="bottom"/>
          </w:tcPr>
          <w:p>
            <w:pPr>
              <w:jc w:val="center"/>
              <w:spacing w:after="0" w:line="216"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center"/>
              <w:spacing w:after="0" w:line="216" w:lineRule="exact"/>
              <w:rPr>
                <w:sz w:val="20"/>
                <w:szCs w:val="20"/>
                <w:color w:val="auto"/>
              </w:rPr>
            </w:pPr>
            <w:r>
              <w:rPr>
                <w:rFonts w:ascii="Calibri" w:cs="Calibri" w:eastAsia="Calibri" w:hAnsi="Calibri"/>
                <w:sz w:val="18"/>
                <w:szCs w:val="18"/>
                <w:color w:val="auto"/>
              </w:rPr>
              <w:t>0</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color w:val="auto"/>
              </w:rPr>
              <w:t>0</w:t>
            </w:r>
          </w:p>
        </w:tc>
        <w:tc>
          <w:tcPr>
            <w:tcW w:w="620" w:type="dxa"/>
            <w:vAlign w:val="bottom"/>
          </w:tcPr>
          <w:p>
            <w:pPr>
              <w:jc w:val="center"/>
              <w:spacing w:after="0" w:line="216"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spacing w:after="0" w:line="216" w:lineRule="exact"/>
              <w:rPr>
                <w:sz w:val="20"/>
                <w:szCs w:val="20"/>
                <w:color w:val="auto"/>
              </w:rPr>
            </w:pPr>
            <w:r>
              <w:rPr>
                <w:rFonts w:ascii="Calibri" w:cs="Calibri" w:eastAsia="Calibri" w:hAnsi="Calibri"/>
                <w:sz w:val="18"/>
                <w:szCs w:val="18"/>
                <w:color w:val="auto"/>
                <w:w w:val="87"/>
              </w:rPr>
              <w:t>0</w:t>
            </w:r>
          </w:p>
        </w:tc>
        <w:tc>
          <w:tcPr>
            <w:tcW w:w="120" w:type="dxa"/>
            <w:vAlign w:val="bottom"/>
          </w:tcPr>
          <w:p>
            <w:pPr>
              <w:ind w:left="20"/>
              <w:spacing w:after="0" w:line="216"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0</w:t>
            </w:r>
          </w:p>
        </w:tc>
        <w:tc>
          <w:tcPr>
            <w:tcW w:w="1100" w:type="dxa"/>
            <w:vAlign w:val="bottom"/>
          </w:tcPr>
          <w:p>
            <w:pPr>
              <w:jc w:val="center"/>
              <w:spacing w:after="0" w:line="216" w:lineRule="exact"/>
              <w:rPr>
                <w:sz w:val="20"/>
                <w:szCs w:val="20"/>
                <w:color w:val="auto"/>
              </w:rPr>
            </w:pPr>
            <w:r>
              <w:rPr>
                <w:rFonts w:ascii="Calibri" w:cs="Calibri" w:eastAsia="Calibri" w:hAnsi="Calibri"/>
                <w:sz w:val="18"/>
                <w:szCs w:val="18"/>
                <w:color w:val="auto"/>
                <w:w w:val="87"/>
              </w:rPr>
              <w:t>0</w:t>
            </w:r>
          </w:p>
        </w:tc>
        <w:tc>
          <w:tcPr>
            <w:tcW w:w="800" w:type="dxa"/>
            <w:vAlign w:val="bottom"/>
          </w:tcPr>
          <w:p>
            <w:pPr>
              <w:jc w:val="center"/>
              <w:spacing w:after="0" w:line="216"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6" w:lineRule="exact"/>
              <w:rPr>
                <w:sz w:val="20"/>
                <w:szCs w:val="20"/>
                <w:color w:val="auto"/>
              </w:rPr>
            </w:pPr>
            <w:r>
              <w:rPr>
                <w:rFonts w:ascii="Calibri" w:cs="Calibri" w:eastAsia="Calibri" w:hAnsi="Calibri"/>
                <w:sz w:val="18"/>
                <w:szCs w:val="18"/>
                <w:color w:val="auto"/>
                <w:w w:val="94"/>
              </w:rPr>
              <w:t>no</w:t>
            </w:r>
          </w:p>
        </w:tc>
        <w:tc>
          <w:tcPr>
            <w:tcW w:w="640" w:type="dxa"/>
            <w:vAlign w:val="bottom"/>
          </w:tcPr>
          <w:p>
            <w:pPr>
              <w:jc w:val="center"/>
              <w:spacing w:after="0" w:line="216" w:lineRule="exact"/>
              <w:rPr>
                <w:sz w:val="20"/>
                <w:szCs w:val="20"/>
                <w:color w:val="auto"/>
              </w:rPr>
            </w:pPr>
            <w:r>
              <w:rPr>
                <w:rFonts w:ascii="Calibri" w:cs="Calibri" w:eastAsia="Calibri" w:hAnsi="Calibri"/>
                <w:sz w:val="18"/>
                <w:szCs w:val="18"/>
                <w:color w:val="auto"/>
              </w:rPr>
              <w:t>0</w:t>
            </w:r>
          </w:p>
        </w:tc>
        <w:tc>
          <w:tcPr>
            <w:tcW w:w="600" w:type="dxa"/>
            <w:vAlign w:val="bottom"/>
          </w:tcPr>
          <w:p>
            <w:pPr>
              <w:jc w:val="center"/>
              <w:spacing w:after="0" w:line="216" w:lineRule="exact"/>
              <w:rPr>
                <w:sz w:val="20"/>
                <w:szCs w:val="20"/>
                <w:color w:val="auto"/>
              </w:rPr>
            </w:pPr>
            <w:r>
              <w:rPr>
                <w:rFonts w:ascii="Calibri" w:cs="Calibri" w:eastAsia="Calibri" w:hAnsi="Calibri"/>
                <w:sz w:val="18"/>
                <w:szCs w:val="18"/>
                <w:color w:val="auto"/>
              </w:rPr>
              <w:t>0</w:t>
            </w:r>
          </w:p>
        </w:tc>
        <w:tc>
          <w:tcPr>
            <w:tcW w:w="840" w:type="dxa"/>
            <w:vAlign w:val="bottom"/>
          </w:tcPr>
          <w:p>
            <w:pPr>
              <w:jc w:val="center"/>
              <w:spacing w:after="0" w:line="216"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56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44073</w:t>
            </w:r>
          </w:p>
        </w:tc>
        <w:tc>
          <w:tcPr>
            <w:tcW w:w="700" w:type="dxa"/>
            <w:vAlign w:val="bottom"/>
            <w:shd w:val="clear" w:color="auto" w:fill="E5F1F8"/>
          </w:tcPr>
          <w:p>
            <w:pPr>
              <w:spacing w:after="0"/>
              <w:rPr>
                <w:sz w:val="18"/>
                <w:szCs w:val="18"/>
                <w:color w:val="auto"/>
              </w:rPr>
            </w:pPr>
          </w:p>
        </w:tc>
        <w:tc>
          <w:tcPr>
            <w:tcW w:w="5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110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Amelia Quarry</w:t>
            </w:r>
          </w:p>
        </w:tc>
        <w:tc>
          <w:tcPr>
            <w:tcW w:w="56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72</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1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560" w:type="dxa"/>
            <w:vAlign w:val="bottom"/>
          </w:tcPr>
          <w:p>
            <w:pPr>
              <w:ind w:left="40"/>
              <w:spacing w:after="0" w:line="207" w:lineRule="exact"/>
              <w:rPr>
                <w:sz w:val="20"/>
                <w:szCs w:val="20"/>
                <w:color w:val="auto"/>
              </w:rPr>
            </w:pPr>
            <w:r>
              <w:rPr>
                <w:rFonts w:ascii="Calibri" w:cs="Calibri" w:eastAsia="Calibri" w:hAnsi="Calibri"/>
                <w:sz w:val="18"/>
                <w:szCs w:val="18"/>
                <w:color w:val="auto"/>
              </w:rPr>
              <w:t>31001</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American Stone</w:t>
            </w:r>
          </w:p>
        </w:tc>
        <w:tc>
          <w:tcPr>
            <w:tcW w:w="560" w:type="dxa"/>
            <w:vAlign w:val="bottom"/>
          </w:tcPr>
          <w:p>
            <w:pPr>
              <w:ind w:left="40"/>
              <w:spacing w:after="0" w:line="215" w:lineRule="exact"/>
              <w:rPr>
                <w:sz w:val="20"/>
                <w:szCs w:val="20"/>
                <w:color w:val="auto"/>
              </w:rPr>
            </w:pPr>
            <w:r>
              <w:rPr>
                <w:rFonts w:ascii="Calibri" w:cs="Calibri" w:eastAsia="Calibri" w:hAnsi="Calibri"/>
                <w:sz w:val="18"/>
                <w:szCs w:val="18"/>
                <w:color w:val="auto"/>
              </w:rPr>
              <w:t>89</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266</w:t>
            </w: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56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44029</w:t>
            </w:r>
          </w:p>
        </w:tc>
        <w:tc>
          <w:tcPr>
            <w:tcW w:w="700" w:type="dxa"/>
            <w:vAlign w:val="bottom"/>
            <w:shd w:val="clear" w:color="auto" w:fill="E5F1F8"/>
          </w:tcPr>
          <w:p>
            <w:pPr>
              <w:spacing w:after="0"/>
              <w:rPr>
                <w:sz w:val="18"/>
                <w:szCs w:val="18"/>
                <w:color w:val="auto"/>
              </w:rPr>
            </w:pPr>
          </w:p>
        </w:tc>
        <w:tc>
          <w:tcPr>
            <w:tcW w:w="5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110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Anderson Creek Quarry</w:t>
            </w:r>
          </w:p>
        </w:tc>
        <w:tc>
          <w:tcPr>
            <w:tcW w:w="56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63</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183</w:t>
            </w:r>
          </w:p>
        </w:tc>
        <w:tc>
          <w:tcPr>
            <w:tcW w:w="11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560" w:type="dxa"/>
            <w:vAlign w:val="bottom"/>
          </w:tcPr>
          <w:p>
            <w:pPr>
              <w:ind w:left="40"/>
              <w:spacing w:after="0" w:line="207" w:lineRule="exact"/>
              <w:rPr>
                <w:sz w:val="20"/>
                <w:szCs w:val="20"/>
                <w:color w:val="auto"/>
              </w:rPr>
            </w:pPr>
            <w:r>
              <w:rPr>
                <w:rFonts w:ascii="Calibri" w:cs="Calibri" w:eastAsia="Calibri" w:hAnsi="Calibri"/>
                <w:sz w:val="18"/>
                <w:szCs w:val="18"/>
                <w:color w:val="auto"/>
              </w:rPr>
              <w:t>09010</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Appling Quarry</w:t>
            </w:r>
          </w:p>
        </w:tc>
        <w:tc>
          <w:tcPr>
            <w:tcW w:w="560" w:type="dxa"/>
            <w:vAlign w:val="bottom"/>
          </w:tcPr>
          <w:p>
            <w:pPr>
              <w:ind w:left="40"/>
              <w:spacing w:after="0" w:line="215" w:lineRule="exact"/>
              <w:rPr>
                <w:sz w:val="20"/>
                <w:szCs w:val="20"/>
                <w:color w:val="auto"/>
              </w:rPr>
            </w:pPr>
            <w:r>
              <w:rPr>
                <w:rFonts w:ascii="Calibri" w:cs="Calibri" w:eastAsia="Calibri" w:hAnsi="Calibri"/>
                <w:sz w:val="18"/>
                <w:szCs w:val="18"/>
                <w:color w:val="auto"/>
              </w:rPr>
              <w:t>83</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133</w:t>
            </w: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56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31000</w:t>
            </w:r>
          </w:p>
        </w:tc>
        <w:tc>
          <w:tcPr>
            <w:tcW w:w="700" w:type="dxa"/>
            <w:vAlign w:val="bottom"/>
            <w:shd w:val="clear" w:color="auto" w:fill="E5F1F8"/>
          </w:tcPr>
          <w:p>
            <w:pPr>
              <w:spacing w:after="0"/>
              <w:rPr>
                <w:sz w:val="18"/>
                <w:szCs w:val="18"/>
                <w:color w:val="auto"/>
              </w:rPr>
            </w:pPr>
          </w:p>
        </w:tc>
        <w:tc>
          <w:tcPr>
            <w:tcW w:w="5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110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Arrowood Quarry</w:t>
            </w:r>
          </w:p>
        </w:tc>
        <w:tc>
          <w:tcPr>
            <w:tcW w:w="56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59</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1</w:t>
            </w:r>
          </w:p>
        </w:tc>
        <w:tc>
          <w:tcPr>
            <w:tcW w:w="5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454</w:t>
            </w:r>
          </w:p>
        </w:tc>
        <w:tc>
          <w:tcPr>
            <w:tcW w:w="11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560" w:type="dxa"/>
            <w:vAlign w:val="bottom"/>
          </w:tcPr>
          <w:p>
            <w:pPr>
              <w:ind w:left="40"/>
              <w:spacing w:after="0" w:line="207" w:lineRule="exact"/>
              <w:rPr>
                <w:sz w:val="20"/>
                <w:szCs w:val="20"/>
                <w:color w:val="auto"/>
              </w:rPr>
            </w:pPr>
            <w:r>
              <w:rPr>
                <w:rFonts w:ascii="Calibri" w:cs="Calibri" w:eastAsia="Calibri" w:hAnsi="Calibri"/>
                <w:sz w:val="18"/>
                <w:szCs w:val="18"/>
                <w:color w:val="auto"/>
              </w:rPr>
              <w:t>31000</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Asheboro Quarry</w:t>
            </w:r>
          </w:p>
        </w:tc>
        <w:tc>
          <w:tcPr>
            <w:tcW w:w="560" w:type="dxa"/>
            <w:vAlign w:val="bottom"/>
          </w:tcPr>
          <w:p>
            <w:pPr>
              <w:ind w:left="40"/>
              <w:spacing w:after="0" w:line="215" w:lineRule="exact"/>
              <w:rPr>
                <w:sz w:val="20"/>
                <w:szCs w:val="20"/>
                <w:color w:val="auto"/>
              </w:rPr>
            </w:pPr>
            <w:r>
              <w:rPr>
                <w:rFonts w:ascii="Calibri" w:cs="Calibri" w:eastAsia="Calibri" w:hAnsi="Calibri"/>
                <w:sz w:val="18"/>
                <w:szCs w:val="18"/>
                <w:color w:val="auto"/>
              </w:rPr>
              <w:t>66</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56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01000</w:t>
            </w:r>
          </w:p>
        </w:tc>
        <w:tc>
          <w:tcPr>
            <w:tcW w:w="700" w:type="dxa"/>
            <w:vAlign w:val="bottom"/>
            <w:shd w:val="clear" w:color="auto" w:fill="E5F1F8"/>
          </w:tcPr>
          <w:p>
            <w:pPr>
              <w:spacing w:after="0"/>
              <w:rPr>
                <w:sz w:val="18"/>
                <w:szCs w:val="18"/>
                <w:color w:val="auto"/>
              </w:rPr>
            </w:pPr>
          </w:p>
        </w:tc>
        <w:tc>
          <w:tcPr>
            <w:tcW w:w="5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110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Auburn Al Quarry</w:t>
            </w:r>
          </w:p>
        </w:tc>
        <w:tc>
          <w:tcPr>
            <w:tcW w:w="56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06</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133</w:t>
            </w:r>
          </w:p>
        </w:tc>
        <w:tc>
          <w:tcPr>
            <w:tcW w:w="11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560" w:type="dxa"/>
            <w:vAlign w:val="bottom"/>
          </w:tcPr>
          <w:p>
            <w:pPr>
              <w:ind w:left="40"/>
              <w:spacing w:after="0" w:line="207" w:lineRule="exact"/>
              <w:rPr>
                <w:sz w:val="20"/>
                <w:szCs w:val="20"/>
                <w:color w:val="auto"/>
              </w:rPr>
            </w:pPr>
            <w:r>
              <w:rPr>
                <w:rFonts w:ascii="Calibri" w:cs="Calibri" w:eastAsia="Calibri" w:hAnsi="Calibri"/>
                <w:sz w:val="18"/>
                <w:szCs w:val="18"/>
                <w:color w:val="auto"/>
              </w:rPr>
              <w:t>09004</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Auburn GA Quarry</w:t>
            </w:r>
          </w:p>
        </w:tc>
        <w:tc>
          <w:tcPr>
            <w:tcW w:w="560" w:type="dxa"/>
            <w:vAlign w:val="bottom"/>
          </w:tcPr>
          <w:p>
            <w:pPr>
              <w:ind w:left="40"/>
              <w:spacing w:after="0" w:line="215" w:lineRule="exact"/>
              <w:rPr>
                <w:sz w:val="20"/>
                <w:szCs w:val="20"/>
                <w:color w:val="auto"/>
              </w:rPr>
            </w:pPr>
            <w:r>
              <w:rPr>
                <w:rFonts w:ascii="Calibri" w:cs="Calibri" w:eastAsia="Calibri" w:hAnsi="Calibri"/>
                <w:sz w:val="18"/>
                <w:szCs w:val="18"/>
                <w:color w:val="auto"/>
              </w:rPr>
              <w:t>36</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632</w:t>
            </w: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56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09000</w:t>
            </w:r>
          </w:p>
        </w:tc>
        <w:tc>
          <w:tcPr>
            <w:tcW w:w="700" w:type="dxa"/>
            <w:vAlign w:val="bottom"/>
            <w:shd w:val="clear" w:color="auto" w:fill="E5F1F8"/>
          </w:tcPr>
          <w:p>
            <w:pPr>
              <w:spacing w:after="0"/>
              <w:rPr>
                <w:sz w:val="18"/>
                <w:szCs w:val="18"/>
                <w:color w:val="auto"/>
              </w:rPr>
            </w:pPr>
          </w:p>
        </w:tc>
        <w:tc>
          <w:tcPr>
            <w:tcW w:w="5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110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Augusta GA Quarry</w:t>
            </w:r>
          </w:p>
        </w:tc>
        <w:tc>
          <w:tcPr>
            <w:tcW w:w="56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65</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266</w:t>
            </w:r>
          </w:p>
        </w:tc>
        <w:tc>
          <w:tcPr>
            <w:tcW w:w="11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560" w:type="dxa"/>
            <w:vAlign w:val="bottom"/>
          </w:tcPr>
          <w:p>
            <w:pPr>
              <w:ind w:left="40"/>
              <w:spacing w:after="0" w:line="207" w:lineRule="exact"/>
              <w:rPr>
                <w:sz w:val="20"/>
                <w:szCs w:val="20"/>
                <w:color w:val="auto"/>
              </w:rPr>
            </w:pPr>
            <w:r>
              <w:rPr>
                <w:rFonts w:ascii="Calibri" w:cs="Calibri" w:eastAsia="Calibri" w:hAnsi="Calibri"/>
                <w:sz w:val="18"/>
                <w:szCs w:val="18"/>
                <w:color w:val="auto"/>
              </w:rPr>
              <w:t>31000</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Bakers Quarry</w:t>
            </w:r>
          </w:p>
        </w:tc>
        <w:tc>
          <w:tcPr>
            <w:tcW w:w="560" w:type="dxa"/>
            <w:vAlign w:val="bottom"/>
          </w:tcPr>
          <w:p>
            <w:pPr>
              <w:ind w:left="40"/>
              <w:spacing w:after="0" w:line="215" w:lineRule="exact"/>
              <w:rPr>
                <w:sz w:val="20"/>
                <w:szCs w:val="20"/>
                <w:color w:val="auto"/>
              </w:rPr>
            </w:pPr>
            <w:r>
              <w:rPr>
                <w:rFonts w:ascii="Calibri" w:cs="Calibri" w:eastAsia="Calibri" w:hAnsi="Calibri"/>
                <w:sz w:val="18"/>
                <w:szCs w:val="18"/>
                <w:color w:val="auto"/>
              </w:rPr>
              <w:t>71</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1</w:t>
            </w:r>
          </w:p>
        </w:tc>
        <w:tc>
          <w:tcPr>
            <w:tcW w:w="5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442</w:t>
            </w: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56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09009</w:t>
            </w:r>
          </w:p>
        </w:tc>
        <w:tc>
          <w:tcPr>
            <w:tcW w:w="700" w:type="dxa"/>
            <w:vAlign w:val="bottom"/>
            <w:shd w:val="clear" w:color="auto" w:fill="E5F1F8"/>
          </w:tcPr>
          <w:p>
            <w:pPr>
              <w:spacing w:after="0"/>
              <w:rPr>
                <w:sz w:val="18"/>
                <w:szCs w:val="18"/>
                <w:color w:val="auto"/>
              </w:rPr>
            </w:pPr>
          </w:p>
        </w:tc>
        <w:tc>
          <w:tcPr>
            <w:tcW w:w="5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110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Ball Ground Quarry</w:t>
            </w:r>
          </w:p>
        </w:tc>
        <w:tc>
          <w:tcPr>
            <w:tcW w:w="56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55</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1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560" w:type="dxa"/>
            <w:vAlign w:val="bottom"/>
          </w:tcPr>
          <w:p>
            <w:pPr>
              <w:ind w:left="40"/>
              <w:spacing w:after="0" w:line="207" w:lineRule="exact"/>
              <w:rPr>
                <w:sz w:val="20"/>
                <w:szCs w:val="20"/>
                <w:color w:val="auto"/>
              </w:rPr>
            </w:pPr>
            <w:r>
              <w:rPr>
                <w:rFonts w:ascii="Calibri" w:cs="Calibri" w:eastAsia="Calibri" w:hAnsi="Calibri"/>
                <w:sz w:val="18"/>
                <w:szCs w:val="18"/>
                <w:color w:val="auto"/>
              </w:rPr>
              <w:t>31000</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Belgrade Quarry</w:t>
            </w:r>
          </w:p>
        </w:tc>
        <w:tc>
          <w:tcPr>
            <w:tcW w:w="560" w:type="dxa"/>
            <w:vAlign w:val="bottom"/>
          </w:tcPr>
          <w:p>
            <w:pPr>
              <w:ind w:left="40"/>
              <w:spacing w:after="0" w:line="215" w:lineRule="exact"/>
              <w:rPr>
                <w:sz w:val="20"/>
                <w:szCs w:val="20"/>
                <w:color w:val="auto"/>
              </w:rPr>
            </w:pPr>
            <w:r>
              <w:rPr>
                <w:rFonts w:ascii="Calibri" w:cs="Calibri" w:eastAsia="Calibri" w:hAnsi="Calibri"/>
                <w:sz w:val="18"/>
                <w:szCs w:val="18"/>
                <w:color w:val="auto"/>
              </w:rPr>
              <w:t>64</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133</w:t>
            </w: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56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31019</w:t>
            </w:r>
          </w:p>
        </w:tc>
        <w:tc>
          <w:tcPr>
            <w:tcW w:w="700" w:type="dxa"/>
            <w:vAlign w:val="bottom"/>
            <w:shd w:val="clear" w:color="auto" w:fill="E5F1F8"/>
          </w:tcPr>
          <w:p>
            <w:pPr>
              <w:spacing w:after="0"/>
              <w:rPr>
                <w:sz w:val="18"/>
                <w:szCs w:val="18"/>
                <w:color w:val="auto"/>
              </w:rPr>
            </w:pPr>
          </w:p>
        </w:tc>
        <w:tc>
          <w:tcPr>
            <w:tcW w:w="5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110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Benson Quarry</w:t>
            </w:r>
          </w:p>
        </w:tc>
        <w:tc>
          <w:tcPr>
            <w:tcW w:w="56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79</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348</w:t>
            </w:r>
          </w:p>
        </w:tc>
        <w:tc>
          <w:tcPr>
            <w:tcW w:w="11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560" w:type="dxa"/>
            <w:vAlign w:val="bottom"/>
          </w:tcPr>
          <w:p>
            <w:pPr>
              <w:ind w:left="40"/>
              <w:spacing w:after="0" w:line="207" w:lineRule="exact"/>
              <w:rPr>
                <w:sz w:val="20"/>
                <w:szCs w:val="20"/>
                <w:color w:val="auto"/>
              </w:rPr>
            </w:pPr>
            <w:r>
              <w:rPr>
                <w:rFonts w:ascii="Calibri" w:cs="Calibri" w:eastAsia="Calibri" w:hAnsi="Calibri"/>
                <w:sz w:val="18"/>
                <w:szCs w:val="18"/>
                <w:color w:val="auto"/>
              </w:rPr>
              <w:t>38000</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Berkeley Quarry</w:t>
            </w:r>
          </w:p>
        </w:tc>
        <w:tc>
          <w:tcPr>
            <w:tcW w:w="560" w:type="dxa"/>
            <w:vAlign w:val="bottom"/>
          </w:tcPr>
          <w:p>
            <w:pPr>
              <w:ind w:left="40"/>
              <w:spacing w:after="0" w:line="215" w:lineRule="exact"/>
              <w:rPr>
                <w:sz w:val="20"/>
                <w:szCs w:val="20"/>
                <w:color w:val="auto"/>
              </w:rPr>
            </w:pPr>
            <w:r>
              <w:rPr>
                <w:rFonts w:ascii="Calibri" w:cs="Calibri" w:eastAsia="Calibri" w:hAnsi="Calibri"/>
                <w:sz w:val="18"/>
                <w:szCs w:val="18"/>
                <w:color w:val="auto"/>
              </w:rPr>
              <w:t>72</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56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31011</w:t>
            </w:r>
          </w:p>
        </w:tc>
        <w:tc>
          <w:tcPr>
            <w:tcW w:w="700" w:type="dxa"/>
            <w:vAlign w:val="bottom"/>
            <w:shd w:val="clear" w:color="auto" w:fill="E5F1F8"/>
          </w:tcPr>
          <w:p>
            <w:pPr>
              <w:spacing w:after="0"/>
              <w:rPr>
                <w:sz w:val="18"/>
                <w:szCs w:val="18"/>
                <w:color w:val="auto"/>
              </w:rPr>
            </w:pPr>
          </w:p>
        </w:tc>
        <w:tc>
          <w:tcPr>
            <w:tcW w:w="5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110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Bessemer City Quarry</w:t>
            </w:r>
          </w:p>
        </w:tc>
        <w:tc>
          <w:tcPr>
            <w:tcW w:w="56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05</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1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560" w:type="dxa"/>
            <w:vAlign w:val="bottom"/>
          </w:tcPr>
          <w:p>
            <w:pPr>
              <w:ind w:left="40"/>
              <w:spacing w:after="0" w:line="207" w:lineRule="exact"/>
              <w:rPr>
                <w:sz w:val="20"/>
                <w:szCs w:val="20"/>
                <w:color w:val="auto"/>
              </w:rPr>
            </w:pPr>
            <w:r>
              <w:rPr>
                <w:rFonts w:ascii="Calibri" w:cs="Calibri" w:eastAsia="Calibri" w:hAnsi="Calibri"/>
                <w:sz w:val="18"/>
                <w:szCs w:val="18"/>
                <w:color w:val="auto"/>
              </w:rPr>
              <w:t>31019</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Bonds Quarry</w:t>
            </w:r>
          </w:p>
        </w:tc>
        <w:tc>
          <w:tcPr>
            <w:tcW w:w="560" w:type="dxa"/>
            <w:vAlign w:val="bottom"/>
          </w:tcPr>
          <w:p>
            <w:pPr>
              <w:ind w:left="40"/>
              <w:spacing w:after="0" w:line="215" w:lineRule="exact"/>
              <w:rPr>
                <w:sz w:val="20"/>
                <w:szCs w:val="20"/>
                <w:color w:val="auto"/>
              </w:rPr>
            </w:pPr>
            <w:r>
              <w:rPr>
                <w:rFonts w:ascii="Calibri" w:cs="Calibri" w:eastAsia="Calibri" w:hAnsi="Calibri"/>
                <w:sz w:val="18"/>
                <w:szCs w:val="18"/>
                <w:color w:val="auto"/>
              </w:rPr>
              <w:t>63</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56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18000</w:t>
            </w:r>
          </w:p>
        </w:tc>
        <w:tc>
          <w:tcPr>
            <w:tcW w:w="700" w:type="dxa"/>
            <w:vAlign w:val="bottom"/>
            <w:shd w:val="clear" w:color="auto" w:fill="E5F1F8"/>
          </w:tcPr>
          <w:p>
            <w:pPr>
              <w:spacing w:after="0"/>
              <w:rPr>
                <w:sz w:val="18"/>
                <w:szCs w:val="18"/>
                <w:color w:val="auto"/>
              </w:rPr>
            </w:pPr>
          </w:p>
        </w:tc>
        <w:tc>
          <w:tcPr>
            <w:tcW w:w="5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110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Boonesboro Quarry</w:t>
            </w:r>
          </w:p>
        </w:tc>
        <w:tc>
          <w:tcPr>
            <w:tcW w:w="56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24</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1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560" w:type="dxa"/>
            <w:vAlign w:val="bottom"/>
          </w:tcPr>
          <w:p>
            <w:pPr>
              <w:ind w:left="40"/>
              <w:spacing w:after="0" w:line="207" w:lineRule="exact"/>
              <w:rPr>
                <w:sz w:val="20"/>
                <w:szCs w:val="20"/>
                <w:color w:val="auto"/>
              </w:rPr>
            </w:pPr>
            <w:r>
              <w:rPr>
                <w:rFonts w:ascii="Calibri" w:cs="Calibri" w:eastAsia="Calibri" w:hAnsi="Calibri"/>
                <w:sz w:val="18"/>
                <w:szCs w:val="18"/>
                <w:color w:val="auto"/>
              </w:rPr>
              <w:t>31000</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Burlington Quarry</w:t>
            </w:r>
          </w:p>
        </w:tc>
        <w:tc>
          <w:tcPr>
            <w:tcW w:w="560" w:type="dxa"/>
            <w:vAlign w:val="bottom"/>
          </w:tcPr>
          <w:p>
            <w:pPr>
              <w:ind w:left="40"/>
              <w:spacing w:after="0" w:line="215" w:lineRule="exact"/>
              <w:rPr>
                <w:sz w:val="20"/>
                <w:szCs w:val="20"/>
                <w:color w:val="auto"/>
              </w:rPr>
            </w:pPr>
            <w:r>
              <w:rPr>
                <w:rFonts w:ascii="Calibri" w:cs="Calibri" w:eastAsia="Calibri" w:hAnsi="Calibri"/>
                <w:sz w:val="18"/>
                <w:szCs w:val="18"/>
                <w:color w:val="auto"/>
              </w:rPr>
              <w:t>42</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56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31018</w:t>
            </w:r>
          </w:p>
        </w:tc>
        <w:tc>
          <w:tcPr>
            <w:tcW w:w="700" w:type="dxa"/>
            <w:vAlign w:val="bottom"/>
            <w:shd w:val="clear" w:color="auto" w:fill="E5F1F8"/>
          </w:tcPr>
          <w:p>
            <w:pPr>
              <w:spacing w:after="0"/>
              <w:rPr>
                <w:sz w:val="18"/>
                <w:szCs w:val="18"/>
                <w:color w:val="auto"/>
              </w:rPr>
            </w:pPr>
          </w:p>
        </w:tc>
        <w:tc>
          <w:tcPr>
            <w:tcW w:w="5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110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Caldwell Quarry</w:t>
            </w:r>
          </w:p>
        </w:tc>
        <w:tc>
          <w:tcPr>
            <w:tcW w:w="56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69</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1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560" w:type="dxa"/>
            <w:vAlign w:val="bottom"/>
          </w:tcPr>
          <w:p>
            <w:pPr>
              <w:ind w:left="40"/>
              <w:spacing w:after="0" w:line="207" w:lineRule="exact"/>
              <w:rPr>
                <w:sz w:val="20"/>
                <w:szCs w:val="20"/>
                <w:color w:val="auto"/>
              </w:rPr>
            </w:pPr>
            <w:r>
              <w:rPr>
                <w:rFonts w:ascii="Calibri" w:cs="Calibri" w:eastAsia="Calibri" w:hAnsi="Calibri"/>
                <w:sz w:val="18"/>
                <w:szCs w:val="18"/>
                <w:color w:val="auto"/>
              </w:rPr>
              <w:t>40033</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Calhoun Quarry</w:t>
            </w:r>
          </w:p>
        </w:tc>
        <w:tc>
          <w:tcPr>
            <w:tcW w:w="560" w:type="dxa"/>
            <w:vAlign w:val="bottom"/>
          </w:tcPr>
          <w:p>
            <w:pPr>
              <w:ind w:left="40"/>
              <w:spacing w:after="0" w:line="215" w:lineRule="exact"/>
              <w:rPr>
                <w:sz w:val="20"/>
                <w:szCs w:val="20"/>
                <w:color w:val="auto"/>
              </w:rPr>
            </w:pPr>
            <w:r>
              <w:rPr>
                <w:rFonts w:ascii="Calibri" w:cs="Calibri" w:eastAsia="Calibri" w:hAnsi="Calibri"/>
                <w:sz w:val="18"/>
                <w:szCs w:val="18"/>
                <w:color w:val="auto"/>
              </w:rPr>
              <w:t>95</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56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38007</w:t>
            </w:r>
          </w:p>
        </w:tc>
        <w:tc>
          <w:tcPr>
            <w:tcW w:w="700" w:type="dxa"/>
            <w:vAlign w:val="bottom"/>
            <w:shd w:val="clear" w:color="auto" w:fill="E5F1F8"/>
          </w:tcPr>
          <w:p>
            <w:pPr>
              <w:spacing w:after="0"/>
              <w:rPr>
                <w:sz w:val="18"/>
                <w:szCs w:val="18"/>
                <w:color w:val="auto"/>
              </w:rPr>
            </w:pPr>
          </w:p>
        </w:tc>
        <w:tc>
          <w:tcPr>
            <w:tcW w:w="5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110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Calhoun Sand</w:t>
            </w:r>
          </w:p>
        </w:tc>
        <w:tc>
          <w:tcPr>
            <w:tcW w:w="56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16</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1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560" w:type="dxa"/>
            <w:vAlign w:val="bottom"/>
          </w:tcPr>
          <w:p>
            <w:pPr>
              <w:ind w:left="40"/>
              <w:spacing w:after="0" w:line="207" w:lineRule="exact"/>
              <w:rPr>
                <w:sz w:val="20"/>
                <w:szCs w:val="20"/>
                <w:color w:val="auto"/>
              </w:rPr>
            </w:pPr>
            <w:r>
              <w:rPr>
                <w:rFonts w:ascii="Calibri" w:cs="Calibri" w:eastAsia="Calibri" w:hAnsi="Calibri"/>
                <w:sz w:val="18"/>
                <w:szCs w:val="18"/>
                <w:color w:val="auto"/>
              </w:rPr>
              <w:t>31000</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Castle Hayne Quarry</w:t>
            </w:r>
          </w:p>
        </w:tc>
        <w:tc>
          <w:tcPr>
            <w:tcW w:w="560" w:type="dxa"/>
            <w:vAlign w:val="bottom"/>
          </w:tcPr>
          <w:p>
            <w:pPr>
              <w:ind w:left="40"/>
              <w:spacing w:after="0" w:line="215" w:lineRule="exact"/>
              <w:rPr>
                <w:sz w:val="20"/>
                <w:szCs w:val="20"/>
                <w:color w:val="auto"/>
              </w:rPr>
            </w:pPr>
            <w:r>
              <w:rPr>
                <w:rFonts w:ascii="Calibri" w:cs="Calibri" w:eastAsia="Calibri" w:hAnsi="Calibri"/>
                <w:sz w:val="18"/>
                <w:szCs w:val="18"/>
                <w:color w:val="auto"/>
              </w:rPr>
              <w:t>63</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133</w:t>
            </w: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56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38000</w:t>
            </w:r>
          </w:p>
        </w:tc>
        <w:tc>
          <w:tcPr>
            <w:tcW w:w="700" w:type="dxa"/>
            <w:vAlign w:val="bottom"/>
            <w:shd w:val="clear" w:color="auto" w:fill="E5F1F8"/>
          </w:tcPr>
          <w:p>
            <w:pPr>
              <w:spacing w:after="0"/>
              <w:rPr>
                <w:sz w:val="18"/>
                <w:szCs w:val="18"/>
                <w:color w:val="auto"/>
              </w:rPr>
            </w:pPr>
          </w:p>
        </w:tc>
        <w:tc>
          <w:tcPr>
            <w:tcW w:w="5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110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Cayce</w:t>
            </w:r>
          </w:p>
        </w:tc>
        <w:tc>
          <w:tcPr>
            <w:tcW w:w="56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16</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696</w:t>
            </w:r>
          </w:p>
        </w:tc>
        <w:tc>
          <w:tcPr>
            <w:tcW w:w="11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560" w:type="dxa"/>
            <w:vAlign w:val="bottom"/>
          </w:tcPr>
          <w:p>
            <w:pPr>
              <w:ind w:left="40"/>
              <w:spacing w:after="0" w:line="207" w:lineRule="exact"/>
              <w:rPr>
                <w:sz w:val="20"/>
                <w:szCs w:val="20"/>
                <w:color w:val="auto"/>
              </w:rPr>
            </w:pPr>
            <w:r>
              <w:rPr>
                <w:rFonts w:ascii="Calibri" w:cs="Calibri" w:eastAsia="Calibri" w:hAnsi="Calibri"/>
                <w:sz w:val="18"/>
                <w:szCs w:val="18"/>
                <w:color w:val="auto"/>
              </w:rPr>
              <w:t>31000</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Central Rock Quarry</w:t>
            </w:r>
          </w:p>
        </w:tc>
        <w:tc>
          <w:tcPr>
            <w:tcW w:w="560" w:type="dxa"/>
            <w:vAlign w:val="bottom"/>
          </w:tcPr>
          <w:p>
            <w:pPr>
              <w:ind w:left="40"/>
              <w:spacing w:after="0" w:line="215" w:lineRule="exact"/>
              <w:rPr>
                <w:sz w:val="20"/>
                <w:szCs w:val="20"/>
                <w:color w:val="auto"/>
              </w:rPr>
            </w:pPr>
            <w:r>
              <w:rPr>
                <w:rFonts w:ascii="Calibri" w:cs="Calibri" w:eastAsia="Calibri" w:hAnsi="Calibri"/>
                <w:sz w:val="18"/>
                <w:szCs w:val="18"/>
                <w:color w:val="auto"/>
              </w:rPr>
              <w:t>50</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183</w:t>
            </w: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7"/>
        </w:trPr>
        <w:tc>
          <w:tcPr>
            <w:tcW w:w="176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rPr>
              <w:t>Charlote Portable Plant</w:t>
            </w:r>
          </w:p>
        </w:tc>
        <w:tc>
          <w:tcPr>
            <w:tcW w:w="56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31023</w:t>
            </w:r>
          </w:p>
        </w:tc>
        <w:tc>
          <w:tcPr>
            <w:tcW w:w="700" w:type="dxa"/>
            <w:vAlign w:val="bottom"/>
            <w:shd w:val="clear" w:color="auto" w:fill="E5F1F8"/>
          </w:tcPr>
          <w:p>
            <w:pPr>
              <w:spacing w:after="0"/>
              <w:rPr>
                <w:sz w:val="18"/>
                <w:szCs w:val="18"/>
                <w:color w:val="auto"/>
              </w:rPr>
            </w:pPr>
          </w:p>
        </w:tc>
        <w:tc>
          <w:tcPr>
            <w:tcW w:w="5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110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1</w:t>
            </w:r>
          </w:p>
        </w:tc>
        <w:tc>
          <w:tcPr>
            <w:tcW w:w="56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41</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1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560" w:type="dxa"/>
            <w:vAlign w:val="bottom"/>
          </w:tcPr>
          <w:p>
            <w:pPr>
              <w:ind w:left="40"/>
              <w:spacing w:after="0" w:line="207" w:lineRule="exact"/>
              <w:rPr>
                <w:sz w:val="20"/>
                <w:szCs w:val="20"/>
                <w:color w:val="auto"/>
              </w:rPr>
            </w:pPr>
            <w:r>
              <w:rPr>
                <w:rFonts w:ascii="Calibri" w:cs="Calibri" w:eastAsia="Calibri" w:hAnsi="Calibri"/>
                <w:sz w:val="18"/>
                <w:szCs w:val="18"/>
                <w:color w:val="auto"/>
              </w:rPr>
              <w:t>31000</w:t>
            </w: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Charlote Quarry</w:t>
            </w:r>
          </w:p>
        </w:tc>
        <w:tc>
          <w:tcPr>
            <w:tcW w:w="560" w:type="dxa"/>
            <w:vAlign w:val="bottom"/>
          </w:tcPr>
          <w:p>
            <w:pPr>
              <w:ind w:left="40"/>
              <w:spacing w:after="0" w:line="215" w:lineRule="exact"/>
              <w:rPr>
                <w:sz w:val="20"/>
                <w:szCs w:val="20"/>
                <w:color w:val="auto"/>
              </w:rPr>
            </w:pPr>
            <w:r>
              <w:rPr>
                <w:rFonts w:ascii="Calibri" w:cs="Calibri" w:eastAsia="Calibri" w:hAnsi="Calibri"/>
                <w:sz w:val="18"/>
                <w:szCs w:val="18"/>
                <w:color w:val="auto"/>
              </w:rPr>
              <w:t>57</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348</w:t>
            </w: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56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40031</w:t>
            </w:r>
          </w:p>
        </w:tc>
        <w:tc>
          <w:tcPr>
            <w:tcW w:w="700" w:type="dxa"/>
            <w:vAlign w:val="bottom"/>
            <w:shd w:val="clear" w:color="auto" w:fill="E5F1F8"/>
          </w:tcPr>
          <w:p>
            <w:pPr>
              <w:spacing w:after="0"/>
              <w:rPr>
                <w:sz w:val="18"/>
                <w:szCs w:val="18"/>
                <w:color w:val="auto"/>
              </w:rPr>
            </w:pPr>
          </w:p>
        </w:tc>
        <w:tc>
          <w:tcPr>
            <w:tcW w:w="5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560" w:type="dxa"/>
            <w:vAlign w:val="bottom"/>
            <w:shd w:val="clear" w:color="auto" w:fill="E5F1F8"/>
          </w:tcPr>
          <w:p>
            <w:pPr>
              <w:spacing w:after="0"/>
              <w:rPr>
                <w:sz w:val="18"/>
                <w:szCs w:val="18"/>
                <w:color w:val="auto"/>
              </w:rPr>
            </w:pPr>
          </w:p>
        </w:tc>
        <w:tc>
          <w:tcPr>
            <w:tcW w:w="12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110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84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Chatanooga Quarry</w:t>
            </w:r>
          </w:p>
        </w:tc>
        <w:tc>
          <w:tcPr>
            <w:tcW w:w="56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59</w:t>
            </w:r>
          </w:p>
        </w:tc>
        <w:tc>
          <w:tcPr>
            <w:tcW w:w="7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1</w:t>
            </w:r>
          </w:p>
        </w:tc>
        <w:tc>
          <w:tcPr>
            <w:tcW w:w="5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0</w:t>
            </w:r>
          </w:p>
        </w:tc>
        <w:tc>
          <w:tcPr>
            <w:tcW w:w="11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Churchville Quarry</w:t>
            </w:r>
          </w:p>
        </w:tc>
        <w:tc>
          <w:tcPr>
            <w:tcW w:w="560" w:type="dxa"/>
            <w:vAlign w:val="bottom"/>
          </w:tcPr>
          <w:p>
            <w:pPr>
              <w:ind w:left="40"/>
              <w:spacing w:after="0" w:line="215" w:lineRule="exact"/>
              <w:rPr>
                <w:sz w:val="20"/>
                <w:szCs w:val="20"/>
                <w:color w:val="auto"/>
              </w:rPr>
            </w:pPr>
            <w:r>
              <w:rPr>
                <w:rFonts w:ascii="Calibri" w:cs="Calibri" w:eastAsia="Calibri" w:hAnsi="Calibri"/>
                <w:sz w:val="18"/>
                <w:szCs w:val="18"/>
                <w:color w:val="auto"/>
              </w:rPr>
              <w:t>18000</w:t>
            </w:r>
          </w:p>
        </w:tc>
        <w:tc>
          <w:tcPr>
            <w:tcW w:w="7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5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1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w w:val="87"/>
              </w:rPr>
              <w:t>$</w:t>
            </w:r>
          </w:p>
        </w:tc>
        <w:tc>
          <w:tcPr>
            <w:tcW w:w="8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133</w:t>
            </w:r>
          </w:p>
        </w:tc>
        <w:tc>
          <w:tcPr>
            <w:tcW w:w="110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80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780" w:type="dxa"/>
            <w:vAlign w:val="bottom"/>
          </w:tcPr>
          <w:p>
            <w:pPr>
              <w:jc w:val="center"/>
              <w:spacing w:after="0" w:line="215" w:lineRule="exact"/>
              <w:rPr>
                <w:sz w:val="20"/>
                <w:szCs w:val="20"/>
                <w:color w:val="auto"/>
              </w:rPr>
            </w:pPr>
            <w:r>
              <w:rPr>
                <w:rFonts w:ascii="Calibri" w:cs="Calibri" w:eastAsia="Calibri" w:hAnsi="Calibri"/>
                <w:sz w:val="18"/>
                <w:szCs w:val="18"/>
                <w:color w:val="auto"/>
                <w:w w:val="94"/>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60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84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bl>
    <w:p>
      <w:pPr>
        <w:sectPr>
          <w:pgSz w:w="11900" w:h="16838" w:orient="portrait"/>
          <w:cols w:equalWidth="0" w:num="1">
            <w:col w:w="11240"/>
          </w:cols>
          <w:pgMar w:left="320" w:top="760" w:right="339" w:bottom="0" w:gutter="0" w:footer="0" w:header="0"/>
        </w:sectPr>
      </w:pPr>
    </w:p>
    <w:bookmarkStart w:id="139" w:name="page140"/>
    <w:bookmarkEnd w:id="139"/>
    <w:p>
      <w:pPr>
        <w:ind w:left="1800"/>
        <w:spacing w:after="0"/>
        <w:rPr>
          <w:sz w:val="20"/>
          <w:szCs w:val="20"/>
          <w:color w:val="auto"/>
        </w:rPr>
      </w:pPr>
      <w:r>
        <w:rPr>
          <w:rFonts w:ascii="Calibri" w:cs="Calibri" w:eastAsia="Calibri" w:hAnsi="Calibri"/>
          <w:sz w:val="18"/>
          <w:szCs w:val="18"/>
          <w:color w:val="auto"/>
        </w:rPr>
        <w:t>12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20" w:type="dxa"/>
            <w:vAlign w:val="bottom"/>
            <w:shd w:val="clear" w:color="auto" w:fill="E5F1F8"/>
          </w:tcPr>
          <w:p>
            <w:pPr>
              <w:spacing w:after="0"/>
              <w:rPr>
                <w:sz w:val="19"/>
                <w:szCs w:val="19"/>
                <w:color w:val="auto"/>
              </w:rPr>
            </w:pPr>
          </w:p>
        </w:tc>
        <w:tc>
          <w:tcPr>
            <w:tcW w:w="840" w:type="dxa"/>
            <w:vAlign w:val="bottom"/>
            <w:shd w:val="clear" w:color="auto" w:fill="E5F1F8"/>
          </w:tcPr>
          <w:p>
            <w:pPr>
              <w:ind w:left="180"/>
              <w:spacing w:after="0"/>
              <w:rPr>
                <w:sz w:val="20"/>
                <w:szCs w:val="20"/>
                <w:color w:val="auto"/>
              </w:rPr>
            </w:pPr>
            <w:r>
              <w:rPr>
                <w:rFonts w:ascii="Calibri" w:cs="Calibri" w:eastAsia="Calibri" w:hAnsi="Calibri"/>
                <w:sz w:val="18"/>
                <w:szCs w:val="18"/>
                <w:color w:val="auto"/>
              </w:rPr>
              <w:t>31020</w:t>
            </w:r>
          </w:p>
        </w:tc>
        <w:tc>
          <w:tcPr>
            <w:tcW w:w="560" w:type="dxa"/>
            <w:vAlign w:val="bottom"/>
            <w:shd w:val="clear" w:color="auto" w:fill="E5F1F8"/>
          </w:tcPr>
          <w:p>
            <w:pPr>
              <w:spacing w:after="0"/>
              <w:rPr>
                <w:sz w:val="19"/>
                <w:szCs w:val="19"/>
                <w:color w:val="auto"/>
              </w:rPr>
            </w:pPr>
          </w:p>
        </w:tc>
        <w:tc>
          <w:tcPr>
            <w:tcW w:w="640" w:type="dxa"/>
            <w:vAlign w:val="bottom"/>
            <w:shd w:val="clear" w:color="auto" w:fill="E5F1F8"/>
          </w:tcPr>
          <w:p>
            <w:pPr>
              <w:spacing w:after="0"/>
              <w:rPr>
                <w:sz w:val="19"/>
                <w:szCs w:val="19"/>
                <w:color w:val="auto"/>
              </w:rPr>
            </w:pPr>
          </w:p>
        </w:tc>
        <w:tc>
          <w:tcPr>
            <w:tcW w:w="680" w:type="dxa"/>
            <w:vAlign w:val="bottom"/>
            <w:shd w:val="clear" w:color="auto" w:fill="E5F1F8"/>
          </w:tcPr>
          <w:p>
            <w:pPr>
              <w:spacing w:after="0"/>
              <w:rPr>
                <w:sz w:val="19"/>
                <w:szCs w:val="19"/>
                <w:color w:val="auto"/>
              </w:rPr>
            </w:pPr>
          </w:p>
        </w:tc>
        <w:tc>
          <w:tcPr>
            <w:tcW w:w="660" w:type="dxa"/>
            <w:vAlign w:val="bottom"/>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460" w:type="dxa"/>
            <w:vAlign w:val="bottom"/>
            <w:shd w:val="clear" w:color="auto" w:fill="E5F1F8"/>
          </w:tcPr>
          <w:p>
            <w:pPr>
              <w:spacing w:after="0"/>
              <w:rPr>
                <w:sz w:val="19"/>
                <w:szCs w:val="19"/>
                <w:color w:val="auto"/>
              </w:rPr>
            </w:pPr>
          </w:p>
        </w:tc>
        <w:tc>
          <w:tcPr>
            <w:tcW w:w="800" w:type="dxa"/>
            <w:vAlign w:val="bottom"/>
            <w:shd w:val="clear" w:color="auto" w:fill="E5F1F8"/>
          </w:tcPr>
          <w:p>
            <w:pPr>
              <w:spacing w:after="0"/>
              <w:rPr>
                <w:sz w:val="19"/>
                <w:szCs w:val="19"/>
                <w:color w:val="auto"/>
              </w:rPr>
            </w:pPr>
          </w:p>
        </w:tc>
        <w:tc>
          <w:tcPr>
            <w:tcW w:w="780" w:type="dxa"/>
            <w:vAlign w:val="bottom"/>
            <w:shd w:val="clear" w:color="auto" w:fill="E5F1F8"/>
          </w:tcPr>
          <w:p>
            <w:pPr>
              <w:spacing w:after="0"/>
              <w:rPr>
                <w:sz w:val="19"/>
                <w:szCs w:val="19"/>
                <w:color w:val="auto"/>
              </w:rPr>
            </w:pPr>
          </w:p>
        </w:tc>
        <w:tc>
          <w:tcPr>
            <w:tcW w:w="880" w:type="dxa"/>
            <w:vAlign w:val="bottom"/>
            <w:shd w:val="clear" w:color="auto" w:fill="E5F1F8"/>
          </w:tcPr>
          <w:p>
            <w:pPr>
              <w:spacing w:after="0"/>
              <w:rPr>
                <w:sz w:val="19"/>
                <w:szCs w:val="19"/>
                <w:color w:val="auto"/>
              </w:rPr>
            </w:pPr>
          </w:p>
        </w:tc>
        <w:tc>
          <w:tcPr>
            <w:tcW w:w="800" w:type="dxa"/>
            <w:vAlign w:val="bottom"/>
            <w:shd w:val="clear" w:color="auto" w:fill="E5F1F8"/>
          </w:tcPr>
          <w:p>
            <w:pPr>
              <w:spacing w:after="0"/>
              <w:rPr>
                <w:sz w:val="19"/>
                <w:szCs w:val="19"/>
                <w:color w:val="auto"/>
              </w:rPr>
            </w:pPr>
          </w:p>
        </w:tc>
        <w:tc>
          <w:tcPr>
            <w:tcW w:w="620" w:type="dxa"/>
            <w:vAlign w:val="bottom"/>
            <w:shd w:val="clear" w:color="auto" w:fill="E5F1F8"/>
          </w:tcPr>
          <w:p>
            <w:pPr>
              <w:spacing w:after="0"/>
              <w:rPr>
                <w:sz w:val="19"/>
                <w:szCs w:val="19"/>
                <w:color w:val="auto"/>
              </w:rPr>
            </w:pPr>
          </w:p>
        </w:tc>
        <w:tc>
          <w:tcPr>
            <w:tcW w:w="660" w:type="dxa"/>
            <w:vAlign w:val="bottom"/>
            <w:shd w:val="clear" w:color="auto" w:fill="E5F1F8"/>
          </w:tcPr>
          <w:p>
            <w:pPr>
              <w:spacing w:after="0"/>
              <w:rPr>
                <w:sz w:val="19"/>
                <w:szCs w:val="19"/>
                <w:color w:val="auto"/>
              </w:rPr>
            </w:pPr>
          </w:p>
        </w:tc>
        <w:tc>
          <w:tcPr>
            <w:tcW w:w="780" w:type="dxa"/>
            <w:vAlign w:val="bottom"/>
            <w:shd w:val="clear" w:color="auto" w:fill="E5F1F8"/>
          </w:tcPr>
          <w:p>
            <w:pPr>
              <w:spacing w:after="0"/>
              <w:rPr>
                <w:sz w:val="19"/>
                <w:szCs w:val="19"/>
                <w:color w:val="auto"/>
              </w:rPr>
            </w:pPr>
          </w:p>
        </w:tc>
      </w:tr>
      <w:tr>
        <w:trPr>
          <w:trHeight w:val="232"/>
        </w:trPr>
        <w:tc>
          <w:tcPr>
            <w:tcW w:w="162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Clarks Quarry</w:t>
            </w:r>
          </w:p>
        </w:tc>
        <w:tc>
          <w:tcPr>
            <w:tcW w:w="840" w:type="dxa"/>
            <w:vAlign w:val="bottom"/>
            <w:tcBorders>
              <w:bottom w:val="single" w:sz="8" w:color="E5F1F8"/>
            </w:tcBorders>
            <w:shd w:val="clear" w:color="auto" w:fill="E5F1F8"/>
          </w:tcPr>
          <w:p>
            <w:pPr>
              <w:ind w:left="180"/>
              <w:spacing w:after="0" w:line="215" w:lineRule="exact"/>
              <w:rPr>
                <w:sz w:val="20"/>
                <w:szCs w:val="20"/>
                <w:color w:val="auto"/>
              </w:rPr>
            </w:pPr>
            <w:r>
              <w:rPr>
                <w:rFonts w:ascii="Calibri" w:cs="Calibri" w:eastAsia="Calibri" w:hAnsi="Calibri"/>
                <w:sz w:val="18"/>
                <w:szCs w:val="18"/>
                <w:color w:val="auto"/>
              </w:rPr>
              <w:t>09</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b w:val="1"/>
                <w:bCs w:val="1"/>
                <w:color w:val="auto"/>
              </w:rPr>
              <w:t>$</w:t>
            </w:r>
          </w:p>
        </w:tc>
        <w:tc>
          <w:tcPr>
            <w:tcW w:w="80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30"/>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right"/>
              <w:ind w:right="290"/>
              <w:spacing w:after="0" w:line="215" w:lineRule="exact"/>
              <w:rPr>
                <w:sz w:val="20"/>
                <w:szCs w:val="20"/>
                <w:color w:val="auto"/>
              </w:rPr>
            </w:pPr>
            <w:r>
              <w:rPr>
                <w:rFonts w:ascii="Calibri" w:cs="Calibri" w:eastAsia="Calibri" w:hAnsi="Calibri"/>
                <w:sz w:val="18"/>
                <w:szCs w:val="18"/>
                <w:color w:val="auto"/>
              </w:rPr>
              <w:t>0</w:t>
            </w:r>
          </w:p>
        </w:tc>
      </w:tr>
      <w:tr>
        <w:trPr>
          <w:trHeight w:val="207"/>
        </w:trPr>
        <w:tc>
          <w:tcPr>
            <w:tcW w:w="1620" w:type="dxa"/>
            <w:vAlign w:val="bottom"/>
          </w:tcPr>
          <w:p>
            <w:pPr>
              <w:spacing w:after="0"/>
              <w:rPr>
                <w:sz w:val="18"/>
                <w:szCs w:val="18"/>
                <w:color w:val="auto"/>
              </w:rPr>
            </w:pPr>
          </w:p>
        </w:tc>
        <w:tc>
          <w:tcPr>
            <w:tcW w:w="840" w:type="dxa"/>
            <w:vAlign w:val="bottom"/>
          </w:tcPr>
          <w:p>
            <w:pPr>
              <w:ind w:left="180"/>
              <w:spacing w:after="0" w:line="207" w:lineRule="exact"/>
              <w:rPr>
                <w:sz w:val="20"/>
                <w:szCs w:val="20"/>
                <w:color w:val="auto"/>
              </w:rPr>
            </w:pPr>
            <w:r>
              <w:rPr>
                <w:rFonts w:ascii="Calibri" w:cs="Calibri" w:eastAsia="Calibri" w:hAnsi="Calibri"/>
                <w:sz w:val="18"/>
                <w:szCs w:val="18"/>
                <w:color w:val="auto"/>
              </w:rPr>
              <w:t>31022</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5"/>
        </w:trPr>
        <w:tc>
          <w:tcPr>
            <w:tcW w:w="1620" w:type="dxa"/>
            <w:vAlign w:val="bottom"/>
          </w:tcPr>
          <w:p>
            <w:pPr>
              <w:ind w:left="20"/>
              <w:spacing w:after="0" w:line="215" w:lineRule="exact"/>
              <w:rPr>
                <w:sz w:val="20"/>
                <w:szCs w:val="20"/>
                <w:color w:val="auto"/>
              </w:rPr>
            </w:pPr>
            <w:r>
              <w:rPr>
                <w:rFonts w:ascii="Calibri" w:cs="Calibri" w:eastAsia="Calibri" w:hAnsi="Calibri"/>
                <w:sz w:val="18"/>
                <w:szCs w:val="18"/>
                <w:color w:val="auto"/>
              </w:rPr>
              <w:t>Cumberland Quarry</w:t>
            </w:r>
          </w:p>
        </w:tc>
        <w:tc>
          <w:tcPr>
            <w:tcW w:w="840" w:type="dxa"/>
            <w:vAlign w:val="bottom"/>
          </w:tcPr>
          <w:p>
            <w:pPr>
              <w:ind w:left="180"/>
              <w:spacing w:after="0" w:line="215" w:lineRule="exact"/>
              <w:rPr>
                <w:sz w:val="20"/>
                <w:szCs w:val="20"/>
                <w:color w:val="auto"/>
              </w:rPr>
            </w:pPr>
            <w:r>
              <w:rPr>
                <w:rFonts w:ascii="Calibri" w:cs="Calibri" w:eastAsia="Calibri" w:hAnsi="Calibri"/>
                <w:sz w:val="18"/>
                <w:szCs w:val="18"/>
                <w:color w:val="auto"/>
              </w:rPr>
              <w:t>37</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150"/>
              <w:spacing w:after="0" w:line="215" w:lineRule="exact"/>
              <w:rPr>
                <w:sz w:val="20"/>
                <w:szCs w:val="20"/>
                <w:color w:val="auto"/>
              </w:rPr>
            </w:pPr>
            <w:r>
              <w:rPr>
                <w:rFonts w:ascii="Calibri" w:cs="Calibri" w:eastAsia="Calibri" w:hAnsi="Calibri"/>
                <w:sz w:val="18"/>
                <w:szCs w:val="18"/>
                <w:b w:val="1"/>
                <w:bCs w:val="1"/>
                <w:color w:val="auto"/>
              </w:rPr>
              <w:t>$</w:t>
            </w:r>
          </w:p>
        </w:tc>
        <w:tc>
          <w:tcPr>
            <w:tcW w:w="80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right"/>
              <w:ind w:right="290"/>
              <w:spacing w:after="0" w:line="215" w:lineRule="exact"/>
              <w:rPr>
                <w:sz w:val="20"/>
                <w:szCs w:val="20"/>
                <w:color w:val="auto"/>
              </w:rPr>
            </w:pPr>
            <w:r>
              <w:rPr>
                <w:rFonts w:ascii="Calibri" w:cs="Calibri" w:eastAsia="Calibri" w:hAnsi="Calibri"/>
                <w:sz w:val="18"/>
                <w:szCs w:val="18"/>
                <w:color w:val="auto"/>
              </w:rPr>
              <w:t>0</w:t>
            </w:r>
          </w:p>
        </w:tc>
      </w:tr>
      <w:tr>
        <w:trPr>
          <w:trHeight w:val="1205"/>
        </w:trPr>
        <w:tc>
          <w:tcPr>
            <w:tcW w:w="16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20"/>
        </w:trPr>
        <w:tc>
          <w:tcPr>
            <w:tcW w:w="1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center"/>
              <w:ind w:left="70"/>
              <w:spacing w:after="0"/>
              <w:rPr>
                <w:sz w:val="20"/>
                <w:szCs w:val="20"/>
                <w:color w:val="auto"/>
              </w:rPr>
            </w:pPr>
            <w:r>
              <w:rPr>
                <w:rFonts w:ascii="Calibri" w:cs="Calibri" w:eastAsia="Calibri" w:hAnsi="Calibri"/>
                <w:sz w:val="18"/>
                <w:szCs w:val="18"/>
                <w:color w:val="auto"/>
                <w:w w:val="97"/>
              </w:rPr>
              <w:t>Appendix 1</w:t>
            </w:r>
          </w:p>
        </w:tc>
      </w:tr>
      <w:tr>
        <w:trPr>
          <w:trHeight w:val="456"/>
        </w:trPr>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09004</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Cumming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60</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614</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31019</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Denver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71</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44000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Doswell Quarry VA</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45</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09000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Douglasville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24</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31020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East Alamance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21</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38007</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Edgefeld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38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632</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38006</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Edmund Sand</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62</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31000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Fountain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65</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31021</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Franklin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30</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18000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Frederick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13</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399</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31020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Fuquay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55</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31000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Garner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72</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348</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38005</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Georgetown II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25</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31023</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246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Greensboro Portable Plt 36</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246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2460" w:type="dxa"/>
            <w:vAlign w:val="bottom"/>
            <w:gridSpan w:val="2"/>
            <w:shd w:val="clear" w:color="auto" w:fill="E5F1F8"/>
          </w:tcPr>
          <w:p>
            <w:pPr>
              <w:ind w:left="20"/>
              <w:spacing w:after="0" w:line="207" w:lineRule="exact"/>
              <w:rPr>
                <w:sz w:val="20"/>
                <w:szCs w:val="20"/>
                <w:color w:val="auto"/>
              </w:rPr>
            </w:pPr>
            <w:r>
              <w:rPr>
                <w:rFonts w:ascii="Calibri" w:cs="Calibri" w:eastAsia="Calibri" w:hAnsi="Calibri"/>
                <w:sz w:val="18"/>
                <w:szCs w:val="18"/>
                <w:color w:val="auto"/>
              </w:rPr>
              <w:t>Greensboro Portable Plt 31023</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II</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35</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31000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Hickory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43</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331</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09009</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Homer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58</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399</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31000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Jamestown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51</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316</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09011</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Jeferson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06</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09010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Juncton City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29</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31000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Kannapolis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70</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18007</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Kent Sand &amp; Gravel</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45</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31000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Kings Mountain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47</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2</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31011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Lemon Springs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04</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09000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Lithonia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23</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464</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38007</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Loamy Sand Gravel</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21</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31021</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Maiden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25</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31020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Mallard Creek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06</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723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31020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Mathews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84</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6,038</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01006</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Maylene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34</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18000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Medford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35</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44037</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Midlothian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67</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841</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b w:val="1"/>
                <w:bCs w:val="1"/>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1</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rPr>
              <w:t>Misc Greensboro</w:t>
            </w: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00B86</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15"/>
        </w:trPr>
        <w:tc>
          <w:tcPr>
            <w:tcW w:w="1740" w:type="dxa"/>
            <w:vAlign w:val="bottom"/>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District</w:t>
            </w:r>
          </w:p>
        </w:tc>
        <w:tc>
          <w:tcPr>
            <w:tcW w:w="720" w:type="dxa"/>
            <w:vAlign w:val="bottom"/>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11</w:t>
            </w:r>
          </w:p>
        </w:tc>
        <w:tc>
          <w:tcPr>
            <w:tcW w:w="560" w:type="dxa"/>
            <w:vAlign w:val="bottom"/>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shd w:val="clear" w:color="auto" w:fill="E5F1F8"/>
          </w:tcPr>
          <w:p>
            <w:pPr>
              <w:spacing w:after="0"/>
              <w:rPr>
                <w:sz w:val="3"/>
                <w:szCs w:val="3"/>
                <w:color w:val="auto"/>
              </w:rPr>
            </w:pPr>
          </w:p>
        </w:tc>
        <w:tc>
          <w:tcPr>
            <w:tcW w:w="720" w:type="dxa"/>
            <w:vAlign w:val="bottom"/>
            <w:shd w:val="clear" w:color="auto" w:fill="E5F1F8"/>
          </w:tcPr>
          <w:p>
            <w:pPr>
              <w:spacing w:after="0"/>
              <w:rPr>
                <w:sz w:val="3"/>
                <w:szCs w:val="3"/>
                <w:color w:val="auto"/>
              </w:rPr>
            </w:pPr>
          </w:p>
        </w:tc>
        <w:tc>
          <w:tcPr>
            <w:tcW w:w="560" w:type="dxa"/>
            <w:vAlign w:val="bottom"/>
            <w:shd w:val="clear" w:color="auto" w:fill="E5F1F8"/>
          </w:tcPr>
          <w:p>
            <w:pPr>
              <w:spacing w:after="0"/>
              <w:rPr>
                <w:sz w:val="3"/>
                <w:szCs w:val="3"/>
                <w:color w:val="auto"/>
              </w:rPr>
            </w:pPr>
          </w:p>
        </w:tc>
        <w:tc>
          <w:tcPr>
            <w:tcW w:w="640" w:type="dxa"/>
            <w:vAlign w:val="bottom"/>
            <w:shd w:val="clear" w:color="auto" w:fill="E5F1F8"/>
          </w:tcPr>
          <w:p>
            <w:pPr>
              <w:spacing w:after="0"/>
              <w:rPr>
                <w:sz w:val="3"/>
                <w:szCs w:val="3"/>
                <w:color w:val="auto"/>
              </w:rPr>
            </w:pPr>
          </w:p>
        </w:tc>
        <w:tc>
          <w:tcPr>
            <w:tcW w:w="680" w:type="dxa"/>
            <w:vAlign w:val="bottom"/>
            <w:shd w:val="clear" w:color="auto" w:fill="E5F1F8"/>
          </w:tcPr>
          <w:p>
            <w:pPr>
              <w:spacing w:after="0"/>
              <w:rPr>
                <w:sz w:val="3"/>
                <w:szCs w:val="3"/>
                <w:color w:val="auto"/>
              </w:rPr>
            </w:pPr>
          </w:p>
        </w:tc>
        <w:tc>
          <w:tcPr>
            <w:tcW w:w="660" w:type="dxa"/>
            <w:vAlign w:val="bottom"/>
            <w:shd w:val="clear" w:color="auto" w:fill="E5F1F8"/>
          </w:tcPr>
          <w:p>
            <w:pPr>
              <w:spacing w:after="0"/>
              <w:rPr>
                <w:sz w:val="3"/>
                <w:szCs w:val="3"/>
                <w:color w:val="auto"/>
              </w:rPr>
            </w:pPr>
          </w:p>
        </w:tc>
        <w:tc>
          <w:tcPr>
            <w:tcW w:w="460" w:type="dxa"/>
            <w:vAlign w:val="bottom"/>
            <w:shd w:val="clear" w:color="auto" w:fill="E5F1F8"/>
          </w:tcPr>
          <w:p>
            <w:pPr>
              <w:spacing w:after="0"/>
              <w:rPr>
                <w:sz w:val="3"/>
                <w:szCs w:val="3"/>
                <w:color w:val="auto"/>
              </w:rPr>
            </w:pPr>
          </w:p>
        </w:tc>
        <w:tc>
          <w:tcPr>
            <w:tcW w:w="380" w:type="dxa"/>
            <w:vAlign w:val="bottom"/>
            <w:shd w:val="clear" w:color="auto" w:fill="E5F1F8"/>
          </w:tcPr>
          <w:p>
            <w:pPr>
              <w:spacing w:after="0"/>
              <w:rPr>
                <w:sz w:val="3"/>
                <w:szCs w:val="3"/>
                <w:color w:val="auto"/>
              </w:rPr>
            </w:pPr>
          </w:p>
        </w:tc>
        <w:tc>
          <w:tcPr>
            <w:tcW w:w="880" w:type="dxa"/>
            <w:vAlign w:val="bottom"/>
            <w:shd w:val="clear" w:color="auto" w:fill="E5F1F8"/>
          </w:tcPr>
          <w:p>
            <w:pPr>
              <w:spacing w:after="0"/>
              <w:rPr>
                <w:sz w:val="3"/>
                <w:szCs w:val="3"/>
                <w:color w:val="auto"/>
              </w:rPr>
            </w:pPr>
          </w:p>
        </w:tc>
        <w:tc>
          <w:tcPr>
            <w:tcW w:w="780" w:type="dxa"/>
            <w:vAlign w:val="bottom"/>
            <w:shd w:val="clear" w:color="auto" w:fill="E5F1F8"/>
          </w:tcPr>
          <w:p>
            <w:pPr>
              <w:spacing w:after="0"/>
              <w:rPr>
                <w:sz w:val="3"/>
                <w:szCs w:val="3"/>
                <w:color w:val="auto"/>
              </w:rPr>
            </w:pPr>
          </w:p>
        </w:tc>
        <w:tc>
          <w:tcPr>
            <w:tcW w:w="880" w:type="dxa"/>
            <w:vAlign w:val="bottom"/>
            <w:shd w:val="clear" w:color="auto" w:fill="E5F1F8"/>
          </w:tcPr>
          <w:p>
            <w:pPr>
              <w:spacing w:after="0"/>
              <w:rPr>
                <w:sz w:val="3"/>
                <w:szCs w:val="3"/>
                <w:color w:val="auto"/>
              </w:rPr>
            </w:pPr>
          </w:p>
        </w:tc>
        <w:tc>
          <w:tcPr>
            <w:tcW w:w="800" w:type="dxa"/>
            <w:vAlign w:val="bottom"/>
            <w:shd w:val="clear" w:color="auto" w:fill="E5F1F8"/>
          </w:tcPr>
          <w:p>
            <w:pPr>
              <w:spacing w:after="0"/>
              <w:rPr>
                <w:sz w:val="3"/>
                <w:szCs w:val="3"/>
                <w:color w:val="auto"/>
              </w:rPr>
            </w:pPr>
          </w:p>
        </w:tc>
        <w:tc>
          <w:tcPr>
            <w:tcW w:w="620" w:type="dxa"/>
            <w:vAlign w:val="bottom"/>
            <w:shd w:val="clear" w:color="auto" w:fill="E5F1F8"/>
          </w:tcPr>
          <w:p>
            <w:pPr>
              <w:spacing w:after="0"/>
              <w:rPr>
                <w:sz w:val="3"/>
                <w:szCs w:val="3"/>
                <w:color w:val="auto"/>
              </w:rPr>
            </w:pPr>
          </w:p>
        </w:tc>
        <w:tc>
          <w:tcPr>
            <w:tcW w:w="480" w:type="dxa"/>
            <w:vAlign w:val="bottom"/>
            <w:shd w:val="clear" w:color="auto" w:fill="E5F1F8"/>
          </w:tcPr>
          <w:p>
            <w:pPr>
              <w:spacing w:after="0"/>
              <w:rPr>
                <w:sz w:val="3"/>
                <w:szCs w:val="3"/>
                <w:color w:val="auto"/>
              </w:rPr>
            </w:pPr>
          </w:p>
        </w:tc>
        <w:tc>
          <w:tcPr>
            <w:tcW w:w="960" w:type="dxa"/>
            <w:vAlign w:val="bottom"/>
            <w:shd w:val="clear" w:color="auto" w:fill="E5F1F8"/>
          </w:tcPr>
          <w:p>
            <w:pPr>
              <w:spacing w:after="0"/>
              <w:rPr>
                <w:sz w:val="3"/>
                <w:szCs w:val="3"/>
                <w:color w:val="auto"/>
              </w:rPr>
            </w:pPr>
          </w:p>
        </w:tc>
      </w:tr>
    </w:tbl>
    <w:p>
      <w:pPr>
        <w:sectPr>
          <w:pgSz w:w="11900" w:h="16838" w:orient="portrait"/>
          <w:cols w:equalWidth="0" w:num="1">
            <w:col w:w="11240"/>
          </w:cols>
          <w:pgMar w:left="320" w:top="760" w:right="339" w:bottom="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620" w:type="dxa"/>
            <w:vAlign w:val="bottom"/>
          </w:tcPr>
          <w:p>
            <w:pPr>
              <w:spacing w:after="0"/>
              <w:rPr>
                <w:sz w:val="20"/>
                <w:szCs w:val="20"/>
                <w:color w:val="auto"/>
              </w:rPr>
            </w:pPr>
            <w:r>
              <w:rPr>
                <w:rFonts w:ascii="Calibri" w:cs="Calibri" w:eastAsia="Calibri" w:hAnsi="Calibri"/>
                <w:sz w:val="18"/>
                <w:szCs w:val="18"/>
                <w:color w:val="auto"/>
              </w:rPr>
              <w:t>Morgan County</w:t>
            </w:r>
          </w:p>
        </w:tc>
        <w:tc>
          <w:tcPr>
            <w:tcW w:w="820" w:type="dxa"/>
            <w:vAlign w:val="bottom"/>
          </w:tcPr>
          <w:p>
            <w:pPr>
              <w:ind w:left="160"/>
              <w:spacing w:after="0"/>
              <w:rPr>
                <w:sz w:val="20"/>
                <w:szCs w:val="20"/>
                <w:color w:val="auto"/>
              </w:rPr>
            </w:pPr>
            <w:r>
              <w:rPr>
                <w:rFonts w:ascii="Calibri" w:cs="Calibri" w:eastAsia="Calibri" w:hAnsi="Calibri"/>
                <w:sz w:val="18"/>
                <w:szCs w:val="18"/>
                <w:color w:val="auto"/>
              </w:rPr>
              <w:t>09011</w:t>
            </w:r>
          </w:p>
        </w:tc>
        <w:tc>
          <w:tcPr>
            <w:tcW w:w="560" w:type="dxa"/>
            <w:vAlign w:val="bottom"/>
          </w:tcPr>
          <w:p>
            <w:pPr>
              <w:jc w:val="right"/>
              <w:ind w:right="190"/>
              <w:spacing w:after="0"/>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rPr>
                <w:sz w:val="20"/>
                <w:szCs w:val="20"/>
                <w:color w:val="auto"/>
              </w:rPr>
            </w:pPr>
            <w:r>
              <w:rPr>
                <w:rFonts w:ascii="Calibri" w:cs="Calibri" w:eastAsia="Calibri" w:hAnsi="Calibri"/>
                <w:sz w:val="18"/>
                <w:szCs w:val="18"/>
                <w:color w:val="auto"/>
              </w:rPr>
              <w:t>0</w:t>
            </w:r>
          </w:p>
        </w:tc>
        <w:tc>
          <w:tcPr>
            <w:tcW w:w="22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r>
      <w:tr>
        <w:trPr>
          <w:trHeight w:val="215"/>
        </w:trPr>
        <w:tc>
          <w:tcPr>
            <w:tcW w:w="1620" w:type="dxa"/>
            <w:vAlign w:val="bottom"/>
          </w:tcPr>
          <w:p>
            <w:pPr>
              <w:spacing w:after="0"/>
              <w:rPr>
                <w:sz w:val="18"/>
                <w:szCs w:val="18"/>
                <w:color w:val="auto"/>
              </w:rPr>
            </w:pPr>
          </w:p>
        </w:tc>
        <w:tc>
          <w:tcPr>
            <w:tcW w:w="820" w:type="dxa"/>
            <w:vAlign w:val="bottom"/>
          </w:tcPr>
          <w:p>
            <w:pPr>
              <w:ind w:left="160"/>
              <w:spacing w:after="0" w:line="215" w:lineRule="exact"/>
              <w:rPr>
                <w:sz w:val="20"/>
                <w:szCs w:val="20"/>
                <w:color w:val="auto"/>
              </w:rPr>
            </w:pPr>
            <w:r>
              <w:rPr>
                <w:rFonts w:ascii="Calibri" w:cs="Calibri" w:eastAsia="Calibri" w:hAnsi="Calibri"/>
                <w:sz w:val="18"/>
                <w:szCs w:val="18"/>
                <w:color w:val="auto"/>
              </w:rPr>
              <w:t>26</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3"/>
        </w:trPr>
        <w:tc>
          <w:tcPr>
            <w:tcW w:w="1620" w:type="dxa"/>
            <w:vAlign w:val="bottom"/>
          </w:tcPr>
          <w:p>
            <w:pPr>
              <w:spacing w:after="0"/>
              <w:rPr>
                <w:sz w:val="21"/>
                <w:szCs w:val="21"/>
                <w:color w:val="auto"/>
              </w:rPr>
            </w:pPr>
          </w:p>
        </w:tc>
        <w:tc>
          <w:tcPr>
            <w:tcW w:w="820" w:type="dxa"/>
            <w:vAlign w:val="bottom"/>
          </w:tcPr>
          <w:p>
            <w:pPr>
              <w:ind w:left="160"/>
              <w:spacing w:after="0"/>
              <w:rPr>
                <w:sz w:val="20"/>
                <w:szCs w:val="20"/>
                <w:color w:val="auto"/>
              </w:rPr>
            </w:pPr>
            <w:r>
              <w:rPr>
                <w:rFonts w:ascii="Calibri" w:cs="Calibri" w:eastAsia="Calibri" w:hAnsi="Calibri"/>
                <w:sz w:val="18"/>
                <w:szCs w:val="18"/>
                <w:color w:val="auto"/>
              </w:rPr>
              <w:t>09008</w:t>
            </w: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1620" w:type="dxa"/>
            <w:vAlign w:val="bottom"/>
          </w:tcPr>
          <w:p>
            <w:pPr>
              <w:spacing w:after="0" w:line="216" w:lineRule="exact"/>
              <w:rPr>
                <w:sz w:val="20"/>
                <w:szCs w:val="20"/>
                <w:color w:val="auto"/>
              </w:rPr>
            </w:pPr>
            <w:r>
              <w:rPr>
                <w:rFonts w:ascii="Calibri" w:cs="Calibri" w:eastAsia="Calibri" w:hAnsi="Calibri"/>
                <w:sz w:val="18"/>
                <w:szCs w:val="18"/>
                <w:color w:val="auto"/>
              </w:rPr>
              <w:t>Newton Quarry</w:t>
            </w:r>
          </w:p>
        </w:tc>
        <w:tc>
          <w:tcPr>
            <w:tcW w:w="820" w:type="dxa"/>
            <w:vAlign w:val="bottom"/>
          </w:tcPr>
          <w:p>
            <w:pPr>
              <w:ind w:left="160"/>
              <w:spacing w:after="0" w:line="216" w:lineRule="exact"/>
              <w:rPr>
                <w:sz w:val="20"/>
                <w:szCs w:val="20"/>
                <w:color w:val="auto"/>
              </w:rPr>
            </w:pPr>
            <w:r>
              <w:rPr>
                <w:rFonts w:ascii="Calibri" w:cs="Calibri" w:eastAsia="Calibri" w:hAnsi="Calibri"/>
                <w:sz w:val="18"/>
                <w:szCs w:val="18"/>
                <w:color w:val="auto"/>
              </w:rPr>
              <w:t>99</w:t>
            </w:r>
          </w:p>
        </w:tc>
        <w:tc>
          <w:tcPr>
            <w:tcW w:w="56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0</w:t>
            </w:r>
          </w:p>
        </w:tc>
        <w:tc>
          <w:tcPr>
            <w:tcW w:w="22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w:t>
            </w:r>
          </w:p>
        </w:tc>
      </w:tr>
      <w:tr>
        <w:trPr>
          <w:trHeight w:val="243"/>
        </w:trPr>
        <w:tc>
          <w:tcPr>
            <w:tcW w:w="1620" w:type="dxa"/>
            <w:vAlign w:val="bottom"/>
          </w:tcPr>
          <w:p>
            <w:pPr>
              <w:spacing w:after="0"/>
              <w:rPr>
                <w:sz w:val="21"/>
                <w:szCs w:val="21"/>
                <w:color w:val="auto"/>
              </w:rPr>
            </w:pPr>
          </w:p>
        </w:tc>
        <w:tc>
          <w:tcPr>
            <w:tcW w:w="820" w:type="dxa"/>
            <w:vAlign w:val="bottom"/>
          </w:tcPr>
          <w:p>
            <w:pPr>
              <w:ind w:left="160"/>
              <w:spacing w:after="0"/>
              <w:rPr>
                <w:sz w:val="20"/>
                <w:szCs w:val="20"/>
                <w:color w:val="auto"/>
              </w:rPr>
            </w:pPr>
            <w:r>
              <w:rPr>
                <w:rFonts w:ascii="Calibri" w:cs="Calibri" w:eastAsia="Calibri" w:hAnsi="Calibri"/>
                <w:sz w:val="18"/>
                <w:szCs w:val="18"/>
                <w:color w:val="auto"/>
              </w:rPr>
              <w:t>38001</w:t>
            </w: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1620" w:type="dxa"/>
            <w:vAlign w:val="bottom"/>
          </w:tcPr>
          <w:p>
            <w:pPr>
              <w:spacing w:after="0" w:line="216" w:lineRule="exact"/>
              <w:rPr>
                <w:sz w:val="20"/>
                <w:szCs w:val="20"/>
                <w:color w:val="auto"/>
              </w:rPr>
            </w:pPr>
            <w:r>
              <w:rPr>
                <w:rFonts w:ascii="Calibri" w:cs="Calibri" w:eastAsia="Calibri" w:hAnsi="Calibri"/>
                <w:sz w:val="18"/>
                <w:szCs w:val="18"/>
                <w:color w:val="auto"/>
              </w:rPr>
              <w:t>North Columbia</w:t>
            </w:r>
          </w:p>
        </w:tc>
        <w:tc>
          <w:tcPr>
            <w:tcW w:w="820" w:type="dxa"/>
            <w:vAlign w:val="bottom"/>
          </w:tcPr>
          <w:p>
            <w:pPr>
              <w:ind w:left="160"/>
              <w:spacing w:after="0" w:line="216" w:lineRule="exact"/>
              <w:rPr>
                <w:sz w:val="20"/>
                <w:szCs w:val="20"/>
                <w:color w:val="auto"/>
              </w:rPr>
            </w:pPr>
            <w:r>
              <w:rPr>
                <w:rFonts w:ascii="Calibri" w:cs="Calibri" w:eastAsia="Calibri" w:hAnsi="Calibri"/>
                <w:sz w:val="18"/>
                <w:szCs w:val="18"/>
                <w:color w:val="auto"/>
              </w:rPr>
              <w:t>46</w:t>
            </w:r>
          </w:p>
        </w:tc>
        <w:tc>
          <w:tcPr>
            <w:tcW w:w="56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1</w:t>
            </w:r>
          </w:p>
        </w:tc>
        <w:tc>
          <w:tcPr>
            <w:tcW w:w="64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0</w:t>
            </w:r>
          </w:p>
        </w:tc>
        <w:tc>
          <w:tcPr>
            <w:tcW w:w="22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w:t>
            </w:r>
          </w:p>
        </w:tc>
      </w:tr>
      <w:tr>
        <w:trPr>
          <w:trHeight w:val="243"/>
        </w:trPr>
        <w:tc>
          <w:tcPr>
            <w:tcW w:w="1620" w:type="dxa"/>
            <w:vAlign w:val="bottom"/>
          </w:tcPr>
          <w:p>
            <w:pPr>
              <w:spacing w:after="0"/>
              <w:rPr>
                <w:sz w:val="21"/>
                <w:szCs w:val="21"/>
                <w:color w:val="auto"/>
              </w:rPr>
            </w:pPr>
          </w:p>
        </w:tc>
        <w:tc>
          <w:tcPr>
            <w:tcW w:w="820" w:type="dxa"/>
            <w:vAlign w:val="bottom"/>
          </w:tcPr>
          <w:p>
            <w:pPr>
              <w:ind w:left="160"/>
              <w:spacing w:after="0"/>
              <w:rPr>
                <w:sz w:val="20"/>
                <w:szCs w:val="20"/>
                <w:color w:val="auto"/>
              </w:rPr>
            </w:pPr>
            <w:r>
              <w:rPr>
                <w:rFonts w:ascii="Calibri" w:cs="Calibri" w:eastAsia="Calibri" w:hAnsi="Calibri"/>
                <w:sz w:val="18"/>
                <w:szCs w:val="18"/>
                <w:color w:val="auto"/>
              </w:rPr>
              <w:t>18004</w:t>
            </w: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1620" w:type="dxa"/>
            <w:vAlign w:val="bottom"/>
          </w:tcPr>
          <w:p>
            <w:pPr>
              <w:spacing w:after="0" w:line="216" w:lineRule="exact"/>
              <w:rPr>
                <w:sz w:val="20"/>
                <w:szCs w:val="20"/>
                <w:color w:val="auto"/>
              </w:rPr>
            </w:pPr>
            <w:r>
              <w:rPr>
                <w:rFonts w:ascii="Calibri" w:cs="Calibri" w:eastAsia="Calibri" w:hAnsi="Calibri"/>
                <w:sz w:val="18"/>
                <w:szCs w:val="18"/>
                <w:color w:val="auto"/>
              </w:rPr>
              <w:t>North East Quarry</w:t>
            </w:r>
          </w:p>
        </w:tc>
        <w:tc>
          <w:tcPr>
            <w:tcW w:w="820" w:type="dxa"/>
            <w:vAlign w:val="bottom"/>
          </w:tcPr>
          <w:p>
            <w:pPr>
              <w:ind w:left="160"/>
              <w:spacing w:after="0" w:line="216" w:lineRule="exact"/>
              <w:rPr>
                <w:sz w:val="20"/>
                <w:szCs w:val="20"/>
                <w:color w:val="auto"/>
              </w:rPr>
            </w:pPr>
            <w:r>
              <w:rPr>
                <w:rFonts w:ascii="Calibri" w:cs="Calibri" w:eastAsia="Calibri" w:hAnsi="Calibri"/>
                <w:sz w:val="18"/>
                <w:szCs w:val="18"/>
                <w:color w:val="auto"/>
              </w:rPr>
              <w:t>17</w:t>
            </w:r>
          </w:p>
        </w:tc>
        <w:tc>
          <w:tcPr>
            <w:tcW w:w="56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0</w:t>
            </w:r>
          </w:p>
        </w:tc>
        <w:tc>
          <w:tcPr>
            <w:tcW w:w="22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w:t>
            </w:r>
          </w:p>
        </w:tc>
      </w:tr>
      <w:tr>
        <w:trPr>
          <w:trHeight w:val="243"/>
        </w:trPr>
        <w:tc>
          <w:tcPr>
            <w:tcW w:w="1620" w:type="dxa"/>
            <w:vAlign w:val="bottom"/>
          </w:tcPr>
          <w:p>
            <w:pPr>
              <w:spacing w:after="0"/>
              <w:rPr>
                <w:sz w:val="21"/>
                <w:szCs w:val="21"/>
                <w:color w:val="auto"/>
              </w:rPr>
            </w:pPr>
          </w:p>
        </w:tc>
        <w:tc>
          <w:tcPr>
            <w:tcW w:w="820" w:type="dxa"/>
            <w:vAlign w:val="bottom"/>
          </w:tcPr>
          <w:p>
            <w:pPr>
              <w:ind w:left="160"/>
              <w:spacing w:after="0"/>
              <w:rPr>
                <w:sz w:val="20"/>
                <w:szCs w:val="20"/>
                <w:color w:val="auto"/>
              </w:rPr>
            </w:pPr>
            <w:r>
              <w:rPr>
                <w:rFonts w:ascii="Calibri" w:cs="Calibri" w:eastAsia="Calibri" w:hAnsi="Calibri"/>
                <w:sz w:val="18"/>
                <w:szCs w:val="18"/>
                <w:color w:val="auto"/>
              </w:rPr>
              <w:t>01030</w:t>
            </w: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1620" w:type="dxa"/>
            <w:vAlign w:val="bottom"/>
          </w:tcPr>
          <w:p>
            <w:pPr>
              <w:spacing w:after="0" w:line="216" w:lineRule="exact"/>
              <w:rPr>
                <w:sz w:val="20"/>
                <w:szCs w:val="20"/>
                <w:color w:val="auto"/>
              </w:rPr>
            </w:pPr>
            <w:r>
              <w:rPr>
                <w:rFonts w:ascii="Calibri" w:cs="Calibri" w:eastAsia="Calibri" w:hAnsi="Calibri"/>
                <w:sz w:val="18"/>
                <w:szCs w:val="18"/>
                <w:color w:val="auto"/>
              </w:rPr>
              <w:t>O'Neal Plant  Co 19</w:t>
            </w:r>
          </w:p>
        </w:tc>
        <w:tc>
          <w:tcPr>
            <w:tcW w:w="820" w:type="dxa"/>
            <w:vAlign w:val="bottom"/>
          </w:tcPr>
          <w:p>
            <w:pPr>
              <w:ind w:left="160"/>
              <w:spacing w:after="0" w:line="216" w:lineRule="exact"/>
              <w:rPr>
                <w:sz w:val="20"/>
                <w:szCs w:val="20"/>
                <w:color w:val="auto"/>
              </w:rPr>
            </w:pPr>
            <w:r>
              <w:rPr>
                <w:rFonts w:ascii="Calibri" w:cs="Calibri" w:eastAsia="Calibri" w:hAnsi="Calibri"/>
                <w:sz w:val="18"/>
                <w:szCs w:val="18"/>
                <w:color w:val="auto"/>
              </w:rPr>
              <w:t>76</w:t>
            </w:r>
          </w:p>
        </w:tc>
        <w:tc>
          <w:tcPr>
            <w:tcW w:w="56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0</w:t>
            </w:r>
          </w:p>
        </w:tc>
        <w:tc>
          <w:tcPr>
            <w:tcW w:w="22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w:t>
            </w:r>
          </w:p>
        </w:tc>
      </w:tr>
      <w:tr>
        <w:trPr>
          <w:trHeight w:val="243"/>
        </w:trPr>
        <w:tc>
          <w:tcPr>
            <w:tcW w:w="1620" w:type="dxa"/>
            <w:vAlign w:val="bottom"/>
          </w:tcPr>
          <w:p>
            <w:pPr>
              <w:spacing w:after="0"/>
              <w:rPr>
                <w:sz w:val="21"/>
                <w:szCs w:val="21"/>
                <w:color w:val="auto"/>
              </w:rPr>
            </w:pPr>
          </w:p>
        </w:tc>
        <w:tc>
          <w:tcPr>
            <w:tcW w:w="820" w:type="dxa"/>
            <w:vAlign w:val="bottom"/>
          </w:tcPr>
          <w:p>
            <w:pPr>
              <w:ind w:left="160"/>
              <w:spacing w:after="0"/>
              <w:rPr>
                <w:sz w:val="20"/>
                <w:szCs w:val="20"/>
                <w:color w:val="auto"/>
              </w:rPr>
            </w:pPr>
            <w:r>
              <w:rPr>
                <w:rFonts w:ascii="Calibri" w:cs="Calibri" w:eastAsia="Calibri" w:hAnsi="Calibri"/>
                <w:sz w:val="18"/>
                <w:szCs w:val="18"/>
                <w:color w:val="auto"/>
              </w:rPr>
              <w:t>38007</w:t>
            </w: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16"/>
        </w:trPr>
        <w:tc>
          <w:tcPr>
            <w:tcW w:w="1620" w:type="dxa"/>
            <w:vAlign w:val="bottom"/>
          </w:tcPr>
          <w:p>
            <w:pPr>
              <w:spacing w:after="0" w:line="216" w:lineRule="exact"/>
              <w:rPr>
                <w:sz w:val="20"/>
                <w:szCs w:val="20"/>
                <w:color w:val="auto"/>
              </w:rPr>
            </w:pPr>
            <w:r>
              <w:rPr>
                <w:rFonts w:ascii="Calibri" w:cs="Calibri" w:eastAsia="Calibri" w:hAnsi="Calibri"/>
                <w:sz w:val="18"/>
                <w:szCs w:val="18"/>
                <w:color w:val="auto"/>
              </w:rPr>
              <w:t>Old Charleston Sand</w:t>
            </w:r>
          </w:p>
        </w:tc>
        <w:tc>
          <w:tcPr>
            <w:tcW w:w="820" w:type="dxa"/>
            <w:vAlign w:val="bottom"/>
          </w:tcPr>
          <w:p>
            <w:pPr>
              <w:ind w:left="160"/>
              <w:spacing w:after="0" w:line="216" w:lineRule="exact"/>
              <w:rPr>
                <w:sz w:val="20"/>
                <w:szCs w:val="20"/>
                <w:color w:val="auto"/>
              </w:rPr>
            </w:pPr>
            <w:r>
              <w:rPr>
                <w:rFonts w:ascii="Calibri" w:cs="Calibri" w:eastAsia="Calibri" w:hAnsi="Calibri"/>
                <w:sz w:val="18"/>
                <w:szCs w:val="18"/>
                <w:color w:val="auto"/>
              </w:rPr>
              <w:t>02</w:t>
            </w:r>
          </w:p>
        </w:tc>
        <w:tc>
          <w:tcPr>
            <w:tcW w:w="56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0</w:t>
            </w:r>
          </w:p>
        </w:tc>
        <w:tc>
          <w:tcPr>
            <w:tcW w:w="22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-1433195</wp:posOffset>
            </wp:positionV>
            <wp:extent cx="7132320" cy="29146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1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-850265</wp:posOffset>
            </wp:positionV>
            <wp:extent cx="7132320" cy="29146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1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-267335</wp:posOffset>
            </wp:positionV>
            <wp:extent cx="7132320" cy="29146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1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748030</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700" w:type="dxa"/>
            <w:vAlign w:val="bottom"/>
          </w:tcPr>
          <w:p>
            <w:pPr>
              <w:jc w:val="right"/>
              <w:ind w:right="210"/>
              <w:spacing w:after="0"/>
              <w:rPr>
                <w:sz w:val="20"/>
                <w:szCs w:val="20"/>
                <w:color w:val="auto"/>
              </w:rPr>
            </w:pPr>
            <w:r>
              <w:rPr>
                <w:rFonts w:ascii="Calibri" w:cs="Calibri" w:eastAsia="Calibri" w:hAnsi="Calibri"/>
                <w:sz w:val="18"/>
                <w:szCs w:val="18"/>
                <w:b w:val="1"/>
                <w:bCs w:val="1"/>
                <w:color w:val="auto"/>
                <w:w w:val="92"/>
              </w:rPr>
              <w:t>1,072</w:t>
            </w:r>
          </w:p>
        </w:tc>
        <w:tc>
          <w:tcPr>
            <w:tcW w:w="780" w:type="dxa"/>
            <w:vAlign w:val="bottom"/>
          </w:tcPr>
          <w:p>
            <w:pPr>
              <w:jc w:val="right"/>
              <w:ind w:right="310"/>
              <w:spacing w:after="0"/>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rPr>
                <w:sz w:val="20"/>
                <w:szCs w:val="20"/>
                <w:color w:val="auto"/>
              </w:rPr>
            </w:pPr>
            <w:r>
              <w:rPr>
                <w:rFonts w:ascii="Calibri" w:cs="Calibri" w:eastAsia="Calibri" w:hAnsi="Calibri"/>
                <w:sz w:val="18"/>
                <w:szCs w:val="18"/>
                <w:color w:val="auto"/>
              </w:rPr>
              <w:t>0</w:t>
            </w:r>
          </w:p>
        </w:tc>
        <w:tc>
          <w:tcPr>
            <w:tcW w:w="660" w:type="dxa"/>
            <w:vAlign w:val="bottom"/>
          </w:tcPr>
          <w:p>
            <w:pPr>
              <w:jc w:val="right"/>
              <w:ind w:right="230"/>
              <w:spacing w:after="0"/>
              <w:rPr>
                <w:sz w:val="20"/>
                <w:szCs w:val="20"/>
                <w:color w:val="auto"/>
              </w:rPr>
            </w:pPr>
            <w:r>
              <w:rPr>
                <w:rFonts w:ascii="Calibri" w:cs="Calibri" w:eastAsia="Calibri" w:hAnsi="Calibri"/>
                <w:sz w:val="18"/>
                <w:szCs w:val="18"/>
                <w:color w:val="auto"/>
              </w:rPr>
              <w:t>0</w:t>
            </w:r>
          </w:p>
        </w:tc>
        <w:tc>
          <w:tcPr>
            <w:tcW w:w="400" w:type="dxa"/>
            <w:vAlign w:val="bottom"/>
          </w:tcPr>
          <w:p>
            <w:pPr>
              <w:jc w:val="right"/>
              <w:spacing w:after="0"/>
              <w:rPr>
                <w:sz w:val="20"/>
                <w:szCs w:val="20"/>
                <w:color w:val="auto"/>
              </w:rPr>
            </w:pPr>
            <w:r>
              <w:rPr>
                <w:rFonts w:ascii="Calibri" w:cs="Calibri" w:eastAsia="Calibri" w:hAnsi="Calibri"/>
                <w:sz w:val="18"/>
                <w:szCs w:val="18"/>
                <w:color w:val="auto"/>
              </w:rPr>
              <w:t>0</w:t>
            </w:r>
          </w:p>
        </w:tc>
      </w:tr>
      <w:tr>
        <w:trPr>
          <w:trHeight w:val="648"/>
        </w:trPr>
        <w:tc>
          <w:tcPr>
            <w:tcW w:w="700" w:type="dxa"/>
            <w:vAlign w:val="bottom"/>
          </w:tcPr>
          <w:p>
            <w:pPr>
              <w:jc w:val="right"/>
              <w:ind w:right="210"/>
              <w:spacing w:after="0"/>
              <w:rPr>
                <w:sz w:val="20"/>
                <w:szCs w:val="20"/>
                <w:color w:val="auto"/>
              </w:rPr>
            </w:pPr>
            <w:r>
              <w:rPr>
                <w:rFonts w:ascii="Calibri" w:cs="Calibri" w:eastAsia="Calibri" w:hAnsi="Calibri"/>
                <w:sz w:val="18"/>
                <w:szCs w:val="18"/>
                <w:b w:val="1"/>
                <w:bCs w:val="1"/>
                <w:color w:val="auto"/>
              </w:rPr>
              <w:t>701</w:t>
            </w:r>
          </w:p>
        </w:tc>
        <w:tc>
          <w:tcPr>
            <w:tcW w:w="780" w:type="dxa"/>
            <w:vAlign w:val="bottom"/>
          </w:tcPr>
          <w:p>
            <w:pPr>
              <w:jc w:val="right"/>
              <w:ind w:right="310"/>
              <w:spacing w:after="0"/>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rPr>
                <w:sz w:val="20"/>
                <w:szCs w:val="20"/>
                <w:color w:val="auto"/>
              </w:rPr>
            </w:pPr>
            <w:r>
              <w:rPr>
                <w:rFonts w:ascii="Calibri" w:cs="Calibri" w:eastAsia="Calibri" w:hAnsi="Calibri"/>
                <w:sz w:val="18"/>
                <w:szCs w:val="18"/>
                <w:color w:val="auto"/>
              </w:rPr>
              <w:t>0</w:t>
            </w:r>
          </w:p>
        </w:tc>
        <w:tc>
          <w:tcPr>
            <w:tcW w:w="660" w:type="dxa"/>
            <w:vAlign w:val="bottom"/>
          </w:tcPr>
          <w:p>
            <w:pPr>
              <w:jc w:val="right"/>
              <w:ind w:right="230"/>
              <w:spacing w:after="0"/>
              <w:rPr>
                <w:sz w:val="20"/>
                <w:szCs w:val="20"/>
                <w:color w:val="auto"/>
              </w:rPr>
            </w:pPr>
            <w:r>
              <w:rPr>
                <w:rFonts w:ascii="Calibri" w:cs="Calibri" w:eastAsia="Calibri" w:hAnsi="Calibri"/>
                <w:sz w:val="18"/>
                <w:szCs w:val="18"/>
                <w:color w:val="auto"/>
              </w:rPr>
              <w:t>0</w:t>
            </w:r>
          </w:p>
        </w:tc>
        <w:tc>
          <w:tcPr>
            <w:tcW w:w="400" w:type="dxa"/>
            <w:vAlign w:val="bottom"/>
          </w:tcPr>
          <w:p>
            <w:pPr>
              <w:jc w:val="right"/>
              <w:spacing w:after="0"/>
              <w:rPr>
                <w:sz w:val="20"/>
                <w:szCs w:val="20"/>
                <w:color w:val="auto"/>
              </w:rPr>
            </w:pPr>
            <w:r>
              <w:rPr>
                <w:rFonts w:ascii="Calibri" w:cs="Calibri" w:eastAsia="Calibri" w:hAnsi="Calibri"/>
                <w:sz w:val="18"/>
                <w:szCs w:val="18"/>
                <w:color w:val="auto"/>
              </w:rPr>
              <w:t>0</w:t>
            </w:r>
          </w:p>
        </w:tc>
      </w:tr>
      <w:tr>
        <w:trPr>
          <w:trHeight w:val="459"/>
        </w:trPr>
        <w:tc>
          <w:tcPr>
            <w:tcW w:w="700" w:type="dxa"/>
            <w:vAlign w:val="bottom"/>
          </w:tcPr>
          <w:p>
            <w:pPr>
              <w:jc w:val="right"/>
              <w:ind w:right="210"/>
              <w:spacing w:after="0"/>
              <w:rPr>
                <w:sz w:val="20"/>
                <w:szCs w:val="20"/>
                <w:color w:val="auto"/>
              </w:rPr>
            </w:pPr>
            <w:r>
              <w:rPr>
                <w:rFonts w:ascii="Calibri" w:cs="Calibri" w:eastAsia="Calibri" w:hAnsi="Calibri"/>
                <w:sz w:val="18"/>
                <w:szCs w:val="18"/>
                <w:b w:val="1"/>
                <w:bCs w:val="1"/>
                <w:color w:val="auto"/>
              </w:rPr>
              <w:t>399</w:t>
            </w:r>
          </w:p>
        </w:tc>
        <w:tc>
          <w:tcPr>
            <w:tcW w:w="780" w:type="dxa"/>
            <w:vAlign w:val="bottom"/>
          </w:tcPr>
          <w:p>
            <w:pPr>
              <w:jc w:val="right"/>
              <w:ind w:right="310"/>
              <w:spacing w:after="0"/>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rPr>
                <w:sz w:val="20"/>
                <w:szCs w:val="20"/>
                <w:color w:val="auto"/>
              </w:rPr>
            </w:pPr>
            <w:r>
              <w:rPr>
                <w:rFonts w:ascii="Calibri" w:cs="Calibri" w:eastAsia="Calibri" w:hAnsi="Calibri"/>
                <w:sz w:val="18"/>
                <w:szCs w:val="18"/>
                <w:b w:val="1"/>
                <w:bCs w:val="1"/>
                <w:color w:val="auto"/>
              </w:rPr>
              <w:t>0</w:t>
            </w:r>
          </w:p>
        </w:tc>
        <w:tc>
          <w:tcPr>
            <w:tcW w:w="660" w:type="dxa"/>
            <w:vAlign w:val="bottom"/>
          </w:tcPr>
          <w:p>
            <w:pPr>
              <w:jc w:val="right"/>
              <w:ind w:right="230"/>
              <w:spacing w:after="0"/>
              <w:rPr>
                <w:sz w:val="20"/>
                <w:szCs w:val="20"/>
                <w:color w:val="auto"/>
              </w:rPr>
            </w:pPr>
            <w:r>
              <w:rPr>
                <w:rFonts w:ascii="Calibri" w:cs="Calibri" w:eastAsia="Calibri" w:hAnsi="Calibri"/>
                <w:sz w:val="18"/>
                <w:szCs w:val="18"/>
                <w:b w:val="1"/>
                <w:bCs w:val="1"/>
                <w:color w:val="auto"/>
              </w:rPr>
              <w:t>0</w:t>
            </w:r>
          </w:p>
        </w:tc>
        <w:tc>
          <w:tcPr>
            <w:tcW w:w="400" w:type="dxa"/>
            <w:vAlign w:val="bottom"/>
          </w:tcPr>
          <w:p>
            <w:pPr>
              <w:jc w:val="right"/>
              <w:spacing w:after="0"/>
              <w:rPr>
                <w:sz w:val="20"/>
                <w:szCs w:val="20"/>
                <w:color w:val="auto"/>
              </w:rPr>
            </w:pPr>
            <w:r>
              <w:rPr>
                <w:rFonts w:ascii="Calibri" w:cs="Calibri" w:eastAsia="Calibri" w:hAnsi="Calibri"/>
                <w:sz w:val="18"/>
                <w:szCs w:val="18"/>
                <w:b w:val="1"/>
                <w:bCs w:val="1"/>
                <w:color w:val="auto"/>
              </w:rPr>
              <w:t>2</w:t>
            </w:r>
          </w:p>
        </w:tc>
      </w:tr>
      <w:tr>
        <w:trPr>
          <w:trHeight w:val="459"/>
        </w:trPr>
        <w:tc>
          <w:tcPr>
            <w:tcW w:w="700" w:type="dxa"/>
            <w:vAlign w:val="bottom"/>
          </w:tcPr>
          <w:p>
            <w:pPr>
              <w:jc w:val="right"/>
              <w:ind w:right="210"/>
              <w:spacing w:after="0"/>
              <w:rPr>
                <w:sz w:val="20"/>
                <w:szCs w:val="20"/>
                <w:color w:val="auto"/>
              </w:rPr>
            </w:pPr>
            <w:r>
              <w:rPr>
                <w:rFonts w:ascii="Calibri" w:cs="Calibri" w:eastAsia="Calibri" w:hAnsi="Calibri"/>
                <w:sz w:val="18"/>
                <w:szCs w:val="18"/>
                <w:b w:val="1"/>
                <w:bCs w:val="1"/>
                <w:color w:val="auto"/>
              </w:rPr>
              <w:t>133</w:t>
            </w:r>
          </w:p>
        </w:tc>
        <w:tc>
          <w:tcPr>
            <w:tcW w:w="780" w:type="dxa"/>
            <w:vAlign w:val="bottom"/>
          </w:tcPr>
          <w:p>
            <w:pPr>
              <w:jc w:val="right"/>
              <w:ind w:right="310"/>
              <w:spacing w:after="0"/>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rPr>
                <w:sz w:val="20"/>
                <w:szCs w:val="20"/>
                <w:color w:val="auto"/>
              </w:rPr>
            </w:pPr>
            <w:r>
              <w:rPr>
                <w:rFonts w:ascii="Calibri" w:cs="Calibri" w:eastAsia="Calibri" w:hAnsi="Calibri"/>
                <w:sz w:val="18"/>
                <w:szCs w:val="18"/>
                <w:color w:val="auto"/>
              </w:rPr>
              <w:t>0</w:t>
            </w:r>
          </w:p>
        </w:tc>
        <w:tc>
          <w:tcPr>
            <w:tcW w:w="660" w:type="dxa"/>
            <w:vAlign w:val="bottom"/>
          </w:tcPr>
          <w:p>
            <w:pPr>
              <w:jc w:val="right"/>
              <w:ind w:right="230"/>
              <w:spacing w:after="0"/>
              <w:rPr>
                <w:sz w:val="20"/>
                <w:szCs w:val="20"/>
                <w:color w:val="auto"/>
              </w:rPr>
            </w:pPr>
            <w:r>
              <w:rPr>
                <w:rFonts w:ascii="Calibri" w:cs="Calibri" w:eastAsia="Calibri" w:hAnsi="Calibri"/>
                <w:sz w:val="18"/>
                <w:szCs w:val="18"/>
                <w:color w:val="auto"/>
              </w:rPr>
              <w:t>0</w:t>
            </w:r>
          </w:p>
        </w:tc>
        <w:tc>
          <w:tcPr>
            <w:tcW w:w="400" w:type="dxa"/>
            <w:vAlign w:val="bottom"/>
          </w:tcPr>
          <w:p>
            <w:pPr>
              <w:jc w:val="right"/>
              <w:spacing w:after="0"/>
              <w:rPr>
                <w:sz w:val="20"/>
                <w:szCs w:val="20"/>
                <w:color w:val="auto"/>
              </w:rPr>
            </w:pPr>
            <w:r>
              <w:rPr>
                <w:rFonts w:ascii="Calibri" w:cs="Calibri" w:eastAsia="Calibri" w:hAnsi="Calibri"/>
                <w:sz w:val="18"/>
                <w:szCs w:val="18"/>
                <w:color w:val="auto"/>
              </w:rPr>
              <w:t>0</w:t>
            </w:r>
          </w:p>
        </w:tc>
      </w:tr>
      <w:tr>
        <w:trPr>
          <w:trHeight w:val="459"/>
        </w:trPr>
        <w:tc>
          <w:tcPr>
            <w:tcW w:w="700" w:type="dxa"/>
            <w:vAlign w:val="bottom"/>
          </w:tcPr>
          <w:p>
            <w:pPr>
              <w:jc w:val="right"/>
              <w:ind w:right="210"/>
              <w:spacing w:after="0"/>
              <w:rPr>
                <w:sz w:val="20"/>
                <w:szCs w:val="20"/>
                <w:color w:val="auto"/>
              </w:rPr>
            </w:pPr>
            <w:r>
              <w:rPr>
                <w:rFonts w:ascii="Calibri" w:cs="Calibri" w:eastAsia="Calibri" w:hAnsi="Calibri"/>
                <w:sz w:val="18"/>
                <w:szCs w:val="18"/>
                <w:b w:val="1"/>
                <w:bCs w:val="1"/>
                <w:color w:val="auto"/>
              </w:rPr>
              <w:t>419</w:t>
            </w:r>
          </w:p>
        </w:tc>
        <w:tc>
          <w:tcPr>
            <w:tcW w:w="780" w:type="dxa"/>
            <w:vAlign w:val="bottom"/>
          </w:tcPr>
          <w:p>
            <w:pPr>
              <w:jc w:val="right"/>
              <w:ind w:right="310"/>
              <w:spacing w:after="0"/>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rPr>
                <w:sz w:val="20"/>
                <w:szCs w:val="20"/>
                <w:color w:val="auto"/>
              </w:rPr>
            </w:pPr>
            <w:r>
              <w:rPr>
                <w:rFonts w:ascii="Calibri" w:cs="Calibri" w:eastAsia="Calibri" w:hAnsi="Calibri"/>
                <w:sz w:val="18"/>
                <w:szCs w:val="18"/>
                <w:color w:val="auto"/>
              </w:rPr>
              <w:t>0</w:t>
            </w:r>
          </w:p>
        </w:tc>
        <w:tc>
          <w:tcPr>
            <w:tcW w:w="660" w:type="dxa"/>
            <w:vAlign w:val="bottom"/>
          </w:tcPr>
          <w:p>
            <w:pPr>
              <w:jc w:val="right"/>
              <w:ind w:right="230"/>
              <w:spacing w:after="0"/>
              <w:rPr>
                <w:sz w:val="20"/>
                <w:szCs w:val="20"/>
                <w:color w:val="auto"/>
              </w:rPr>
            </w:pPr>
            <w:r>
              <w:rPr>
                <w:rFonts w:ascii="Calibri" w:cs="Calibri" w:eastAsia="Calibri" w:hAnsi="Calibri"/>
                <w:sz w:val="18"/>
                <w:szCs w:val="18"/>
                <w:color w:val="auto"/>
              </w:rPr>
              <w:t>0</w:t>
            </w:r>
          </w:p>
        </w:tc>
        <w:tc>
          <w:tcPr>
            <w:tcW w:w="400" w:type="dxa"/>
            <w:vAlign w:val="bottom"/>
          </w:tcPr>
          <w:p>
            <w:pPr>
              <w:jc w:val="right"/>
              <w:spacing w:after="0"/>
              <w:rPr>
                <w:sz w:val="20"/>
                <w:szCs w:val="20"/>
                <w:color w:val="auto"/>
              </w:rPr>
            </w:pPr>
            <w:r>
              <w:rPr>
                <w:rFonts w:ascii="Calibri" w:cs="Calibri" w:eastAsia="Calibri" w:hAnsi="Calibri"/>
                <w:sz w:val="18"/>
                <w:szCs w:val="18"/>
                <w:color w:val="auto"/>
              </w:rPr>
              <w:t>0</w:t>
            </w:r>
          </w:p>
        </w:tc>
      </w:tr>
      <w:tr>
        <w:trPr>
          <w:trHeight w:val="459"/>
        </w:trPr>
        <w:tc>
          <w:tcPr>
            <w:tcW w:w="700" w:type="dxa"/>
            <w:vAlign w:val="bottom"/>
          </w:tcPr>
          <w:p>
            <w:pPr>
              <w:jc w:val="right"/>
              <w:ind w:right="210"/>
              <w:spacing w:after="0"/>
              <w:rPr>
                <w:sz w:val="20"/>
                <w:szCs w:val="20"/>
                <w:color w:val="auto"/>
              </w:rPr>
            </w:pPr>
            <w:r>
              <w:rPr>
                <w:rFonts w:ascii="Calibri" w:cs="Calibri" w:eastAsia="Calibri" w:hAnsi="Calibri"/>
                <w:sz w:val="18"/>
                <w:szCs w:val="18"/>
                <w:b w:val="1"/>
                <w:bCs w:val="1"/>
                <w:color w:val="auto"/>
              </w:rPr>
              <w:t>389</w:t>
            </w:r>
          </w:p>
        </w:tc>
        <w:tc>
          <w:tcPr>
            <w:tcW w:w="780" w:type="dxa"/>
            <w:vAlign w:val="bottom"/>
          </w:tcPr>
          <w:p>
            <w:pPr>
              <w:jc w:val="right"/>
              <w:ind w:right="310"/>
              <w:spacing w:after="0"/>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rPr>
                <w:sz w:val="20"/>
                <w:szCs w:val="20"/>
                <w:color w:val="auto"/>
              </w:rPr>
            </w:pPr>
            <w:r>
              <w:rPr>
                <w:rFonts w:ascii="Calibri" w:cs="Calibri" w:eastAsia="Calibri" w:hAnsi="Calibri"/>
                <w:sz w:val="18"/>
                <w:szCs w:val="18"/>
                <w:color w:val="auto"/>
              </w:rPr>
              <w:t>0</w:t>
            </w:r>
          </w:p>
        </w:tc>
        <w:tc>
          <w:tcPr>
            <w:tcW w:w="660" w:type="dxa"/>
            <w:vAlign w:val="bottom"/>
          </w:tcPr>
          <w:p>
            <w:pPr>
              <w:jc w:val="right"/>
              <w:ind w:right="230"/>
              <w:spacing w:after="0"/>
              <w:rPr>
                <w:sz w:val="20"/>
                <w:szCs w:val="20"/>
                <w:color w:val="auto"/>
              </w:rPr>
            </w:pPr>
            <w:r>
              <w:rPr>
                <w:rFonts w:ascii="Calibri" w:cs="Calibri" w:eastAsia="Calibri" w:hAnsi="Calibri"/>
                <w:sz w:val="18"/>
                <w:szCs w:val="18"/>
                <w:color w:val="auto"/>
              </w:rPr>
              <w:t>0</w:t>
            </w:r>
          </w:p>
        </w:tc>
        <w:tc>
          <w:tcPr>
            <w:tcW w:w="400" w:type="dxa"/>
            <w:vAlign w:val="bottom"/>
          </w:tcPr>
          <w:p>
            <w:pPr>
              <w:jc w:val="right"/>
              <w:spacing w:after="0"/>
              <w:rPr>
                <w:sz w:val="20"/>
                <w:szCs w:val="20"/>
                <w:color w:val="auto"/>
              </w:rPr>
            </w:pPr>
            <w:r>
              <w:rPr>
                <w:rFonts w:ascii="Calibri" w:cs="Calibri" w:eastAsia="Calibri" w:hAnsi="Calibri"/>
                <w:sz w:val="18"/>
                <w:szCs w:val="18"/>
                <w:color w:val="auto"/>
              </w:rPr>
              <w:t>0</w:t>
            </w:r>
          </w:p>
        </w:tc>
      </w:tr>
    </w:tbl>
    <w:p>
      <w:pPr>
        <w:sectPr>
          <w:pgSz w:w="11900" w:h="16838" w:orient="portrait"/>
          <w:cols w:equalWidth="0" w:num="2">
            <w:col w:w="5660" w:space="340"/>
            <w:col w:w="4840"/>
          </w:cols>
          <w:pgMar w:left="340" w:top="85" w:right="719" w:bottom="1440" w:gutter="0" w:footer="0" w:header="0"/>
        </w:sectPr>
      </w:pPr>
    </w:p>
    <w:bookmarkStart w:id="142" w:name="page143"/>
    <w:bookmarkEnd w:id="14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center"/>
              <w:ind w:left="70"/>
              <w:spacing w:after="0"/>
              <w:rPr>
                <w:sz w:val="20"/>
                <w:szCs w:val="20"/>
                <w:color w:val="auto"/>
              </w:rPr>
            </w:pPr>
            <w:r>
              <w:rPr>
                <w:rFonts w:ascii="Calibri" w:cs="Calibri" w:eastAsia="Calibri" w:hAnsi="Calibri"/>
                <w:sz w:val="18"/>
                <w:szCs w:val="18"/>
                <w:color w:val="auto"/>
                <w:w w:val="97"/>
              </w:rPr>
              <w:t>Appendix 1</w:t>
            </w:r>
          </w:p>
        </w:tc>
      </w:tr>
      <w:tr>
        <w:trPr>
          <w:trHeight w:val="662"/>
        </w:trPr>
        <w:tc>
          <w:tcPr>
            <w:tcW w:w="176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Calibri" w:cs="Calibri" w:eastAsia="Calibri" w:hAnsi="Calibri"/>
                <w:sz w:val="18"/>
                <w:szCs w:val="18"/>
                <w:color w:val="auto"/>
              </w:rPr>
              <w:t>31021</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760" w:type="dxa"/>
            <w:vAlign w:val="bottom"/>
          </w:tcPr>
          <w:p>
            <w:pPr>
              <w:ind w:left="20"/>
              <w:spacing w:after="0" w:line="216" w:lineRule="exact"/>
              <w:rPr>
                <w:sz w:val="20"/>
                <w:szCs w:val="20"/>
                <w:color w:val="auto"/>
              </w:rPr>
            </w:pPr>
            <w:r>
              <w:rPr>
                <w:rFonts w:ascii="Calibri" w:cs="Calibri" w:eastAsia="Calibri" w:hAnsi="Calibri"/>
                <w:sz w:val="18"/>
                <w:szCs w:val="18"/>
                <w:color w:val="auto"/>
              </w:rPr>
              <w:t>Onslow Quarry</w:t>
            </w:r>
          </w:p>
        </w:tc>
        <w:tc>
          <w:tcPr>
            <w:tcW w:w="700" w:type="dxa"/>
            <w:vAlign w:val="bottom"/>
          </w:tcPr>
          <w:p>
            <w:pPr>
              <w:ind w:left="40"/>
              <w:spacing w:after="0" w:line="216" w:lineRule="exact"/>
              <w:rPr>
                <w:sz w:val="20"/>
                <w:szCs w:val="20"/>
                <w:color w:val="auto"/>
              </w:rPr>
            </w:pPr>
            <w:r>
              <w:rPr>
                <w:rFonts w:ascii="Calibri" w:cs="Calibri" w:eastAsia="Calibri" w:hAnsi="Calibri"/>
                <w:sz w:val="18"/>
                <w:szCs w:val="18"/>
                <w:color w:val="auto"/>
              </w:rPr>
              <w:t>20</w:t>
            </w:r>
          </w:p>
        </w:tc>
        <w:tc>
          <w:tcPr>
            <w:tcW w:w="56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6"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6"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6"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6"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6"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6"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6"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09011</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Paulding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07</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08010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Perry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83</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18000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Pinesburg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21</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31000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Pomona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52</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183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31019</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Raleigh Durham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41</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532</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44000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Red Hill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72</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09000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Red Oak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69</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1,091</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31000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Reidsville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68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38000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Rock Hill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26</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31019</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Rocky Point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56</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09000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Ruby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74</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31020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Salem Stone</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38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09011</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Six Mile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44</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ind w:left="20"/>
              <w:spacing w:after="0" w:line="207" w:lineRule="exact"/>
              <w:rPr>
                <w:sz w:val="20"/>
                <w:szCs w:val="20"/>
                <w:color w:val="auto"/>
              </w:rPr>
            </w:pPr>
            <w:r>
              <w:rPr>
                <w:rFonts w:ascii="Calibri" w:cs="Calibri" w:eastAsia="Calibri" w:hAnsi="Calibri"/>
                <w:sz w:val="18"/>
                <w:szCs w:val="18"/>
                <w:color w:val="auto"/>
              </w:rPr>
              <w:t>St. Marys Sand</w:t>
            </w: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09011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Company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99</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399</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31000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Statesville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55</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18000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Texas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09</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2</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669</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31014</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Thomasville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75</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09003</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Tyrone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06</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01030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Vance Quarry  Co 19</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22</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36001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Warfordsburg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68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09005</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Warrenton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80</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31013</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Wilmington Sand</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08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31022</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Wilson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30</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31000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Woodleaf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69</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743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rPr>
              <w:t>(45) North Indianapolis</w:t>
            </w: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12000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SURFACE</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02</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9</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11,099</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b w:val="1"/>
                <w:bCs w:val="1"/>
                <w:color w:val="auto"/>
              </w:rPr>
              <w:t>1</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1</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13020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w w:val="99"/>
              </w:rPr>
              <w:t>Alden Portable Plant #2</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33</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13020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Alden Portable Sand</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37</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712</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13002</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Alden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28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13000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Ames Mine</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14</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33016</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Apple Grove S G</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76</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12019</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Belmont Sand</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11</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ind w:left="20"/>
              <w:spacing w:after="0" w:line="207" w:lineRule="exact"/>
              <w:rPr>
                <w:sz w:val="20"/>
                <w:szCs w:val="20"/>
                <w:color w:val="auto"/>
              </w:rPr>
            </w:pPr>
            <w:r>
              <w:rPr>
                <w:rFonts w:ascii="Calibri" w:cs="Calibri" w:eastAsia="Calibri" w:hAnsi="Calibri"/>
                <w:sz w:val="18"/>
                <w:szCs w:val="18"/>
                <w:color w:val="auto"/>
              </w:rPr>
              <w:t>Bowling Green North</w:t>
            </w: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15000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65</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17"/>
        </w:trPr>
        <w:tc>
          <w:tcPr>
            <w:tcW w:w="1760" w:type="dxa"/>
            <w:vAlign w:val="bottom"/>
            <w:shd w:val="clear" w:color="auto" w:fill="E5F1F8"/>
          </w:tcPr>
          <w:p>
            <w:pPr>
              <w:spacing w:after="0"/>
              <w:rPr>
                <w:sz w:val="10"/>
                <w:szCs w:val="10"/>
                <w:color w:val="auto"/>
              </w:rPr>
            </w:pPr>
          </w:p>
        </w:tc>
        <w:tc>
          <w:tcPr>
            <w:tcW w:w="700" w:type="dxa"/>
            <w:vAlign w:val="bottom"/>
            <w:shd w:val="clear" w:color="auto" w:fill="E5F1F8"/>
          </w:tcPr>
          <w:p>
            <w:pPr>
              <w:spacing w:after="0"/>
              <w:rPr>
                <w:sz w:val="10"/>
                <w:szCs w:val="10"/>
                <w:color w:val="auto"/>
              </w:rPr>
            </w:pPr>
          </w:p>
        </w:tc>
        <w:tc>
          <w:tcPr>
            <w:tcW w:w="560" w:type="dxa"/>
            <w:vAlign w:val="bottom"/>
            <w:shd w:val="clear" w:color="auto" w:fill="E5F1F8"/>
          </w:tcPr>
          <w:p>
            <w:pPr>
              <w:spacing w:after="0"/>
              <w:rPr>
                <w:sz w:val="10"/>
                <w:szCs w:val="10"/>
                <w:color w:val="auto"/>
              </w:rPr>
            </w:pPr>
          </w:p>
        </w:tc>
        <w:tc>
          <w:tcPr>
            <w:tcW w:w="640" w:type="dxa"/>
            <w:vAlign w:val="bottom"/>
            <w:shd w:val="clear" w:color="auto" w:fill="E5F1F8"/>
          </w:tcPr>
          <w:p>
            <w:pPr>
              <w:spacing w:after="0"/>
              <w:rPr>
                <w:sz w:val="10"/>
                <w:szCs w:val="10"/>
                <w:color w:val="auto"/>
              </w:rPr>
            </w:pPr>
          </w:p>
        </w:tc>
        <w:tc>
          <w:tcPr>
            <w:tcW w:w="680" w:type="dxa"/>
            <w:vAlign w:val="bottom"/>
            <w:shd w:val="clear" w:color="auto" w:fill="E5F1F8"/>
          </w:tcPr>
          <w:p>
            <w:pPr>
              <w:spacing w:after="0"/>
              <w:rPr>
                <w:sz w:val="10"/>
                <w:szCs w:val="10"/>
                <w:color w:val="auto"/>
              </w:rPr>
            </w:pPr>
          </w:p>
        </w:tc>
        <w:tc>
          <w:tcPr>
            <w:tcW w:w="660" w:type="dxa"/>
            <w:vAlign w:val="bottom"/>
            <w:shd w:val="clear" w:color="auto" w:fill="E5F1F8"/>
          </w:tcPr>
          <w:p>
            <w:pPr>
              <w:spacing w:after="0"/>
              <w:rPr>
                <w:sz w:val="10"/>
                <w:szCs w:val="10"/>
                <w:color w:val="auto"/>
              </w:rPr>
            </w:pPr>
          </w:p>
        </w:tc>
        <w:tc>
          <w:tcPr>
            <w:tcW w:w="460" w:type="dxa"/>
            <w:vAlign w:val="bottom"/>
            <w:shd w:val="clear" w:color="auto" w:fill="E5F1F8"/>
          </w:tcPr>
          <w:p>
            <w:pPr>
              <w:spacing w:after="0"/>
              <w:rPr>
                <w:sz w:val="10"/>
                <w:szCs w:val="10"/>
                <w:color w:val="auto"/>
              </w:rPr>
            </w:pPr>
          </w:p>
        </w:tc>
        <w:tc>
          <w:tcPr>
            <w:tcW w:w="340" w:type="dxa"/>
            <w:vAlign w:val="bottom"/>
            <w:shd w:val="clear" w:color="auto" w:fill="E5F1F8"/>
          </w:tcPr>
          <w:p>
            <w:pPr>
              <w:spacing w:after="0"/>
              <w:rPr>
                <w:sz w:val="10"/>
                <w:szCs w:val="10"/>
                <w:color w:val="auto"/>
              </w:rPr>
            </w:pPr>
          </w:p>
        </w:tc>
        <w:tc>
          <w:tcPr>
            <w:tcW w:w="920" w:type="dxa"/>
            <w:vAlign w:val="bottom"/>
            <w:shd w:val="clear" w:color="auto" w:fill="E5F1F8"/>
          </w:tcPr>
          <w:p>
            <w:pPr>
              <w:spacing w:after="0"/>
              <w:rPr>
                <w:sz w:val="10"/>
                <w:szCs w:val="10"/>
                <w:color w:val="auto"/>
              </w:rPr>
            </w:pPr>
          </w:p>
        </w:tc>
        <w:tc>
          <w:tcPr>
            <w:tcW w:w="780" w:type="dxa"/>
            <w:vAlign w:val="bottom"/>
            <w:shd w:val="clear" w:color="auto" w:fill="E5F1F8"/>
          </w:tcPr>
          <w:p>
            <w:pPr>
              <w:spacing w:after="0"/>
              <w:rPr>
                <w:sz w:val="10"/>
                <w:szCs w:val="10"/>
                <w:color w:val="auto"/>
              </w:rPr>
            </w:pPr>
          </w:p>
        </w:tc>
        <w:tc>
          <w:tcPr>
            <w:tcW w:w="880" w:type="dxa"/>
            <w:vAlign w:val="bottom"/>
            <w:shd w:val="clear" w:color="auto" w:fill="E5F1F8"/>
          </w:tcPr>
          <w:p>
            <w:pPr>
              <w:spacing w:after="0"/>
              <w:rPr>
                <w:sz w:val="10"/>
                <w:szCs w:val="10"/>
                <w:color w:val="auto"/>
              </w:rPr>
            </w:pPr>
          </w:p>
        </w:tc>
        <w:tc>
          <w:tcPr>
            <w:tcW w:w="800" w:type="dxa"/>
            <w:vAlign w:val="bottom"/>
            <w:shd w:val="clear" w:color="auto" w:fill="E5F1F8"/>
          </w:tcPr>
          <w:p>
            <w:pPr>
              <w:spacing w:after="0"/>
              <w:rPr>
                <w:sz w:val="10"/>
                <w:szCs w:val="10"/>
                <w:color w:val="auto"/>
              </w:rPr>
            </w:pPr>
          </w:p>
        </w:tc>
        <w:tc>
          <w:tcPr>
            <w:tcW w:w="620" w:type="dxa"/>
            <w:vAlign w:val="bottom"/>
            <w:shd w:val="clear" w:color="auto" w:fill="E5F1F8"/>
          </w:tcPr>
          <w:p>
            <w:pPr>
              <w:spacing w:after="0"/>
              <w:rPr>
                <w:sz w:val="10"/>
                <w:szCs w:val="10"/>
                <w:color w:val="auto"/>
              </w:rPr>
            </w:pPr>
          </w:p>
        </w:tc>
        <w:tc>
          <w:tcPr>
            <w:tcW w:w="480" w:type="dxa"/>
            <w:vAlign w:val="bottom"/>
            <w:shd w:val="clear" w:color="auto" w:fill="E5F1F8"/>
          </w:tcPr>
          <w:p>
            <w:pPr>
              <w:spacing w:after="0"/>
              <w:rPr>
                <w:sz w:val="10"/>
                <w:szCs w:val="10"/>
                <w:color w:val="auto"/>
              </w:rPr>
            </w:pPr>
          </w:p>
        </w:tc>
        <w:tc>
          <w:tcPr>
            <w:tcW w:w="960" w:type="dxa"/>
            <w:vAlign w:val="bottom"/>
            <w:shd w:val="clear" w:color="auto" w:fill="E5F1F8"/>
          </w:tcPr>
          <w:p>
            <w:pPr>
              <w:spacing w:after="0"/>
              <w:rPr>
                <w:sz w:val="10"/>
                <w:szCs w:val="10"/>
                <w:color w:val="auto"/>
              </w:rPr>
            </w:pPr>
          </w:p>
        </w:tc>
      </w:tr>
    </w:tbl>
    <w:p>
      <w:pPr>
        <w:sectPr>
          <w:pgSz w:w="11900" w:h="16900" w:orient="portrait"/>
          <w:cols w:equalWidth="0" w:num="1">
            <w:col w:w="11240"/>
          </w:cols>
          <w:pgMar w:left="320" w:top="760" w:right="339" w:bottom="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680" w:type="dxa"/>
            <w:vAlign w:val="bottom"/>
            <w:shd w:val="clear" w:color="auto" w:fill="E5F1F8"/>
          </w:tcPr>
          <w:p>
            <w:pPr>
              <w:ind w:left="20"/>
              <w:spacing w:after="0"/>
              <w:rPr>
                <w:sz w:val="20"/>
                <w:szCs w:val="20"/>
                <w:color w:val="auto"/>
              </w:rPr>
            </w:pPr>
            <w:r>
              <w:rPr>
                <w:rFonts w:ascii="Calibri" w:cs="Calibri" w:eastAsia="Calibri" w:hAnsi="Calibri"/>
                <w:sz w:val="18"/>
                <w:szCs w:val="18"/>
                <w:color w:val="auto"/>
              </w:rPr>
              <w:t>Bowling Green South</w:t>
            </w:r>
          </w:p>
        </w:tc>
        <w:tc>
          <w:tcPr>
            <w:tcW w:w="640" w:type="dxa"/>
            <w:vAlign w:val="bottom"/>
            <w:shd w:val="clear" w:color="auto" w:fill="E5F1F8"/>
          </w:tcPr>
          <w:p>
            <w:pPr>
              <w:ind w:left="120"/>
              <w:spacing w:after="0"/>
              <w:rPr>
                <w:sz w:val="20"/>
                <w:szCs w:val="20"/>
                <w:color w:val="auto"/>
              </w:rPr>
            </w:pPr>
            <w:r>
              <w:rPr>
                <w:rFonts w:ascii="Calibri" w:cs="Calibri" w:eastAsia="Calibri" w:hAnsi="Calibri"/>
                <w:sz w:val="18"/>
                <w:szCs w:val="18"/>
                <w:color w:val="auto"/>
              </w:rPr>
              <w:t>15000</w:t>
            </w:r>
          </w:p>
        </w:tc>
        <w:tc>
          <w:tcPr>
            <w:tcW w:w="700" w:type="dxa"/>
            <w:vAlign w:val="bottom"/>
            <w:shd w:val="clear" w:color="auto" w:fill="E5F1F8"/>
          </w:tcPr>
          <w:p>
            <w:pPr>
              <w:jc w:val="right"/>
              <w:ind w:right="190"/>
              <w:spacing w:after="0"/>
              <w:rPr>
                <w:sz w:val="20"/>
                <w:szCs w:val="20"/>
                <w:color w:val="auto"/>
              </w:rPr>
            </w:pPr>
            <w:r>
              <w:rPr>
                <w:rFonts w:ascii="Calibri" w:cs="Calibri" w:eastAsia="Calibri" w:hAnsi="Calibri"/>
                <w:sz w:val="18"/>
                <w:szCs w:val="18"/>
                <w:color w:val="auto"/>
              </w:rPr>
              <w:t>0</w:t>
            </w:r>
          </w:p>
        </w:tc>
        <w:tc>
          <w:tcPr>
            <w:tcW w:w="640" w:type="dxa"/>
            <w:vAlign w:val="bottom"/>
            <w:shd w:val="clear" w:color="auto" w:fill="E5F1F8"/>
          </w:tcPr>
          <w:p>
            <w:pPr>
              <w:jc w:val="right"/>
              <w:ind w:right="190"/>
              <w:spacing w:after="0"/>
              <w:rPr>
                <w:sz w:val="20"/>
                <w:szCs w:val="20"/>
                <w:color w:val="auto"/>
              </w:rPr>
            </w:pPr>
            <w:r>
              <w:rPr>
                <w:rFonts w:ascii="Calibri" w:cs="Calibri" w:eastAsia="Calibri" w:hAnsi="Calibri"/>
                <w:sz w:val="18"/>
                <w:szCs w:val="18"/>
                <w:color w:val="auto"/>
              </w:rPr>
              <w:t>0</w:t>
            </w:r>
          </w:p>
        </w:tc>
        <w:tc>
          <w:tcPr>
            <w:tcW w:w="680" w:type="dxa"/>
            <w:vAlign w:val="bottom"/>
            <w:shd w:val="clear" w:color="auto" w:fill="E5F1F8"/>
          </w:tcPr>
          <w:p>
            <w:pPr>
              <w:jc w:val="right"/>
              <w:ind w:right="210"/>
              <w:spacing w:after="0"/>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150"/>
              <w:spacing w:after="0"/>
              <w:rPr>
                <w:sz w:val="20"/>
                <w:szCs w:val="20"/>
                <w:color w:val="auto"/>
              </w:rPr>
            </w:pPr>
            <w:r>
              <w:rPr>
                <w:rFonts w:ascii="Calibri" w:cs="Calibri" w:eastAsia="Calibri" w:hAnsi="Calibri"/>
                <w:sz w:val="18"/>
                <w:szCs w:val="18"/>
                <w:color w:val="auto"/>
              </w:rPr>
              <w:t>0</w:t>
            </w:r>
          </w:p>
        </w:tc>
        <w:tc>
          <w:tcPr>
            <w:tcW w:w="460" w:type="dxa"/>
            <w:vAlign w:val="bottom"/>
            <w:shd w:val="clear" w:color="auto" w:fill="E5F1F8"/>
          </w:tcPr>
          <w:p>
            <w:pPr>
              <w:jc w:val="right"/>
              <w:ind w:right="30"/>
              <w:spacing w:after="0"/>
              <w:rPr>
                <w:sz w:val="20"/>
                <w:szCs w:val="20"/>
                <w:color w:val="auto"/>
              </w:rPr>
            </w:pPr>
            <w:r>
              <w:rPr>
                <w:rFonts w:ascii="Calibri" w:cs="Calibri" w:eastAsia="Calibri" w:hAnsi="Calibri"/>
                <w:sz w:val="18"/>
                <w:szCs w:val="18"/>
                <w:color w:val="auto"/>
              </w:rPr>
              <w:t>0</w:t>
            </w:r>
          </w:p>
        </w:tc>
        <w:tc>
          <w:tcPr>
            <w:tcW w:w="460" w:type="dxa"/>
            <w:vAlign w:val="bottom"/>
            <w:shd w:val="clear" w:color="auto" w:fill="E5F1F8"/>
          </w:tcPr>
          <w:p>
            <w:pPr>
              <w:jc w:val="right"/>
              <w:ind w:right="150"/>
              <w:spacing w:after="0"/>
              <w:rPr>
                <w:sz w:val="20"/>
                <w:szCs w:val="20"/>
                <w:color w:val="auto"/>
              </w:rPr>
            </w:pPr>
            <w:r>
              <w:rPr>
                <w:rFonts w:ascii="Calibri" w:cs="Calibri" w:eastAsia="Calibri" w:hAnsi="Calibri"/>
                <w:sz w:val="18"/>
                <w:szCs w:val="18"/>
                <w:b w:val="1"/>
                <w:bCs w:val="1"/>
                <w:color w:val="auto"/>
              </w:rPr>
              <w:t>$</w:t>
            </w:r>
          </w:p>
        </w:tc>
        <w:tc>
          <w:tcPr>
            <w:tcW w:w="800" w:type="dxa"/>
            <w:vAlign w:val="bottom"/>
            <w:shd w:val="clear" w:color="auto" w:fill="E5F1F8"/>
          </w:tcPr>
          <w:p>
            <w:pPr>
              <w:jc w:val="right"/>
              <w:ind w:right="210"/>
              <w:spacing w:after="0"/>
              <w:rPr>
                <w:sz w:val="20"/>
                <w:szCs w:val="20"/>
                <w:color w:val="auto"/>
              </w:rPr>
            </w:pPr>
            <w:r>
              <w:rPr>
                <w:rFonts w:ascii="Calibri" w:cs="Calibri" w:eastAsia="Calibri" w:hAnsi="Calibri"/>
                <w:sz w:val="18"/>
                <w:szCs w:val="18"/>
                <w:b w:val="1"/>
                <w:bCs w:val="1"/>
                <w:color w:val="auto"/>
              </w:rPr>
              <w:t>0</w:t>
            </w:r>
          </w:p>
        </w:tc>
        <w:tc>
          <w:tcPr>
            <w:tcW w:w="780" w:type="dxa"/>
            <w:vAlign w:val="bottom"/>
            <w:shd w:val="clear" w:color="auto" w:fill="E5F1F8"/>
          </w:tcPr>
          <w:p>
            <w:pPr>
              <w:jc w:val="right"/>
              <w:ind w:right="310"/>
              <w:spacing w:after="0"/>
              <w:rPr>
                <w:sz w:val="20"/>
                <w:szCs w:val="20"/>
                <w:color w:val="auto"/>
              </w:rPr>
            </w:pPr>
            <w:r>
              <w:rPr>
                <w:rFonts w:ascii="Calibri" w:cs="Calibri" w:eastAsia="Calibri" w:hAnsi="Calibri"/>
                <w:sz w:val="18"/>
                <w:szCs w:val="18"/>
                <w:color w:val="auto"/>
              </w:rPr>
              <w:t>0</w:t>
            </w:r>
          </w:p>
        </w:tc>
        <w:tc>
          <w:tcPr>
            <w:tcW w:w="880" w:type="dxa"/>
            <w:vAlign w:val="bottom"/>
            <w:shd w:val="clear" w:color="auto" w:fill="E5F1F8"/>
          </w:tcPr>
          <w:p>
            <w:pPr>
              <w:ind w:left="380"/>
              <w:spacing w:after="0"/>
              <w:rPr>
                <w:sz w:val="20"/>
                <w:szCs w:val="20"/>
                <w:color w:val="auto"/>
              </w:rPr>
            </w:pPr>
            <w:r>
              <w:rPr>
                <w:rFonts w:ascii="Calibri" w:cs="Calibri" w:eastAsia="Calibri" w:hAnsi="Calibri"/>
                <w:sz w:val="18"/>
                <w:szCs w:val="18"/>
                <w:color w:val="auto"/>
              </w:rPr>
              <w:t>no</w:t>
            </w:r>
          </w:p>
        </w:tc>
        <w:tc>
          <w:tcPr>
            <w:tcW w:w="800" w:type="dxa"/>
            <w:vAlign w:val="bottom"/>
            <w:shd w:val="clear" w:color="auto" w:fill="E5F1F8"/>
          </w:tcPr>
          <w:p>
            <w:pPr>
              <w:ind w:left="320"/>
              <w:spacing w:after="0"/>
              <w:rPr>
                <w:sz w:val="20"/>
                <w:szCs w:val="20"/>
                <w:color w:val="auto"/>
              </w:rPr>
            </w:pPr>
            <w:r>
              <w:rPr>
                <w:rFonts w:ascii="Calibri" w:cs="Calibri" w:eastAsia="Calibri" w:hAnsi="Calibri"/>
                <w:sz w:val="18"/>
                <w:szCs w:val="18"/>
                <w:color w:val="auto"/>
              </w:rPr>
              <w:t>no</w:t>
            </w:r>
          </w:p>
        </w:tc>
        <w:tc>
          <w:tcPr>
            <w:tcW w:w="620" w:type="dxa"/>
            <w:vAlign w:val="bottom"/>
            <w:shd w:val="clear" w:color="auto" w:fill="E5F1F8"/>
          </w:tcPr>
          <w:p>
            <w:pPr>
              <w:jc w:val="right"/>
              <w:ind w:right="150"/>
              <w:spacing w:after="0"/>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230"/>
              <w:spacing w:after="0"/>
              <w:rPr>
                <w:sz w:val="20"/>
                <w:szCs w:val="20"/>
                <w:color w:val="auto"/>
              </w:rPr>
            </w:pPr>
            <w:r>
              <w:rPr>
                <w:rFonts w:ascii="Calibri" w:cs="Calibri" w:eastAsia="Calibri" w:hAnsi="Calibri"/>
                <w:sz w:val="18"/>
                <w:szCs w:val="18"/>
                <w:color w:val="auto"/>
              </w:rPr>
              <w:t>0</w:t>
            </w:r>
          </w:p>
        </w:tc>
        <w:tc>
          <w:tcPr>
            <w:tcW w:w="780" w:type="dxa"/>
            <w:vAlign w:val="bottom"/>
            <w:shd w:val="clear" w:color="auto" w:fill="E5F1F8"/>
          </w:tcPr>
          <w:p>
            <w:pPr>
              <w:jc w:val="right"/>
              <w:ind w:right="290"/>
              <w:spacing w:after="0"/>
              <w:rPr>
                <w:sz w:val="20"/>
                <w:szCs w:val="20"/>
                <w:color w:val="auto"/>
              </w:rPr>
            </w:pPr>
            <w:r>
              <w:rPr>
                <w:rFonts w:ascii="Calibri" w:cs="Calibri" w:eastAsia="Calibri" w:hAnsi="Calibri"/>
                <w:sz w:val="18"/>
                <w:szCs w:val="18"/>
                <w:color w:val="auto"/>
              </w:rPr>
              <w:t>0</w:t>
            </w:r>
          </w:p>
        </w:tc>
      </w:tr>
      <w:tr>
        <w:trPr>
          <w:trHeight w:val="259"/>
        </w:trPr>
        <w:tc>
          <w:tcPr>
            <w:tcW w:w="16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Quarry</w:t>
            </w:r>
          </w:p>
        </w:tc>
        <w:tc>
          <w:tcPr>
            <w:tcW w:w="64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25</w:t>
            </w:r>
          </w:p>
        </w:tc>
        <w:tc>
          <w:tcPr>
            <w:tcW w:w="700" w:type="dxa"/>
            <w:vAlign w:val="bottom"/>
            <w:tcBorders>
              <w:bottom w:val="single" w:sz="8" w:color="E5F1F8"/>
            </w:tcBorders>
            <w:shd w:val="clear" w:color="auto" w:fill="E5F1F8"/>
          </w:tcPr>
          <w:p>
            <w:pPr>
              <w:spacing w:after="0"/>
              <w:rPr>
                <w:sz w:val="22"/>
                <w:szCs w:val="22"/>
                <w:color w:val="auto"/>
              </w:rPr>
            </w:pPr>
          </w:p>
        </w:tc>
        <w:tc>
          <w:tcPr>
            <w:tcW w:w="640" w:type="dxa"/>
            <w:vAlign w:val="bottom"/>
            <w:tcBorders>
              <w:bottom w:val="single" w:sz="8" w:color="E5F1F8"/>
            </w:tcBorders>
            <w:shd w:val="clear" w:color="auto" w:fill="E5F1F8"/>
          </w:tcPr>
          <w:p>
            <w:pPr>
              <w:spacing w:after="0"/>
              <w:rPr>
                <w:sz w:val="22"/>
                <w:szCs w:val="22"/>
                <w:color w:val="auto"/>
              </w:rPr>
            </w:pPr>
          </w:p>
        </w:tc>
        <w:tc>
          <w:tcPr>
            <w:tcW w:w="680" w:type="dxa"/>
            <w:vAlign w:val="bottom"/>
            <w:tcBorders>
              <w:bottom w:val="single" w:sz="8" w:color="E5F1F8"/>
            </w:tcBorders>
            <w:shd w:val="clear" w:color="auto" w:fill="E5F1F8"/>
          </w:tcPr>
          <w:p>
            <w:pPr>
              <w:spacing w:after="0"/>
              <w:rPr>
                <w:sz w:val="22"/>
                <w:szCs w:val="22"/>
                <w:color w:val="auto"/>
              </w:rPr>
            </w:pPr>
          </w:p>
        </w:tc>
        <w:tc>
          <w:tcPr>
            <w:tcW w:w="660" w:type="dxa"/>
            <w:vAlign w:val="bottom"/>
            <w:tcBorders>
              <w:bottom w:val="single" w:sz="8" w:color="E5F1F8"/>
            </w:tcBorders>
            <w:shd w:val="clear" w:color="auto" w:fill="E5F1F8"/>
          </w:tcPr>
          <w:p>
            <w:pPr>
              <w:spacing w:after="0"/>
              <w:rPr>
                <w:sz w:val="22"/>
                <w:szCs w:val="22"/>
                <w:color w:val="auto"/>
              </w:rPr>
            </w:pPr>
          </w:p>
        </w:tc>
        <w:tc>
          <w:tcPr>
            <w:tcW w:w="460" w:type="dxa"/>
            <w:vAlign w:val="bottom"/>
            <w:tcBorders>
              <w:bottom w:val="single" w:sz="8" w:color="E5F1F8"/>
            </w:tcBorders>
            <w:shd w:val="clear" w:color="auto" w:fill="E5F1F8"/>
          </w:tcPr>
          <w:p>
            <w:pPr>
              <w:spacing w:after="0"/>
              <w:rPr>
                <w:sz w:val="22"/>
                <w:szCs w:val="22"/>
                <w:color w:val="auto"/>
              </w:rPr>
            </w:pPr>
          </w:p>
        </w:tc>
        <w:tc>
          <w:tcPr>
            <w:tcW w:w="460" w:type="dxa"/>
            <w:vAlign w:val="bottom"/>
            <w:tcBorders>
              <w:bottom w:val="single" w:sz="8" w:color="E5F1F8"/>
            </w:tcBorders>
            <w:shd w:val="clear" w:color="auto" w:fill="E5F1F8"/>
          </w:tcPr>
          <w:p>
            <w:pPr>
              <w:spacing w:after="0"/>
              <w:rPr>
                <w:sz w:val="22"/>
                <w:szCs w:val="22"/>
                <w:color w:val="auto"/>
              </w:rPr>
            </w:pPr>
          </w:p>
        </w:tc>
        <w:tc>
          <w:tcPr>
            <w:tcW w:w="800" w:type="dxa"/>
            <w:vAlign w:val="bottom"/>
            <w:tcBorders>
              <w:bottom w:val="single" w:sz="8" w:color="E5F1F8"/>
            </w:tcBorders>
            <w:shd w:val="clear" w:color="auto" w:fill="E5F1F8"/>
          </w:tcPr>
          <w:p>
            <w:pPr>
              <w:spacing w:after="0"/>
              <w:rPr>
                <w:sz w:val="22"/>
                <w:szCs w:val="22"/>
                <w:color w:val="auto"/>
              </w:rPr>
            </w:pPr>
          </w:p>
        </w:tc>
        <w:tc>
          <w:tcPr>
            <w:tcW w:w="780" w:type="dxa"/>
            <w:vAlign w:val="bottom"/>
            <w:tcBorders>
              <w:bottom w:val="single" w:sz="8" w:color="E5F1F8"/>
            </w:tcBorders>
            <w:shd w:val="clear" w:color="auto" w:fill="E5F1F8"/>
          </w:tcPr>
          <w:p>
            <w:pPr>
              <w:spacing w:after="0"/>
              <w:rPr>
                <w:sz w:val="22"/>
                <w:szCs w:val="22"/>
                <w:color w:val="auto"/>
              </w:rPr>
            </w:pPr>
          </w:p>
        </w:tc>
        <w:tc>
          <w:tcPr>
            <w:tcW w:w="880" w:type="dxa"/>
            <w:vAlign w:val="bottom"/>
            <w:tcBorders>
              <w:bottom w:val="single" w:sz="8" w:color="E5F1F8"/>
            </w:tcBorders>
            <w:shd w:val="clear" w:color="auto" w:fill="E5F1F8"/>
          </w:tcPr>
          <w:p>
            <w:pPr>
              <w:spacing w:after="0"/>
              <w:rPr>
                <w:sz w:val="22"/>
                <w:szCs w:val="22"/>
                <w:color w:val="auto"/>
              </w:rPr>
            </w:pPr>
          </w:p>
        </w:tc>
        <w:tc>
          <w:tcPr>
            <w:tcW w:w="800" w:type="dxa"/>
            <w:vAlign w:val="bottom"/>
            <w:tcBorders>
              <w:bottom w:val="single" w:sz="8" w:color="E5F1F8"/>
            </w:tcBorders>
            <w:shd w:val="clear" w:color="auto" w:fill="E5F1F8"/>
          </w:tcPr>
          <w:p>
            <w:pPr>
              <w:spacing w:after="0"/>
              <w:rPr>
                <w:sz w:val="22"/>
                <w:szCs w:val="22"/>
                <w:color w:val="auto"/>
              </w:rPr>
            </w:pPr>
          </w:p>
        </w:tc>
        <w:tc>
          <w:tcPr>
            <w:tcW w:w="620" w:type="dxa"/>
            <w:vAlign w:val="bottom"/>
            <w:tcBorders>
              <w:bottom w:val="single" w:sz="8" w:color="E5F1F8"/>
            </w:tcBorders>
            <w:shd w:val="clear" w:color="auto" w:fill="E5F1F8"/>
          </w:tcPr>
          <w:p>
            <w:pPr>
              <w:spacing w:after="0"/>
              <w:rPr>
                <w:sz w:val="22"/>
                <w:szCs w:val="22"/>
                <w:color w:val="auto"/>
              </w:rPr>
            </w:pPr>
          </w:p>
        </w:tc>
        <w:tc>
          <w:tcPr>
            <w:tcW w:w="660" w:type="dxa"/>
            <w:vAlign w:val="bottom"/>
            <w:tcBorders>
              <w:bottom w:val="single" w:sz="8" w:color="E5F1F8"/>
            </w:tcBorders>
            <w:shd w:val="clear" w:color="auto" w:fill="E5F1F8"/>
          </w:tcPr>
          <w:p>
            <w:pPr>
              <w:spacing w:after="0"/>
              <w:rPr>
                <w:sz w:val="22"/>
                <w:szCs w:val="22"/>
                <w:color w:val="auto"/>
              </w:rPr>
            </w:pPr>
          </w:p>
        </w:tc>
        <w:tc>
          <w:tcPr>
            <w:tcW w:w="780" w:type="dxa"/>
            <w:vAlign w:val="bottom"/>
            <w:tcBorders>
              <w:bottom w:val="single" w:sz="8" w:color="E5F1F8"/>
            </w:tcBorders>
            <w:shd w:val="clear" w:color="auto" w:fill="E5F1F8"/>
          </w:tcPr>
          <w:p>
            <w:pPr>
              <w:spacing w:after="0"/>
              <w:rPr>
                <w:sz w:val="22"/>
                <w:szCs w:val="22"/>
                <w:color w:val="auto"/>
              </w:rPr>
            </w:pPr>
          </w:p>
        </w:tc>
      </w:tr>
      <w:tr>
        <w:trPr>
          <w:trHeight w:val="180"/>
        </w:trPr>
        <w:tc>
          <w:tcPr>
            <w:tcW w:w="1680" w:type="dxa"/>
            <w:vAlign w:val="bottom"/>
          </w:tcPr>
          <w:p>
            <w:pPr>
              <w:spacing w:after="0"/>
              <w:rPr>
                <w:sz w:val="15"/>
                <w:szCs w:val="15"/>
                <w:color w:val="auto"/>
              </w:rPr>
            </w:pPr>
          </w:p>
        </w:tc>
        <w:tc>
          <w:tcPr>
            <w:tcW w:w="640" w:type="dxa"/>
            <w:vAlign w:val="bottom"/>
          </w:tcPr>
          <w:p>
            <w:pPr>
              <w:ind w:left="120"/>
              <w:spacing w:after="0" w:line="180" w:lineRule="exact"/>
              <w:rPr>
                <w:sz w:val="20"/>
                <w:szCs w:val="20"/>
                <w:color w:val="auto"/>
              </w:rPr>
            </w:pPr>
            <w:r>
              <w:rPr>
                <w:rFonts w:ascii="Calibri" w:cs="Calibri" w:eastAsia="Calibri" w:hAnsi="Calibri"/>
                <w:sz w:val="18"/>
                <w:szCs w:val="18"/>
                <w:color w:val="auto"/>
              </w:rPr>
              <w:t>46088</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5"/>
        </w:trPr>
        <w:tc>
          <w:tcPr>
            <w:tcW w:w="1680" w:type="dxa"/>
            <w:vAlign w:val="bottom"/>
          </w:tcPr>
          <w:p>
            <w:pPr>
              <w:ind w:left="20"/>
              <w:spacing w:after="0" w:line="215" w:lineRule="exact"/>
              <w:rPr>
                <w:sz w:val="20"/>
                <w:szCs w:val="20"/>
                <w:color w:val="auto"/>
              </w:rPr>
            </w:pPr>
            <w:r>
              <w:rPr>
                <w:rFonts w:ascii="Calibri" w:cs="Calibri" w:eastAsia="Calibri" w:hAnsi="Calibri"/>
                <w:sz w:val="18"/>
                <w:szCs w:val="18"/>
                <w:color w:val="auto"/>
              </w:rPr>
              <w:t>Burning Springs Mine</w:t>
            </w:r>
          </w:p>
        </w:tc>
        <w:tc>
          <w:tcPr>
            <w:tcW w:w="640" w:type="dxa"/>
            <w:vAlign w:val="bottom"/>
          </w:tcPr>
          <w:p>
            <w:pPr>
              <w:ind w:left="120"/>
              <w:spacing w:after="0" w:line="215" w:lineRule="exact"/>
              <w:rPr>
                <w:sz w:val="20"/>
                <w:szCs w:val="20"/>
                <w:color w:val="auto"/>
              </w:rPr>
            </w:pPr>
            <w:r>
              <w:rPr>
                <w:rFonts w:ascii="Calibri" w:cs="Calibri" w:eastAsia="Calibri" w:hAnsi="Calibri"/>
                <w:sz w:val="18"/>
                <w:szCs w:val="18"/>
                <w:color w:val="auto"/>
              </w:rPr>
              <w:t>62</w:t>
            </w:r>
          </w:p>
        </w:tc>
        <w:tc>
          <w:tcPr>
            <w:tcW w:w="7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150"/>
              <w:spacing w:after="0" w:line="215" w:lineRule="exact"/>
              <w:rPr>
                <w:sz w:val="20"/>
                <w:szCs w:val="20"/>
                <w:color w:val="auto"/>
              </w:rPr>
            </w:pPr>
            <w:r>
              <w:rPr>
                <w:rFonts w:ascii="Calibri" w:cs="Calibri" w:eastAsia="Calibri" w:hAnsi="Calibri"/>
                <w:sz w:val="18"/>
                <w:szCs w:val="18"/>
                <w:b w:val="1"/>
                <w:bCs w:val="1"/>
                <w:color w:val="auto"/>
              </w:rPr>
              <w:t>$</w:t>
            </w:r>
          </w:p>
        </w:tc>
        <w:tc>
          <w:tcPr>
            <w:tcW w:w="80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341</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right"/>
              <w:ind w:right="290"/>
              <w:spacing w:after="0" w:line="215" w:lineRule="exact"/>
              <w:rPr>
                <w:sz w:val="20"/>
                <w:szCs w:val="20"/>
                <w:color w:val="auto"/>
              </w:rPr>
            </w:pPr>
            <w:r>
              <w:rPr>
                <w:rFonts w:ascii="Calibri" w:cs="Calibri" w:eastAsia="Calibri" w:hAnsi="Calibri"/>
                <w:sz w:val="18"/>
                <w:szCs w:val="18"/>
                <w:color w:val="auto"/>
              </w:rPr>
              <w:t>0</w:t>
            </w:r>
          </w:p>
        </w:tc>
      </w:tr>
      <w:tr>
        <w:trPr>
          <w:trHeight w:val="37"/>
        </w:trPr>
        <w:tc>
          <w:tcPr>
            <w:tcW w:w="1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7"/>
        </w:trPr>
        <w:tc>
          <w:tcPr>
            <w:tcW w:w="1680" w:type="dxa"/>
            <w:vAlign w:val="bottom"/>
            <w:shd w:val="clear" w:color="auto" w:fill="E5F1F8"/>
          </w:tcPr>
          <w:p>
            <w:pPr>
              <w:spacing w:after="0"/>
              <w:rPr>
                <w:sz w:val="18"/>
                <w:szCs w:val="18"/>
                <w:color w:val="auto"/>
              </w:rPr>
            </w:pPr>
          </w:p>
        </w:tc>
        <w:tc>
          <w:tcPr>
            <w:tcW w:w="640" w:type="dxa"/>
            <w:vAlign w:val="bottom"/>
            <w:shd w:val="clear" w:color="auto" w:fill="E5F1F8"/>
          </w:tcPr>
          <w:p>
            <w:pPr>
              <w:ind w:left="120"/>
              <w:spacing w:after="0" w:line="207" w:lineRule="exact"/>
              <w:rPr>
                <w:sz w:val="20"/>
                <w:szCs w:val="20"/>
                <w:color w:val="auto"/>
              </w:rPr>
            </w:pPr>
            <w:r>
              <w:rPr>
                <w:rFonts w:ascii="Calibri" w:cs="Calibri" w:eastAsia="Calibri" w:hAnsi="Calibri"/>
                <w:sz w:val="18"/>
                <w:szCs w:val="18"/>
                <w:color w:val="auto"/>
              </w:rPr>
              <w:t>12021</w:t>
            </w:r>
          </w:p>
        </w:tc>
        <w:tc>
          <w:tcPr>
            <w:tcW w:w="70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r>
      <w:tr>
        <w:trPr>
          <w:trHeight w:val="232"/>
        </w:trPr>
        <w:tc>
          <w:tcPr>
            <w:tcW w:w="16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Carmel Sand</w:t>
            </w:r>
          </w:p>
        </w:tc>
        <w:tc>
          <w:tcPr>
            <w:tcW w:w="640" w:type="dxa"/>
            <w:vAlign w:val="bottom"/>
            <w:tcBorders>
              <w:bottom w:val="single" w:sz="8" w:color="E5F1F8"/>
            </w:tcBorders>
            <w:shd w:val="clear" w:color="auto" w:fill="E5F1F8"/>
          </w:tcPr>
          <w:p>
            <w:pPr>
              <w:ind w:left="120"/>
              <w:spacing w:after="0" w:line="215" w:lineRule="exact"/>
              <w:rPr>
                <w:sz w:val="20"/>
                <w:szCs w:val="20"/>
                <w:color w:val="auto"/>
              </w:rPr>
            </w:pPr>
            <w:r>
              <w:rPr>
                <w:rFonts w:ascii="Calibri" w:cs="Calibri" w:eastAsia="Calibri" w:hAnsi="Calibri"/>
                <w:sz w:val="18"/>
                <w:szCs w:val="18"/>
                <w:color w:val="auto"/>
              </w:rPr>
              <w:t>24</w:t>
            </w:r>
          </w:p>
        </w:tc>
        <w:tc>
          <w:tcPr>
            <w:tcW w:w="70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b w:val="1"/>
                <w:bCs w:val="1"/>
                <w:color w:val="auto"/>
              </w:rPr>
              <w:t>$</w:t>
            </w:r>
          </w:p>
        </w:tc>
        <w:tc>
          <w:tcPr>
            <w:tcW w:w="80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30"/>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right"/>
              <w:ind w:right="290"/>
              <w:spacing w:after="0" w:line="215" w:lineRule="exact"/>
              <w:rPr>
                <w:sz w:val="20"/>
                <w:szCs w:val="20"/>
                <w:color w:val="auto"/>
              </w:rPr>
            </w:pPr>
            <w:r>
              <w:rPr>
                <w:rFonts w:ascii="Calibri" w:cs="Calibri" w:eastAsia="Calibri" w:hAnsi="Calibri"/>
                <w:sz w:val="18"/>
                <w:szCs w:val="18"/>
                <w:color w:val="auto"/>
              </w:rPr>
              <w:t>0</w:t>
            </w:r>
          </w:p>
        </w:tc>
      </w:tr>
      <w:tr>
        <w:trPr>
          <w:trHeight w:val="1168"/>
        </w:trPr>
        <w:tc>
          <w:tcPr>
            <w:tcW w:w="1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29146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1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144" w:name="page145"/>
    <w:bookmarkEnd w:id="14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center"/>
              <w:ind w:left="70"/>
              <w:spacing w:after="0"/>
              <w:rPr>
                <w:sz w:val="20"/>
                <w:szCs w:val="20"/>
                <w:color w:val="auto"/>
              </w:rPr>
            </w:pPr>
            <w:r>
              <w:rPr>
                <w:rFonts w:ascii="Calibri" w:cs="Calibri" w:eastAsia="Calibri" w:hAnsi="Calibri"/>
                <w:sz w:val="18"/>
                <w:szCs w:val="18"/>
                <w:color w:val="auto"/>
                <w:w w:val="97"/>
              </w:rPr>
              <w:t>Appendix 1</w:t>
            </w:r>
          </w:p>
        </w:tc>
      </w:tr>
      <w:tr>
        <w:trPr>
          <w:trHeight w:val="662"/>
        </w:trPr>
        <w:tc>
          <w:tcPr>
            <w:tcW w:w="176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Calibri" w:cs="Calibri" w:eastAsia="Calibri" w:hAnsi="Calibri"/>
                <w:sz w:val="18"/>
                <w:szCs w:val="18"/>
                <w:color w:val="auto"/>
              </w:rPr>
              <w:t>13001</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760" w:type="dxa"/>
            <w:vAlign w:val="bottom"/>
          </w:tcPr>
          <w:p>
            <w:pPr>
              <w:ind w:left="20"/>
              <w:spacing w:after="0" w:line="216" w:lineRule="exact"/>
              <w:rPr>
                <w:sz w:val="20"/>
                <w:szCs w:val="20"/>
                <w:color w:val="auto"/>
              </w:rPr>
            </w:pPr>
            <w:r>
              <w:rPr>
                <w:rFonts w:ascii="Calibri" w:cs="Calibri" w:eastAsia="Calibri" w:hAnsi="Calibri"/>
                <w:sz w:val="18"/>
                <w:szCs w:val="18"/>
                <w:color w:val="auto"/>
              </w:rPr>
              <w:t>Cedar Rapids Quarry</w:t>
            </w:r>
          </w:p>
        </w:tc>
        <w:tc>
          <w:tcPr>
            <w:tcW w:w="700" w:type="dxa"/>
            <w:vAlign w:val="bottom"/>
          </w:tcPr>
          <w:p>
            <w:pPr>
              <w:ind w:left="40"/>
              <w:spacing w:after="0" w:line="216" w:lineRule="exact"/>
              <w:rPr>
                <w:sz w:val="20"/>
                <w:szCs w:val="20"/>
                <w:color w:val="auto"/>
              </w:rPr>
            </w:pPr>
            <w:r>
              <w:rPr>
                <w:rFonts w:ascii="Calibri" w:cs="Calibri" w:eastAsia="Calibri" w:hAnsi="Calibri"/>
                <w:sz w:val="18"/>
                <w:szCs w:val="18"/>
                <w:color w:val="auto"/>
              </w:rPr>
              <w:t>22</w:t>
            </w:r>
          </w:p>
        </w:tc>
        <w:tc>
          <w:tcPr>
            <w:tcW w:w="56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6"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6" w:lineRule="exact"/>
              <w:rPr>
                <w:sz w:val="20"/>
                <w:szCs w:val="20"/>
                <w:color w:val="auto"/>
              </w:rPr>
            </w:pPr>
            <w:r>
              <w:rPr>
                <w:rFonts w:ascii="Calibri" w:cs="Calibri" w:eastAsia="Calibri" w:hAnsi="Calibri"/>
                <w:sz w:val="18"/>
                <w:szCs w:val="18"/>
                <w:b w:val="1"/>
                <w:bCs w:val="1"/>
                <w:color w:val="auto"/>
              </w:rPr>
              <w:t>133</w:t>
            </w:r>
          </w:p>
        </w:tc>
        <w:tc>
          <w:tcPr>
            <w:tcW w:w="780" w:type="dxa"/>
            <w:vAlign w:val="bottom"/>
          </w:tcPr>
          <w:p>
            <w:pPr>
              <w:jc w:val="right"/>
              <w:ind w:right="310"/>
              <w:spacing w:after="0" w:line="216"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6"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6"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6"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6"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33040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Cedarville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72</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12017</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Cloverdale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44</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6</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rPr>
              <w:t>Cumberland Quarry</w:t>
            </w: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15000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(Kentucky)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37</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13001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Des Moines Portable</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50</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w w:val="98"/>
              </w:rPr>
              <w:t>Des Moines Portable #2</w:t>
            </w: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13009</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Primary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32</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25010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Dubois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46</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1,222</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13012</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Durham Mine</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25</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1,283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33042</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E Town Sand Gravel</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79</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521</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13021</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Earlham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23</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4,002</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21012</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Elk River Wash Plant</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18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33013</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Fairfeld Sand &amp; Gravel</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96</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13001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Ferguson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24</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25013</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Fort Calhoun Mine UG</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00</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5</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12,778</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13000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Fort Dodge Mine</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32</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2,150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rPr>
              <w:t>Greenwood Quarry</w:t>
            </w: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23001</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New</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41</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562</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15000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Harlan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71</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182</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15000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Hartord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95</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399</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13021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Iowa Grading Plant 854</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26</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13023</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Iowa Grading 2</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16</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ind w:left="20"/>
              <w:spacing w:after="0" w:line="207" w:lineRule="exact"/>
              <w:rPr>
                <w:sz w:val="20"/>
                <w:szCs w:val="20"/>
                <w:color w:val="auto"/>
              </w:rPr>
            </w:pPr>
            <w:r>
              <w:rPr>
                <w:rFonts w:ascii="Calibri" w:cs="Calibri" w:eastAsia="Calibri" w:hAnsi="Calibri"/>
                <w:sz w:val="18"/>
                <w:szCs w:val="18"/>
                <w:color w:val="auto"/>
                <w:w w:val="99"/>
              </w:rPr>
              <w:t>Johnson County Sand &amp;</w:t>
            </w: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12025</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Gravel</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06</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12017</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Kentucky Ave Mine</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62</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9</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28,854</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1</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2</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3</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12021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Kokomo Mine UG</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05</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12022</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Kokomo Sand</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03</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973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12001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w w:val="97"/>
              </w:rPr>
              <w:t>Kokomo Stone (Surface)</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42</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4</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784</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1</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13022</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Linn County Sand</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08</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13001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Malcom Mine</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12</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3,455</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00A23</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Midwest Division OH</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54</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21011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MN Portable # 1</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12</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21015</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MN Portable # 2</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93</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21031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MN Portable # 3</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47</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143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21032</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MN Portable # 4</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87</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21011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MN Portable # 5</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10</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17"/>
        </w:trPr>
        <w:tc>
          <w:tcPr>
            <w:tcW w:w="1760" w:type="dxa"/>
            <w:vAlign w:val="bottom"/>
            <w:shd w:val="clear" w:color="auto" w:fill="E5F1F8"/>
          </w:tcPr>
          <w:p>
            <w:pPr>
              <w:spacing w:after="0"/>
              <w:rPr>
                <w:sz w:val="10"/>
                <w:szCs w:val="10"/>
                <w:color w:val="auto"/>
              </w:rPr>
            </w:pPr>
          </w:p>
        </w:tc>
        <w:tc>
          <w:tcPr>
            <w:tcW w:w="700" w:type="dxa"/>
            <w:vAlign w:val="bottom"/>
            <w:shd w:val="clear" w:color="auto" w:fill="E5F1F8"/>
          </w:tcPr>
          <w:p>
            <w:pPr>
              <w:spacing w:after="0"/>
              <w:rPr>
                <w:sz w:val="10"/>
                <w:szCs w:val="10"/>
                <w:color w:val="auto"/>
              </w:rPr>
            </w:pPr>
          </w:p>
        </w:tc>
        <w:tc>
          <w:tcPr>
            <w:tcW w:w="560" w:type="dxa"/>
            <w:vAlign w:val="bottom"/>
            <w:shd w:val="clear" w:color="auto" w:fill="E5F1F8"/>
          </w:tcPr>
          <w:p>
            <w:pPr>
              <w:spacing w:after="0"/>
              <w:rPr>
                <w:sz w:val="10"/>
                <w:szCs w:val="10"/>
                <w:color w:val="auto"/>
              </w:rPr>
            </w:pPr>
          </w:p>
        </w:tc>
        <w:tc>
          <w:tcPr>
            <w:tcW w:w="640" w:type="dxa"/>
            <w:vAlign w:val="bottom"/>
            <w:shd w:val="clear" w:color="auto" w:fill="E5F1F8"/>
          </w:tcPr>
          <w:p>
            <w:pPr>
              <w:spacing w:after="0"/>
              <w:rPr>
                <w:sz w:val="10"/>
                <w:szCs w:val="10"/>
                <w:color w:val="auto"/>
              </w:rPr>
            </w:pPr>
          </w:p>
        </w:tc>
        <w:tc>
          <w:tcPr>
            <w:tcW w:w="680" w:type="dxa"/>
            <w:vAlign w:val="bottom"/>
            <w:shd w:val="clear" w:color="auto" w:fill="E5F1F8"/>
          </w:tcPr>
          <w:p>
            <w:pPr>
              <w:spacing w:after="0"/>
              <w:rPr>
                <w:sz w:val="10"/>
                <w:szCs w:val="10"/>
                <w:color w:val="auto"/>
              </w:rPr>
            </w:pPr>
          </w:p>
        </w:tc>
        <w:tc>
          <w:tcPr>
            <w:tcW w:w="660" w:type="dxa"/>
            <w:vAlign w:val="bottom"/>
            <w:shd w:val="clear" w:color="auto" w:fill="E5F1F8"/>
          </w:tcPr>
          <w:p>
            <w:pPr>
              <w:spacing w:after="0"/>
              <w:rPr>
                <w:sz w:val="10"/>
                <w:szCs w:val="10"/>
                <w:color w:val="auto"/>
              </w:rPr>
            </w:pPr>
          </w:p>
        </w:tc>
        <w:tc>
          <w:tcPr>
            <w:tcW w:w="460" w:type="dxa"/>
            <w:vAlign w:val="bottom"/>
            <w:shd w:val="clear" w:color="auto" w:fill="E5F1F8"/>
          </w:tcPr>
          <w:p>
            <w:pPr>
              <w:spacing w:after="0"/>
              <w:rPr>
                <w:sz w:val="10"/>
                <w:szCs w:val="10"/>
                <w:color w:val="auto"/>
              </w:rPr>
            </w:pPr>
          </w:p>
        </w:tc>
        <w:tc>
          <w:tcPr>
            <w:tcW w:w="340" w:type="dxa"/>
            <w:vAlign w:val="bottom"/>
            <w:shd w:val="clear" w:color="auto" w:fill="E5F1F8"/>
          </w:tcPr>
          <w:p>
            <w:pPr>
              <w:spacing w:after="0"/>
              <w:rPr>
                <w:sz w:val="10"/>
                <w:szCs w:val="10"/>
                <w:color w:val="auto"/>
              </w:rPr>
            </w:pPr>
          </w:p>
        </w:tc>
        <w:tc>
          <w:tcPr>
            <w:tcW w:w="920" w:type="dxa"/>
            <w:vAlign w:val="bottom"/>
            <w:shd w:val="clear" w:color="auto" w:fill="E5F1F8"/>
          </w:tcPr>
          <w:p>
            <w:pPr>
              <w:spacing w:after="0"/>
              <w:rPr>
                <w:sz w:val="10"/>
                <w:szCs w:val="10"/>
                <w:color w:val="auto"/>
              </w:rPr>
            </w:pPr>
          </w:p>
        </w:tc>
        <w:tc>
          <w:tcPr>
            <w:tcW w:w="780" w:type="dxa"/>
            <w:vAlign w:val="bottom"/>
            <w:shd w:val="clear" w:color="auto" w:fill="E5F1F8"/>
          </w:tcPr>
          <w:p>
            <w:pPr>
              <w:spacing w:after="0"/>
              <w:rPr>
                <w:sz w:val="10"/>
                <w:szCs w:val="10"/>
                <w:color w:val="auto"/>
              </w:rPr>
            </w:pPr>
          </w:p>
        </w:tc>
        <w:tc>
          <w:tcPr>
            <w:tcW w:w="880" w:type="dxa"/>
            <w:vAlign w:val="bottom"/>
            <w:shd w:val="clear" w:color="auto" w:fill="E5F1F8"/>
          </w:tcPr>
          <w:p>
            <w:pPr>
              <w:spacing w:after="0"/>
              <w:rPr>
                <w:sz w:val="10"/>
                <w:szCs w:val="10"/>
                <w:color w:val="auto"/>
              </w:rPr>
            </w:pPr>
          </w:p>
        </w:tc>
        <w:tc>
          <w:tcPr>
            <w:tcW w:w="800" w:type="dxa"/>
            <w:vAlign w:val="bottom"/>
            <w:shd w:val="clear" w:color="auto" w:fill="E5F1F8"/>
          </w:tcPr>
          <w:p>
            <w:pPr>
              <w:spacing w:after="0"/>
              <w:rPr>
                <w:sz w:val="10"/>
                <w:szCs w:val="10"/>
                <w:color w:val="auto"/>
              </w:rPr>
            </w:pPr>
          </w:p>
        </w:tc>
        <w:tc>
          <w:tcPr>
            <w:tcW w:w="620" w:type="dxa"/>
            <w:vAlign w:val="bottom"/>
            <w:shd w:val="clear" w:color="auto" w:fill="E5F1F8"/>
          </w:tcPr>
          <w:p>
            <w:pPr>
              <w:spacing w:after="0"/>
              <w:rPr>
                <w:sz w:val="10"/>
                <w:szCs w:val="10"/>
                <w:color w:val="auto"/>
              </w:rPr>
            </w:pPr>
          </w:p>
        </w:tc>
        <w:tc>
          <w:tcPr>
            <w:tcW w:w="480" w:type="dxa"/>
            <w:vAlign w:val="bottom"/>
            <w:shd w:val="clear" w:color="auto" w:fill="E5F1F8"/>
          </w:tcPr>
          <w:p>
            <w:pPr>
              <w:spacing w:after="0"/>
              <w:rPr>
                <w:sz w:val="10"/>
                <w:szCs w:val="10"/>
                <w:color w:val="auto"/>
              </w:rPr>
            </w:pPr>
          </w:p>
        </w:tc>
        <w:tc>
          <w:tcPr>
            <w:tcW w:w="960" w:type="dxa"/>
            <w:vAlign w:val="bottom"/>
            <w:shd w:val="clear" w:color="auto" w:fill="E5F1F8"/>
          </w:tcPr>
          <w:p>
            <w:pPr>
              <w:spacing w:after="0"/>
              <w:rPr>
                <w:sz w:val="10"/>
                <w:szCs w:val="10"/>
                <w:color w:val="auto"/>
              </w:rPr>
            </w:pPr>
          </w:p>
        </w:tc>
      </w:tr>
    </w:tbl>
    <w:p>
      <w:pPr>
        <w:sectPr>
          <w:pgSz w:w="11900" w:h="16900" w:orient="portrait"/>
          <w:cols w:equalWidth="0" w:num="1">
            <w:col w:w="11240"/>
          </w:cols>
          <w:pgMar w:left="320" w:top="760" w:right="339" w:bottom="0" w:gutter="0" w:footer="0" w:header="0"/>
        </w:sectPr>
      </w:pPr>
    </w:p>
    <w:bookmarkStart w:id="145" w:name="page146"/>
    <w:bookmarkEnd w:id="1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80" w:type="dxa"/>
            <w:vAlign w:val="bottom"/>
            <w:shd w:val="clear" w:color="auto" w:fill="E5F1F8"/>
          </w:tcPr>
          <w:p>
            <w:pPr>
              <w:ind w:left="20"/>
              <w:spacing w:after="0"/>
              <w:rPr>
                <w:sz w:val="20"/>
                <w:szCs w:val="20"/>
                <w:color w:val="auto"/>
              </w:rPr>
            </w:pPr>
            <w:r>
              <w:rPr>
                <w:rFonts w:ascii="Calibri" w:cs="Calibri" w:eastAsia="Calibri" w:hAnsi="Calibri"/>
                <w:sz w:val="18"/>
                <w:szCs w:val="18"/>
                <w:color w:val="auto"/>
              </w:rPr>
              <w:t>MN Portable # 6</w:t>
            </w:r>
          </w:p>
        </w:tc>
        <w:tc>
          <w:tcPr>
            <w:tcW w:w="540" w:type="dxa"/>
            <w:vAlign w:val="bottom"/>
            <w:shd w:val="clear" w:color="auto" w:fill="E5F1F8"/>
          </w:tcPr>
          <w:p>
            <w:pPr>
              <w:ind w:left="20"/>
              <w:spacing w:after="0"/>
              <w:rPr>
                <w:sz w:val="20"/>
                <w:szCs w:val="20"/>
                <w:color w:val="auto"/>
              </w:rPr>
            </w:pPr>
            <w:r>
              <w:rPr>
                <w:rFonts w:ascii="Calibri" w:cs="Calibri" w:eastAsia="Calibri" w:hAnsi="Calibri"/>
                <w:sz w:val="18"/>
                <w:szCs w:val="18"/>
                <w:color w:val="auto"/>
              </w:rPr>
              <w:t>21031</w:t>
            </w:r>
          </w:p>
        </w:tc>
        <w:tc>
          <w:tcPr>
            <w:tcW w:w="700" w:type="dxa"/>
            <w:vAlign w:val="bottom"/>
            <w:shd w:val="clear" w:color="auto" w:fill="E5F1F8"/>
          </w:tcPr>
          <w:p>
            <w:pPr>
              <w:jc w:val="right"/>
              <w:ind w:right="190"/>
              <w:spacing w:after="0"/>
              <w:rPr>
                <w:sz w:val="20"/>
                <w:szCs w:val="20"/>
                <w:color w:val="auto"/>
              </w:rPr>
            </w:pPr>
            <w:r>
              <w:rPr>
                <w:rFonts w:ascii="Calibri" w:cs="Calibri" w:eastAsia="Calibri" w:hAnsi="Calibri"/>
                <w:sz w:val="18"/>
                <w:szCs w:val="18"/>
                <w:color w:val="auto"/>
              </w:rPr>
              <w:t>0</w:t>
            </w:r>
          </w:p>
        </w:tc>
        <w:tc>
          <w:tcPr>
            <w:tcW w:w="640" w:type="dxa"/>
            <w:vAlign w:val="bottom"/>
            <w:shd w:val="clear" w:color="auto" w:fill="E5F1F8"/>
          </w:tcPr>
          <w:p>
            <w:pPr>
              <w:jc w:val="right"/>
              <w:ind w:right="190"/>
              <w:spacing w:after="0"/>
              <w:rPr>
                <w:sz w:val="20"/>
                <w:szCs w:val="20"/>
                <w:color w:val="auto"/>
              </w:rPr>
            </w:pPr>
            <w:r>
              <w:rPr>
                <w:rFonts w:ascii="Calibri" w:cs="Calibri" w:eastAsia="Calibri" w:hAnsi="Calibri"/>
                <w:sz w:val="18"/>
                <w:szCs w:val="18"/>
                <w:color w:val="auto"/>
              </w:rPr>
              <w:t>0</w:t>
            </w:r>
          </w:p>
        </w:tc>
        <w:tc>
          <w:tcPr>
            <w:tcW w:w="680" w:type="dxa"/>
            <w:vAlign w:val="bottom"/>
            <w:shd w:val="clear" w:color="auto" w:fill="E5F1F8"/>
          </w:tcPr>
          <w:p>
            <w:pPr>
              <w:jc w:val="right"/>
              <w:ind w:right="210"/>
              <w:spacing w:after="0"/>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150"/>
              <w:spacing w:after="0"/>
              <w:rPr>
                <w:sz w:val="20"/>
                <w:szCs w:val="20"/>
                <w:color w:val="auto"/>
              </w:rPr>
            </w:pPr>
            <w:r>
              <w:rPr>
                <w:rFonts w:ascii="Calibri" w:cs="Calibri" w:eastAsia="Calibri" w:hAnsi="Calibri"/>
                <w:sz w:val="18"/>
                <w:szCs w:val="18"/>
                <w:color w:val="auto"/>
              </w:rPr>
              <w:t>0</w:t>
            </w:r>
          </w:p>
        </w:tc>
        <w:tc>
          <w:tcPr>
            <w:tcW w:w="460" w:type="dxa"/>
            <w:vAlign w:val="bottom"/>
            <w:shd w:val="clear" w:color="auto" w:fill="E5F1F8"/>
          </w:tcPr>
          <w:p>
            <w:pPr>
              <w:jc w:val="right"/>
              <w:ind w:right="30"/>
              <w:spacing w:after="0"/>
              <w:rPr>
                <w:sz w:val="20"/>
                <w:szCs w:val="20"/>
                <w:color w:val="auto"/>
              </w:rPr>
            </w:pPr>
            <w:r>
              <w:rPr>
                <w:rFonts w:ascii="Calibri" w:cs="Calibri" w:eastAsia="Calibri" w:hAnsi="Calibri"/>
                <w:sz w:val="18"/>
                <w:szCs w:val="18"/>
                <w:color w:val="auto"/>
              </w:rPr>
              <w:t>0</w:t>
            </w:r>
          </w:p>
        </w:tc>
        <w:tc>
          <w:tcPr>
            <w:tcW w:w="540" w:type="dxa"/>
            <w:vAlign w:val="bottom"/>
            <w:shd w:val="clear" w:color="auto" w:fill="E5F1F8"/>
          </w:tcPr>
          <w:p>
            <w:pPr>
              <w:jc w:val="right"/>
              <w:ind w:right="230"/>
              <w:spacing w:after="0"/>
              <w:rPr>
                <w:sz w:val="20"/>
                <w:szCs w:val="20"/>
                <w:color w:val="auto"/>
              </w:rPr>
            </w:pPr>
            <w:r>
              <w:rPr>
                <w:rFonts w:ascii="Calibri" w:cs="Calibri" w:eastAsia="Calibri" w:hAnsi="Calibri"/>
                <w:sz w:val="18"/>
                <w:szCs w:val="18"/>
                <w:b w:val="1"/>
                <w:bCs w:val="1"/>
                <w:color w:val="auto"/>
              </w:rPr>
              <w:t>$</w:t>
            </w:r>
          </w:p>
        </w:tc>
        <w:tc>
          <w:tcPr>
            <w:tcW w:w="720" w:type="dxa"/>
            <w:vAlign w:val="bottom"/>
            <w:shd w:val="clear" w:color="auto" w:fill="E5F1F8"/>
          </w:tcPr>
          <w:p>
            <w:pPr>
              <w:jc w:val="right"/>
              <w:ind w:right="210"/>
              <w:spacing w:after="0"/>
              <w:rPr>
                <w:sz w:val="20"/>
                <w:szCs w:val="20"/>
                <w:color w:val="auto"/>
              </w:rPr>
            </w:pPr>
            <w:r>
              <w:rPr>
                <w:rFonts w:ascii="Calibri" w:cs="Calibri" w:eastAsia="Calibri" w:hAnsi="Calibri"/>
                <w:sz w:val="18"/>
                <w:szCs w:val="18"/>
                <w:b w:val="1"/>
                <w:bCs w:val="1"/>
                <w:color w:val="auto"/>
              </w:rPr>
              <w:t>0</w:t>
            </w:r>
          </w:p>
        </w:tc>
        <w:tc>
          <w:tcPr>
            <w:tcW w:w="780" w:type="dxa"/>
            <w:vAlign w:val="bottom"/>
            <w:shd w:val="clear" w:color="auto" w:fill="E5F1F8"/>
          </w:tcPr>
          <w:p>
            <w:pPr>
              <w:jc w:val="right"/>
              <w:ind w:right="310"/>
              <w:spacing w:after="0"/>
              <w:rPr>
                <w:sz w:val="20"/>
                <w:szCs w:val="20"/>
                <w:color w:val="auto"/>
              </w:rPr>
            </w:pPr>
            <w:r>
              <w:rPr>
                <w:rFonts w:ascii="Calibri" w:cs="Calibri" w:eastAsia="Calibri" w:hAnsi="Calibri"/>
                <w:sz w:val="18"/>
                <w:szCs w:val="18"/>
                <w:color w:val="auto"/>
              </w:rPr>
              <w:t>0</w:t>
            </w:r>
          </w:p>
        </w:tc>
        <w:tc>
          <w:tcPr>
            <w:tcW w:w="880" w:type="dxa"/>
            <w:vAlign w:val="bottom"/>
            <w:shd w:val="clear" w:color="auto" w:fill="E5F1F8"/>
          </w:tcPr>
          <w:p>
            <w:pPr>
              <w:ind w:left="380"/>
              <w:spacing w:after="0"/>
              <w:rPr>
                <w:sz w:val="20"/>
                <w:szCs w:val="20"/>
                <w:color w:val="auto"/>
              </w:rPr>
            </w:pPr>
            <w:r>
              <w:rPr>
                <w:rFonts w:ascii="Calibri" w:cs="Calibri" w:eastAsia="Calibri" w:hAnsi="Calibri"/>
                <w:sz w:val="18"/>
                <w:szCs w:val="18"/>
                <w:color w:val="auto"/>
              </w:rPr>
              <w:t>no</w:t>
            </w:r>
          </w:p>
        </w:tc>
        <w:tc>
          <w:tcPr>
            <w:tcW w:w="800" w:type="dxa"/>
            <w:vAlign w:val="bottom"/>
            <w:shd w:val="clear" w:color="auto" w:fill="E5F1F8"/>
          </w:tcPr>
          <w:p>
            <w:pPr>
              <w:ind w:left="320"/>
              <w:spacing w:after="0"/>
              <w:rPr>
                <w:sz w:val="20"/>
                <w:szCs w:val="20"/>
                <w:color w:val="auto"/>
              </w:rPr>
            </w:pPr>
            <w:r>
              <w:rPr>
                <w:rFonts w:ascii="Calibri" w:cs="Calibri" w:eastAsia="Calibri" w:hAnsi="Calibri"/>
                <w:sz w:val="18"/>
                <w:szCs w:val="18"/>
                <w:color w:val="auto"/>
              </w:rPr>
              <w:t>no</w:t>
            </w:r>
          </w:p>
        </w:tc>
        <w:tc>
          <w:tcPr>
            <w:tcW w:w="620" w:type="dxa"/>
            <w:vAlign w:val="bottom"/>
            <w:shd w:val="clear" w:color="auto" w:fill="E5F1F8"/>
          </w:tcPr>
          <w:p>
            <w:pPr>
              <w:jc w:val="right"/>
              <w:ind w:right="150"/>
              <w:spacing w:after="0"/>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230"/>
              <w:spacing w:after="0"/>
              <w:rPr>
                <w:sz w:val="20"/>
                <w:szCs w:val="20"/>
                <w:color w:val="auto"/>
              </w:rPr>
            </w:pPr>
            <w:r>
              <w:rPr>
                <w:rFonts w:ascii="Calibri" w:cs="Calibri" w:eastAsia="Calibri" w:hAnsi="Calibri"/>
                <w:sz w:val="18"/>
                <w:szCs w:val="18"/>
                <w:color w:val="auto"/>
              </w:rPr>
              <w:t>0</w:t>
            </w:r>
          </w:p>
        </w:tc>
        <w:tc>
          <w:tcPr>
            <w:tcW w:w="780" w:type="dxa"/>
            <w:vAlign w:val="bottom"/>
            <w:shd w:val="clear" w:color="auto" w:fill="E5F1F8"/>
          </w:tcPr>
          <w:p>
            <w:pPr>
              <w:jc w:val="right"/>
              <w:ind w:right="290"/>
              <w:spacing w:after="0"/>
              <w:rPr>
                <w:sz w:val="20"/>
                <w:szCs w:val="20"/>
                <w:color w:val="auto"/>
              </w:rPr>
            </w:pPr>
            <w:r>
              <w:rPr>
                <w:rFonts w:ascii="Calibri" w:cs="Calibri" w:eastAsia="Calibri" w:hAnsi="Calibri"/>
                <w:sz w:val="18"/>
                <w:szCs w:val="18"/>
                <w:color w:val="auto"/>
              </w:rPr>
              <w:t>0</w:t>
            </w:r>
          </w:p>
        </w:tc>
      </w:tr>
      <w:tr>
        <w:trPr>
          <w:trHeight w:val="259"/>
        </w:trPr>
        <w:tc>
          <w:tcPr>
            <w:tcW w:w="1780" w:type="dxa"/>
            <w:vAlign w:val="bottom"/>
            <w:tcBorders>
              <w:bottom w:val="single" w:sz="8" w:color="E5F1F8"/>
            </w:tcBorders>
            <w:shd w:val="clear" w:color="auto" w:fill="E5F1F8"/>
          </w:tcPr>
          <w:p>
            <w:pPr>
              <w:spacing w:after="0"/>
              <w:rPr>
                <w:sz w:val="22"/>
                <w:szCs w:val="22"/>
                <w:color w:val="auto"/>
              </w:rPr>
            </w:pPr>
          </w:p>
        </w:tc>
        <w:tc>
          <w:tcPr>
            <w:tcW w:w="5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20</w:t>
            </w:r>
          </w:p>
        </w:tc>
        <w:tc>
          <w:tcPr>
            <w:tcW w:w="700" w:type="dxa"/>
            <w:vAlign w:val="bottom"/>
            <w:tcBorders>
              <w:bottom w:val="single" w:sz="8" w:color="E5F1F8"/>
            </w:tcBorders>
            <w:shd w:val="clear" w:color="auto" w:fill="E5F1F8"/>
          </w:tcPr>
          <w:p>
            <w:pPr>
              <w:spacing w:after="0"/>
              <w:rPr>
                <w:sz w:val="22"/>
                <w:szCs w:val="22"/>
                <w:color w:val="auto"/>
              </w:rPr>
            </w:pPr>
          </w:p>
        </w:tc>
        <w:tc>
          <w:tcPr>
            <w:tcW w:w="640" w:type="dxa"/>
            <w:vAlign w:val="bottom"/>
            <w:tcBorders>
              <w:bottom w:val="single" w:sz="8" w:color="E5F1F8"/>
            </w:tcBorders>
            <w:shd w:val="clear" w:color="auto" w:fill="E5F1F8"/>
          </w:tcPr>
          <w:p>
            <w:pPr>
              <w:spacing w:after="0"/>
              <w:rPr>
                <w:sz w:val="22"/>
                <w:szCs w:val="22"/>
                <w:color w:val="auto"/>
              </w:rPr>
            </w:pPr>
          </w:p>
        </w:tc>
        <w:tc>
          <w:tcPr>
            <w:tcW w:w="680" w:type="dxa"/>
            <w:vAlign w:val="bottom"/>
            <w:tcBorders>
              <w:bottom w:val="single" w:sz="8" w:color="E5F1F8"/>
            </w:tcBorders>
            <w:shd w:val="clear" w:color="auto" w:fill="E5F1F8"/>
          </w:tcPr>
          <w:p>
            <w:pPr>
              <w:spacing w:after="0"/>
              <w:rPr>
                <w:sz w:val="22"/>
                <w:szCs w:val="22"/>
                <w:color w:val="auto"/>
              </w:rPr>
            </w:pPr>
          </w:p>
        </w:tc>
        <w:tc>
          <w:tcPr>
            <w:tcW w:w="660" w:type="dxa"/>
            <w:vAlign w:val="bottom"/>
            <w:tcBorders>
              <w:bottom w:val="single" w:sz="8" w:color="E5F1F8"/>
            </w:tcBorders>
            <w:shd w:val="clear" w:color="auto" w:fill="E5F1F8"/>
          </w:tcPr>
          <w:p>
            <w:pPr>
              <w:spacing w:after="0"/>
              <w:rPr>
                <w:sz w:val="22"/>
                <w:szCs w:val="22"/>
                <w:color w:val="auto"/>
              </w:rPr>
            </w:pPr>
          </w:p>
        </w:tc>
        <w:tc>
          <w:tcPr>
            <w:tcW w:w="460" w:type="dxa"/>
            <w:vAlign w:val="bottom"/>
            <w:tcBorders>
              <w:bottom w:val="single" w:sz="8" w:color="E5F1F8"/>
            </w:tcBorders>
            <w:shd w:val="clear" w:color="auto" w:fill="E5F1F8"/>
          </w:tcPr>
          <w:p>
            <w:pPr>
              <w:spacing w:after="0"/>
              <w:rPr>
                <w:sz w:val="22"/>
                <w:szCs w:val="22"/>
                <w:color w:val="auto"/>
              </w:rPr>
            </w:pPr>
          </w:p>
        </w:tc>
        <w:tc>
          <w:tcPr>
            <w:tcW w:w="540" w:type="dxa"/>
            <w:vAlign w:val="bottom"/>
            <w:tcBorders>
              <w:bottom w:val="single" w:sz="8" w:color="E5F1F8"/>
            </w:tcBorders>
            <w:shd w:val="clear" w:color="auto" w:fill="E5F1F8"/>
          </w:tcPr>
          <w:p>
            <w:pPr>
              <w:spacing w:after="0"/>
              <w:rPr>
                <w:sz w:val="22"/>
                <w:szCs w:val="22"/>
                <w:color w:val="auto"/>
              </w:rPr>
            </w:pPr>
          </w:p>
        </w:tc>
        <w:tc>
          <w:tcPr>
            <w:tcW w:w="720" w:type="dxa"/>
            <w:vAlign w:val="bottom"/>
            <w:tcBorders>
              <w:bottom w:val="single" w:sz="8" w:color="E5F1F8"/>
            </w:tcBorders>
            <w:shd w:val="clear" w:color="auto" w:fill="E5F1F8"/>
          </w:tcPr>
          <w:p>
            <w:pPr>
              <w:spacing w:after="0"/>
              <w:rPr>
                <w:sz w:val="22"/>
                <w:szCs w:val="22"/>
                <w:color w:val="auto"/>
              </w:rPr>
            </w:pPr>
          </w:p>
        </w:tc>
        <w:tc>
          <w:tcPr>
            <w:tcW w:w="780" w:type="dxa"/>
            <w:vAlign w:val="bottom"/>
            <w:tcBorders>
              <w:bottom w:val="single" w:sz="8" w:color="E5F1F8"/>
            </w:tcBorders>
            <w:shd w:val="clear" w:color="auto" w:fill="E5F1F8"/>
          </w:tcPr>
          <w:p>
            <w:pPr>
              <w:spacing w:after="0"/>
              <w:rPr>
                <w:sz w:val="22"/>
                <w:szCs w:val="22"/>
                <w:color w:val="auto"/>
              </w:rPr>
            </w:pPr>
          </w:p>
        </w:tc>
        <w:tc>
          <w:tcPr>
            <w:tcW w:w="880" w:type="dxa"/>
            <w:vAlign w:val="bottom"/>
            <w:tcBorders>
              <w:bottom w:val="single" w:sz="8" w:color="E5F1F8"/>
            </w:tcBorders>
            <w:shd w:val="clear" w:color="auto" w:fill="E5F1F8"/>
          </w:tcPr>
          <w:p>
            <w:pPr>
              <w:spacing w:after="0"/>
              <w:rPr>
                <w:sz w:val="22"/>
                <w:szCs w:val="22"/>
                <w:color w:val="auto"/>
              </w:rPr>
            </w:pPr>
          </w:p>
        </w:tc>
        <w:tc>
          <w:tcPr>
            <w:tcW w:w="800" w:type="dxa"/>
            <w:vAlign w:val="bottom"/>
            <w:tcBorders>
              <w:bottom w:val="single" w:sz="8" w:color="E5F1F8"/>
            </w:tcBorders>
            <w:shd w:val="clear" w:color="auto" w:fill="E5F1F8"/>
          </w:tcPr>
          <w:p>
            <w:pPr>
              <w:spacing w:after="0"/>
              <w:rPr>
                <w:sz w:val="22"/>
                <w:szCs w:val="22"/>
                <w:color w:val="auto"/>
              </w:rPr>
            </w:pPr>
          </w:p>
        </w:tc>
        <w:tc>
          <w:tcPr>
            <w:tcW w:w="620" w:type="dxa"/>
            <w:vAlign w:val="bottom"/>
            <w:tcBorders>
              <w:bottom w:val="single" w:sz="8" w:color="E5F1F8"/>
            </w:tcBorders>
            <w:shd w:val="clear" w:color="auto" w:fill="E5F1F8"/>
          </w:tcPr>
          <w:p>
            <w:pPr>
              <w:spacing w:after="0"/>
              <w:rPr>
                <w:sz w:val="22"/>
                <w:szCs w:val="22"/>
                <w:color w:val="auto"/>
              </w:rPr>
            </w:pPr>
          </w:p>
        </w:tc>
        <w:tc>
          <w:tcPr>
            <w:tcW w:w="660" w:type="dxa"/>
            <w:vAlign w:val="bottom"/>
            <w:tcBorders>
              <w:bottom w:val="single" w:sz="8" w:color="E5F1F8"/>
            </w:tcBorders>
            <w:shd w:val="clear" w:color="auto" w:fill="E5F1F8"/>
          </w:tcPr>
          <w:p>
            <w:pPr>
              <w:spacing w:after="0"/>
              <w:rPr>
                <w:sz w:val="22"/>
                <w:szCs w:val="22"/>
                <w:color w:val="auto"/>
              </w:rPr>
            </w:pPr>
          </w:p>
        </w:tc>
        <w:tc>
          <w:tcPr>
            <w:tcW w:w="780" w:type="dxa"/>
            <w:vAlign w:val="bottom"/>
            <w:tcBorders>
              <w:bottom w:val="single" w:sz="8" w:color="E5F1F8"/>
            </w:tcBorders>
            <w:shd w:val="clear" w:color="auto" w:fill="E5F1F8"/>
          </w:tcPr>
          <w:p>
            <w:pPr>
              <w:spacing w:after="0"/>
              <w:rPr>
                <w:sz w:val="22"/>
                <w:szCs w:val="22"/>
                <w:color w:val="auto"/>
              </w:rPr>
            </w:pPr>
          </w:p>
        </w:tc>
      </w:tr>
      <w:tr>
        <w:trPr>
          <w:trHeight w:val="180"/>
        </w:trPr>
        <w:tc>
          <w:tcPr>
            <w:tcW w:w="1780" w:type="dxa"/>
            <w:vAlign w:val="bottom"/>
          </w:tcPr>
          <w:p>
            <w:pPr>
              <w:spacing w:after="0"/>
              <w:rPr>
                <w:sz w:val="15"/>
                <w:szCs w:val="15"/>
                <w:color w:val="auto"/>
              </w:rPr>
            </w:pPr>
          </w:p>
        </w:tc>
        <w:tc>
          <w:tcPr>
            <w:tcW w:w="540" w:type="dxa"/>
            <w:vAlign w:val="bottom"/>
          </w:tcPr>
          <w:p>
            <w:pPr>
              <w:ind w:left="20"/>
              <w:spacing w:after="0" w:line="180" w:lineRule="exact"/>
              <w:rPr>
                <w:sz w:val="20"/>
                <w:szCs w:val="20"/>
                <w:color w:val="auto"/>
              </w:rPr>
            </w:pPr>
            <w:r>
              <w:rPr>
                <w:rFonts w:ascii="Calibri" w:cs="Calibri" w:eastAsia="Calibri" w:hAnsi="Calibri"/>
                <w:sz w:val="18"/>
                <w:szCs w:val="18"/>
                <w:color w:val="auto"/>
              </w:rPr>
              <w:t>21033</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5"/>
        </w:trPr>
        <w:tc>
          <w:tcPr>
            <w:tcW w:w="1780" w:type="dxa"/>
            <w:vAlign w:val="bottom"/>
          </w:tcPr>
          <w:p>
            <w:pPr>
              <w:ind w:left="20"/>
              <w:spacing w:after="0" w:line="215" w:lineRule="exact"/>
              <w:rPr>
                <w:sz w:val="20"/>
                <w:szCs w:val="20"/>
                <w:color w:val="auto"/>
              </w:rPr>
            </w:pPr>
            <w:r>
              <w:rPr>
                <w:rFonts w:ascii="Calibri" w:cs="Calibri" w:eastAsia="Calibri" w:hAnsi="Calibri"/>
                <w:sz w:val="18"/>
                <w:szCs w:val="18"/>
                <w:color w:val="auto"/>
              </w:rPr>
              <w:t>MN Portable # 7</w:t>
            </w:r>
          </w:p>
        </w:tc>
        <w:tc>
          <w:tcPr>
            <w:tcW w:w="540" w:type="dxa"/>
            <w:vAlign w:val="bottom"/>
          </w:tcPr>
          <w:p>
            <w:pPr>
              <w:ind w:left="20"/>
              <w:spacing w:after="0" w:line="215" w:lineRule="exact"/>
              <w:rPr>
                <w:sz w:val="20"/>
                <w:szCs w:val="20"/>
                <w:color w:val="auto"/>
              </w:rPr>
            </w:pPr>
            <w:r>
              <w:rPr>
                <w:rFonts w:ascii="Calibri" w:cs="Calibri" w:eastAsia="Calibri" w:hAnsi="Calibri"/>
                <w:sz w:val="18"/>
                <w:szCs w:val="18"/>
                <w:color w:val="auto"/>
              </w:rPr>
              <w:t>55</w:t>
            </w:r>
          </w:p>
        </w:tc>
        <w:tc>
          <w:tcPr>
            <w:tcW w:w="7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Pr>
          <w:p>
            <w:pPr>
              <w:jc w:val="right"/>
              <w:ind w:right="230"/>
              <w:spacing w:after="0" w:line="215" w:lineRule="exact"/>
              <w:rPr>
                <w:sz w:val="20"/>
                <w:szCs w:val="20"/>
                <w:color w:val="auto"/>
              </w:rPr>
            </w:pPr>
            <w:r>
              <w:rPr>
                <w:rFonts w:ascii="Calibri" w:cs="Calibri" w:eastAsia="Calibri" w:hAnsi="Calibri"/>
                <w:sz w:val="18"/>
                <w:szCs w:val="18"/>
                <w:b w:val="1"/>
                <w:bCs w:val="1"/>
                <w:color w:val="auto"/>
              </w:rPr>
              <w:t>$</w:t>
            </w:r>
          </w:p>
        </w:tc>
        <w:tc>
          <w:tcPr>
            <w:tcW w:w="7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right"/>
              <w:ind w:right="290"/>
              <w:spacing w:after="0" w:line="215" w:lineRule="exact"/>
              <w:rPr>
                <w:sz w:val="20"/>
                <w:szCs w:val="20"/>
                <w:color w:val="auto"/>
              </w:rPr>
            </w:pPr>
            <w:r>
              <w:rPr>
                <w:rFonts w:ascii="Calibri" w:cs="Calibri" w:eastAsia="Calibri" w:hAnsi="Calibri"/>
                <w:sz w:val="18"/>
                <w:szCs w:val="18"/>
                <w:color w:val="auto"/>
              </w:rPr>
              <w:t>0</w:t>
            </w:r>
          </w:p>
        </w:tc>
      </w:tr>
      <w:tr>
        <w:trPr>
          <w:trHeight w:val="37"/>
        </w:trPr>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7"/>
        </w:trPr>
        <w:tc>
          <w:tcPr>
            <w:tcW w:w="1780" w:type="dxa"/>
            <w:vAlign w:val="bottom"/>
            <w:shd w:val="clear" w:color="auto" w:fill="E5F1F8"/>
          </w:tcPr>
          <w:p>
            <w:pPr>
              <w:spacing w:after="0"/>
              <w:rPr>
                <w:sz w:val="18"/>
                <w:szCs w:val="18"/>
                <w:color w:val="auto"/>
              </w:rPr>
            </w:pPr>
          </w:p>
        </w:tc>
        <w:tc>
          <w:tcPr>
            <w:tcW w:w="54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rPr>
              <w:t>21018</w:t>
            </w:r>
          </w:p>
        </w:tc>
        <w:tc>
          <w:tcPr>
            <w:tcW w:w="70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540" w:type="dxa"/>
            <w:vAlign w:val="bottom"/>
            <w:shd w:val="clear" w:color="auto" w:fill="E5F1F8"/>
          </w:tcPr>
          <w:p>
            <w:pPr>
              <w:spacing w:after="0"/>
              <w:rPr>
                <w:sz w:val="18"/>
                <w:szCs w:val="18"/>
                <w:color w:val="auto"/>
              </w:rPr>
            </w:pPr>
          </w:p>
        </w:tc>
        <w:tc>
          <w:tcPr>
            <w:tcW w:w="7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r>
      <w:tr>
        <w:trPr>
          <w:trHeight w:val="232"/>
        </w:trPr>
        <w:tc>
          <w:tcPr>
            <w:tcW w:w="17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MN Portable # 8</w:t>
            </w:r>
          </w:p>
        </w:tc>
        <w:tc>
          <w:tcPr>
            <w:tcW w:w="5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43</w:t>
            </w:r>
          </w:p>
        </w:tc>
        <w:tc>
          <w:tcPr>
            <w:tcW w:w="70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540" w:type="dxa"/>
            <w:vAlign w:val="bottom"/>
            <w:tcBorders>
              <w:bottom w:val="single" w:sz="8" w:color="E5F1F8"/>
            </w:tcBorders>
            <w:shd w:val="clear" w:color="auto" w:fill="E5F1F8"/>
          </w:tcPr>
          <w:p>
            <w:pPr>
              <w:jc w:val="right"/>
              <w:ind w:right="230"/>
              <w:spacing w:after="0" w:line="215" w:lineRule="exact"/>
              <w:rPr>
                <w:sz w:val="20"/>
                <w:szCs w:val="20"/>
                <w:color w:val="auto"/>
              </w:rPr>
            </w:pPr>
            <w:r>
              <w:rPr>
                <w:rFonts w:ascii="Calibri" w:cs="Calibri" w:eastAsia="Calibri" w:hAnsi="Calibri"/>
                <w:sz w:val="18"/>
                <w:szCs w:val="18"/>
                <w:b w:val="1"/>
                <w:bCs w:val="1"/>
                <w:color w:val="auto"/>
              </w:rPr>
              <w:t>$</w:t>
            </w:r>
          </w:p>
        </w:tc>
        <w:tc>
          <w:tcPr>
            <w:tcW w:w="7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30"/>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right"/>
              <w:ind w:right="290"/>
              <w:spacing w:after="0" w:line="215" w:lineRule="exact"/>
              <w:rPr>
                <w:sz w:val="20"/>
                <w:szCs w:val="20"/>
                <w:color w:val="auto"/>
              </w:rPr>
            </w:pPr>
            <w:r>
              <w:rPr>
                <w:rFonts w:ascii="Calibri" w:cs="Calibri" w:eastAsia="Calibri" w:hAnsi="Calibri"/>
                <w:sz w:val="18"/>
                <w:szCs w:val="18"/>
                <w:color w:val="auto"/>
              </w:rPr>
              <w:t>0</w:t>
            </w:r>
          </w:p>
        </w:tc>
      </w:tr>
      <w:tr>
        <w:trPr>
          <w:trHeight w:val="1168"/>
        </w:trPr>
        <w:tc>
          <w:tcPr>
            <w:tcW w:w="1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29146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1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146" w:name="page147"/>
    <w:bookmarkEnd w:id="14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center"/>
              <w:ind w:left="70"/>
              <w:spacing w:after="0"/>
              <w:rPr>
                <w:sz w:val="20"/>
                <w:szCs w:val="20"/>
                <w:color w:val="auto"/>
              </w:rPr>
            </w:pPr>
            <w:r>
              <w:rPr>
                <w:rFonts w:ascii="Calibri" w:cs="Calibri" w:eastAsia="Calibri" w:hAnsi="Calibri"/>
                <w:sz w:val="18"/>
                <w:szCs w:val="18"/>
                <w:color w:val="auto"/>
                <w:w w:val="97"/>
              </w:rPr>
              <w:t>Appendix 1</w:t>
            </w:r>
          </w:p>
        </w:tc>
      </w:tr>
      <w:tr>
        <w:trPr>
          <w:trHeight w:val="661"/>
        </w:trPr>
        <w:tc>
          <w:tcPr>
            <w:tcW w:w="176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Calibri" w:cs="Calibri" w:eastAsia="Calibri" w:hAnsi="Calibri"/>
                <w:sz w:val="18"/>
                <w:szCs w:val="18"/>
                <w:color w:val="auto"/>
              </w:rPr>
              <w:t>21036</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760" w:type="dxa"/>
            <w:vAlign w:val="bottom"/>
          </w:tcPr>
          <w:p>
            <w:pPr>
              <w:ind w:left="20"/>
              <w:spacing w:after="0" w:line="216" w:lineRule="exact"/>
              <w:rPr>
                <w:sz w:val="20"/>
                <w:szCs w:val="20"/>
                <w:color w:val="auto"/>
              </w:rPr>
            </w:pPr>
            <w:r>
              <w:rPr>
                <w:rFonts w:ascii="Calibri" w:cs="Calibri" w:eastAsia="Calibri" w:hAnsi="Calibri"/>
                <w:sz w:val="18"/>
                <w:szCs w:val="18"/>
                <w:color w:val="auto"/>
              </w:rPr>
              <w:t>MN Reclamaton</w:t>
            </w:r>
          </w:p>
        </w:tc>
        <w:tc>
          <w:tcPr>
            <w:tcW w:w="700" w:type="dxa"/>
            <w:vAlign w:val="bottom"/>
          </w:tcPr>
          <w:p>
            <w:pPr>
              <w:ind w:left="40"/>
              <w:spacing w:after="0" w:line="216" w:lineRule="exact"/>
              <w:rPr>
                <w:sz w:val="20"/>
                <w:szCs w:val="20"/>
                <w:color w:val="auto"/>
              </w:rPr>
            </w:pPr>
            <w:r>
              <w:rPr>
                <w:rFonts w:ascii="Calibri" w:cs="Calibri" w:eastAsia="Calibri" w:hAnsi="Calibri"/>
                <w:sz w:val="18"/>
                <w:szCs w:val="18"/>
                <w:color w:val="auto"/>
              </w:rPr>
              <w:t>90</w:t>
            </w:r>
          </w:p>
        </w:tc>
        <w:tc>
          <w:tcPr>
            <w:tcW w:w="56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6"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6"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6"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6"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6"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6"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6"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13021</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Moore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88</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399</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13017</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New Harvey Sand</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78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13025</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New Marshall Sand</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04A</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12019</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Noblesville Sand</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94</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399</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12021</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Noblesville Stone</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76</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9</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4,154</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1</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1</w:t>
            </w:r>
          </w:p>
        </w:tc>
      </w:tr>
      <w:tr>
        <w:trPr>
          <w:trHeight w:val="207"/>
        </w:trPr>
        <w:tc>
          <w:tcPr>
            <w:tcW w:w="1760" w:type="dxa"/>
            <w:vAlign w:val="bottom"/>
          </w:tcPr>
          <w:p>
            <w:pPr>
              <w:ind w:left="20"/>
              <w:spacing w:after="0" w:line="207" w:lineRule="exact"/>
              <w:rPr>
                <w:sz w:val="20"/>
                <w:szCs w:val="20"/>
                <w:color w:val="auto"/>
              </w:rPr>
            </w:pPr>
            <w:r>
              <w:rPr>
                <w:rFonts w:ascii="Calibri" w:cs="Calibri" w:eastAsia="Calibri" w:hAnsi="Calibri"/>
                <w:sz w:val="18"/>
                <w:szCs w:val="18"/>
                <w:color w:val="auto"/>
              </w:rPr>
              <w:t>North Indianapolis</w:t>
            </w: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12019</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93</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9</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7,669</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25012</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North Valley Sand</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71</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435</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14015</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Otawa Quarry New</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90</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2</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1,057</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13021</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Pedersen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92</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15168</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Petersburg Ky Gravel</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95</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33000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Phillipsburg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06</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ind w:left="20"/>
              <w:spacing w:after="0" w:line="207" w:lineRule="exact"/>
              <w:rPr>
                <w:sz w:val="20"/>
                <w:szCs w:val="20"/>
                <w:color w:val="auto"/>
              </w:rPr>
            </w:pPr>
            <w:r>
              <w:rPr>
                <w:rFonts w:ascii="Calibri" w:cs="Calibri" w:eastAsia="Calibri" w:hAnsi="Calibri"/>
                <w:sz w:val="18"/>
                <w:szCs w:val="18"/>
                <w:color w:val="auto"/>
              </w:rPr>
              <w:t>Portland Quarry (Alden</w:t>
            </w: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13021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Portable Wash)</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22</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12022</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Putnam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42</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143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13023</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Raccoon River Sand</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15</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399</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23023</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Randolph Mine</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08</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3</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43,323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1</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b w:val="1"/>
                <w:bCs w:val="1"/>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1</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13008</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Reasnor Sand</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14</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13022</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Saylorville Sand</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90</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33040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Shamrock SG</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11</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rPr>
              <w:t>Spring Valley Cook Rd</w:t>
            </w: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33045</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SG</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34</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21000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St Cloud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81</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23022</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Stamper Mine</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32</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5,904</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b w:val="1"/>
                <w:bCs w:val="1"/>
                <w:color w:val="auto"/>
              </w:rPr>
              <w:t>2</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2</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1</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13000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Sully Mine</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63</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1,064</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14015</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Sunfower Qy  Co 61</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56</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33016</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Troy Gravel</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78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25013</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Walterloo Sand</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14</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12020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Waverly Sand</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38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25009</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Weeping Water Mine</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98</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4</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7,068</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25012</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West Center Sand</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31</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464</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33013</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Xenia Gravel</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93</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21000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w w:val="98"/>
              </w:rPr>
              <w:t>Yellow Medicine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33</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02025</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w w:val="97"/>
              </w:rPr>
              <w:t>Clarkdale Sand &amp; Gravel</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24</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1,269</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04001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Clayton</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59</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198</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17"/>
        </w:trPr>
        <w:tc>
          <w:tcPr>
            <w:tcW w:w="1760" w:type="dxa"/>
            <w:vAlign w:val="bottom"/>
            <w:shd w:val="clear" w:color="auto" w:fill="E5F1F8"/>
          </w:tcPr>
          <w:p>
            <w:pPr>
              <w:spacing w:after="0"/>
              <w:rPr>
                <w:sz w:val="10"/>
                <w:szCs w:val="10"/>
                <w:color w:val="auto"/>
              </w:rPr>
            </w:pPr>
          </w:p>
        </w:tc>
        <w:tc>
          <w:tcPr>
            <w:tcW w:w="700" w:type="dxa"/>
            <w:vAlign w:val="bottom"/>
            <w:shd w:val="clear" w:color="auto" w:fill="E5F1F8"/>
          </w:tcPr>
          <w:p>
            <w:pPr>
              <w:spacing w:after="0"/>
              <w:rPr>
                <w:sz w:val="10"/>
                <w:szCs w:val="10"/>
                <w:color w:val="auto"/>
              </w:rPr>
            </w:pPr>
          </w:p>
        </w:tc>
        <w:tc>
          <w:tcPr>
            <w:tcW w:w="560" w:type="dxa"/>
            <w:vAlign w:val="bottom"/>
            <w:shd w:val="clear" w:color="auto" w:fill="E5F1F8"/>
          </w:tcPr>
          <w:p>
            <w:pPr>
              <w:spacing w:after="0"/>
              <w:rPr>
                <w:sz w:val="10"/>
                <w:szCs w:val="10"/>
                <w:color w:val="auto"/>
              </w:rPr>
            </w:pPr>
          </w:p>
        </w:tc>
        <w:tc>
          <w:tcPr>
            <w:tcW w:w="640" w:type="dxa"/>
            <w:vAlign w:val="bottom"/>
            <w:shd w:val="clear" w:color="auto" w:fill="E5F1F8"/>
          </w:tcPr>
          <w:p>
            <w:pPr>
              <w:spacing w:after="0"/>
              <w:rPr>
                <w:sz w:val="10"/>
                <w:szCs w:val="10"/>
                <w:color w:val="auto"/>
              </w:rPr>
            </w:pPr>
          </w:p>
        </w:tc>
        <w:tc>
          <w:tcPr>
            <w:tcW w:w="680" w:type="dxa"/>
            <w:vAlign w:val="bottom"/>
            <w:shd w:val="clear" w:color="auto" w:fill="E5F1F8"/>
          </w:tcPr>
          <w:p>
            <w:pPr>
              <w:spacing w:after="0"/>
              <w:rPr>
                <w:sz w:val="10"/>
                <w:szCs w:val="10"/>
                <w:color w:val="auto"/>
              </w:rPr>
            </w:pPr>
          </w:p>
        </w:tc>
        <w:tc>
          <w:tcPr>
            <w:tcW w:w="660" w:type="dxa"/>
            <w:vAlign w:val="bottom"/>
            <w:shd w:val="clear" w:color="auto" w:fill="E5F1F8"/>
          </w:tcPr>
          <w:p>
            <w:pPr>
              <w:spacing w:after="0"/>
              <w:rPr>
                <w:sz w:val="10"/>
                <w:szCs w:val="10"/>
                <w:color w:val="auto"/>
              </w:rPr>
            </w:pPr>
          </w:p>
        </w:tc>
        <w:tc>
          <w:tcPr>
            <w:tcW w:w="460" w:type="dxa"/>
            <w:vAlign w:val="bottom"/>
            <w:shd w:val="clear" w:color="auto" w:fill="E5F1F8"/>
          </w:tcPr>
          <w:p>
            <w:pPr>
              <w:spacing w:after="0"/>
              <w:rPr>
                <w:sz w:val="10"/>
                <w:szCs w:val="10"/>
                <w:color w:val="auto"/>
              </w:rPr>
            </w:pPr>
          </w:p>
        </w:tc>
        <w:tc>
          <w:tcPr>
            <w:tcW w:w="340" w:type="dxa"/>
            <w:vAlign w:val="bottom"/>
            <w:shd w:val="clear" w:color="auto" w:fill="E5F1F8"/>
          </w:tcPr>
          <w:p>
            <w:pPr>
              <w:spacing w:after="0"/>
              <w:rPr>
                <w:sz w:val="10"/>
                <w:szCs w:val="10"/>
                <w:color w:val="auto"/>
              </w:rPr>
            </w:pPr>
          </w:p>
        </w:tc>
        <w:tc>
          <w:tcPr>
            <w:tcW w:w="920" w:type="dxa"/>
            <w:vAlign w:val="bottom"/>
            <w:shd w:val="clear" w:color="auto" w:fill="E5F1F8"/>
          </w:tcPr>
          <w:p>
            <w:pPr>
              <w:spacing w:after="0"/>
              <w:rPr>
                <w:sz w:val="10"/>
                <w:szCs w:val="10"/>
                <w:color w:val="auto"/>
              </w:rPr>
            </w:pPr>
          </w:p>
        </w:tc>
        <w:tc>
          <w:tcPr>
            <w:tcW w:w="780" w:type="dxa"/>
            <w:vAlign w:val="bottom"/>
            <w:shd w:val="clear" w:color="auto" w:fill="E5F1F8"/>
          </w:tcPr>
          <w:p>
            <w:pPr>
              <w:spacing w:after="0"/>
              <w:rPr>
                <w:sz w:val="10"/>
                <w:szCs w:val="10"/>
                <w:color w:val="auto"/>
              </w:rPr>
            </w:pPr>
          </w:p>
        </w:tc>
        <w:tc>
          <w:tcPr>
            <w:tcW w:w="880" w:type="dxa"/>
            <w:vAlign w:val="bottom"/>
            <w:shd w:val="clear" w:color="auto" w:fill="E5F1F8"/>
          </w:tcPr>
          <w:p>
            <w:pPr>
              <w:spacing w:after="0"/>
              <w:rPr>
                <w:sz w:val="10"/>
                <w:szCs w:val="10"/>
                <w:color w:val="auto"/>
              </w:rPr>
            </w:pPr>
          </w:p>
        </w:tc>
        <w:tc>
          <w:tcPr>
            <w:tcW w:w="800" w:type="dxa"/>
            <w:vAlign w:val="bottom"/>
            <w:shd w:val="clear" w:color="auto" w:fill="E5F1F8"/>
          </w:tcPr>
          <w:p>
            <w:pPr>
              <w:spacing w:after="0"/>
              <w:rPr>
                <w:sz w:val="10"/>
                <w:szCs w:val="10"/>
                <w:color w:val="auto"/>
              </w:rPr>
            </w:pPr>
          </w:p>
        </w:tc>
        <w:tc>
          <w:tcPr>
            <w:tcW w:w="620" w:type="dxa"/>
            <w:vAlign w:val="bottom"/>
            <w:shd w:val="clear" w:color="auto" w:fill="E5F1F8"/>
          </w:tcPr>
          <w:p>
            <w:pPr>
              <w:spacing w:after="0"/>
              <w:rPr>
                <w:sz w:val="10"/>
                <w:szCs w:val="10"/>
                <w:color w:val="auto"/>
              </w:rPr>
            </w:pPr>
          </w:p>
        </w:tc>
        <w:tc>
          <w:tcPr>
            <w:tcW w:w="480" w:type="dxa"/>
            <w:vAlign w:val="bottom"/>
            <w:shd w:val="clear" w:color="auto" w:fill="E5F1F8"/>
          </w:tcPr>
          <w:p>
            <w:pPr>
              <w:spacing w:after="0"/>
              <w:rPr>
                <w:sz w:val="10"/>
                <w:szCs w:val="10"/>
                <w:color w:val="auto"/>
              </w:rPr>
            </w:pPr>
          </w:p>
        </w:tc>
        <w:tc>
          <w:tcPr>
            <w:tcW w:w="960" w:type="dxa"/>
            <w:vAlign w:val="bottom"/>
            <w:shd w:val="clear" w:color="auto" w:fill="E5F1F8"/>
          </w:tcPr>
          <w:p>
            <w:pPr>
              <w:spacing w:after="0"/>
              <w:rPr>
                <w:sz w:val="10"/>
                <w:szCs w:val="10"/>
                <w:color w:val="auto"/>
              </w:rPr>
            </w:pPr>
          </w:p>
        </w:tc>
      </w:tr>
    </w:tbl>
    <w:p>
      <w:pPr>
        <w:sectPr>
          <w:pgSz w:w="11900" w:h="16900" w:orient="portrait"/>
          <w:cols w:equalWidth="0" w:num="1">
            <w:col w:w="11240"/>
          </w:cols>
          <w:pgMar w:left="320" w:top="760" w:right="339" w:bottom="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80" w:type="dxa"/>
            <w:vAlign w:val="bottom"/>
            <w:shd w:val="clear" w:color="auto" w:fill="E5F1F8"/>
          </w:tcPr>
          <w:p>
            <w:pPr>
              <w:ind w:left="20"/>
              <w:spacing w:after="0"/>
              <w:rPr>
                <w:sz w:val="20"/>
                <w:szCs w:val="20"/>
                <w:color w:val="auto"/>
              </w:rPr>
            </w:pPr>
            <w:r>
              <w:rPr>
                <w:rFonts w:ascii="Calibri" w:cs="Calibri" w:eastAsia="Calibri" w:hAnsi="Calibri"/>
                <w:sz w:val="18"/>
                <w:szCs w:val="18"/>
                <w:color w:val="auto"/>
              </w:rPr>
              <w:t>Coolidge Plant 65</w:t>
            </w:r>
          </w:p>
        </w:tc>
        <w:tc>
          <w:tcPr>
            <w:tcW w:w="540" w:type="dxa"/>
            <w:vAlign w:val="bottom"/>
            <w:shd w:val="clear" w:color="auto" w:fill="E5F1F8"/>
          </w:tcPr>
          <w:p>
            <w:pPr>
              <w:ind w:left="20"/>
              <w:spacing w:after="0"/>
              <w:rPr>
                <w:sz w:val="20"/>
                <w:szCs w:val="20"/>
                <w:color w:val="auto"/>
              </w:rPr>
            </w:pPr>
            <w:r>
              <w:rPr>
                <w:rFonts w:ascii="Calibri" w:cs="Calibri" w:eastAsia="Calibri" w:hAnsi="Calibri"/>
                <w:sz w:val="18"/>
                <w:szCs w:val="18"/>
                <w:color w:val="auto"/>
              </w:rPr>
              <w:t>02031</w:t>
            </w:r>
          </w:p>
        </w:tc>
        <w:tc>
          <w:tcPr>
            <w:tcW w:w="700" w:type="dxa"/>
            <w:vAlign w:val="bottom"/>
            <w:shd w:val="clear" w:color="auto" w:fill="E5F1F8"/>
          </w:tcPr>
          <w:p>
            <w:pPr>
              <w:jc w:val="right"/>
              <w:ind w:right="190"/>
              <w:spacing w:after="0"/>
              <w:rPr>
                <w:sz w:val="20"/>
                <w:szCs w:val="20"/>
                <w:color w:val="auto"/>
              </w:rPr>
            </w:pPr>
            <w:r>
              <w:rPr>
                <w:rFonts w:ascii="Calibri" w:cs="Calibri" w:eastAsia="Calibri" w:hAnsi="Calibri"/>
                <w:sz w:val="18"/>
                <w:szCs w:val="18"/>
                <w:color w:val="auto"/>
              </w:rPr>
              <w:t>0</w:t>
            </w:r>
          </w:p>
        </w:tc>
        <w:tc>
          <w:tcPr>
            <w:tcW w:w="640" w:type="dxa"/>
            <w:vAlign w:val="bottom"/>
            <w:shd w:val="clear" w:color="auto" w:fill="E5F1F8"/>
          </w:tcPr>
          <w:p>
            <w:pPr>
              <w:jc w:val="right"/>
              <w:ind w:right="190"/>
              <w:spacing w:after="0"/>
              <w:rPr>
                <w:sz w:val="20"/>
                <w:szCs w:val="20"/>
                <w:color w:val="auto"/>
              </w:rPr>
            </w:pPr>
            <w:r>
              <w:rPr>
                <w:rFonts w:ascii="Calibri" w:cs="Calibri" w:eastAsia="Calibri" w:hAnsi="Calibri"/>
                <w:sz w:val="18"/>
                <w:szCs w:val="18"/>
                <w:color w:val="auto"/>
              </w:rPr>
              <w:t>0</w:t>
            </w:r>
          </w:p>
        </w:tc>
        <w:tc>
          <w:tcPr>
            <w:tcW w:w="680" w:type="dxa"/>
            <w:vAlign w:val="bottom"/>
            <w:shd w:val="clear" w:color="auto" w:fill="E5F1F8"/>
          </w:tcPr>
          <w:p>
            <w:pPr>
              <w:jc w:val="right"/>
              <w:ind w:right="210"/>
              <w:spacing w:after="0"/>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150"/>
              <w:spacing w:after="0"/>
              <w:rPr>
                <w:sz w:val="20"/>
                <w:szCs w:val="20"/>
                <w:color w:val="auto"/>
              </w:rPr>
            </w:pPr>
            <w:r>
              <w:rPr>
                <w:rFonts w:ascii="Calibri" w:cs="Calibri" w:eastAsia="Calibri" w:hAnsi="Calibri"/>
                <w:sz w:val="18"/>
                <w:szCs w:val="18"/>
                <w:color w:val="auto"/>
              </w:rPr>
              <w:t>0</w:t>
            </w:r>
          </w:p>
        </w:tc>
        <w:tc>
          <w:tcPr>
            <w:tcW w:w="460" w:type="dxa"/>
            <w:vAlign w:val="bottom"/>
            <w:shd w:val="clear" w:color="auto" w:fill="E5F1F8"/>
          </w:tcPr>
          <w:p>
            <w:pPr>
              <w:jc w:val="right"/>
              <w:ind w:right="30"/>
              <w:spacing w:after="0"/>
              <w:rPr>
                <w:sz w:val="20"/>
                <w:szCs w:val="20"/>
                <w:color w:val="auto"/>
              </w:rPr>
            </w:pPr>
            <w:r>
              <w:rPr>
                <w:rFonts w:ascii="Calibri" w:cs="Calibri" w:eastAsia="Calibri" w:hAnsi="Calibri"/>
                <w:sz w:val="18"/>
                <w:szCs w:val="18"/>
                <w:color w:val="auto"/>
              </w:rPr>
              <w:t>0</w:t>
            </w:r>
          </w:p>
        </w:tc>
        <w:tc>
          <w:tcPr>
            <w:tcW w:w="380" w:type="dxa"/>
            <w:vAlign w:val="bottom"/>
            <w:shd w:val="clear" w:color="auto" w:fill="E5F1F8"/>
          </w:tcPr>
          <w:p>
            <w:pPr>
              <w:jc w:val="right"/>
              <w:ind w:right="70"/>
              <w:spacing w:after="0"/>
              <w:rPr>
                <w:sz w:val="20"/>
                <w:szCs w:val="20"/>
                <w:color w:val="auto"/>
              </w:rPr>
            </w:pPr>
            <w:r>
              <w:rPr>
                <w:rFonts w:ascii="Calibri" w:cs="Calibri" w:eastAsia="Calibri" w:hAnsi="Calibri"/>
                <w:sz w:val="18"/>
                <w:szCs w:val="18"/>
                <w:b w:val="1"/>
                <w:bCs w:val="1"/>
                <w:color w:val="auto"/>
              </w:rPr>
              <w:t>$</w:t>
            </w:r>
          </w:p>
        </w:tc>
        <w:tc>
          <w:tcPr>
            <w:tcW w:w="880" w:type="dxa"/>
            <w:vAlign w:val="bottom"/>
            <w:shd w:val="clear" w:color="auto" w:fill="E5F1F8"/>
          </w:tcPr>
          <w:p>
            <w:pPr>
              <w:jc w:val="right"/>
              <w:ind w:right="210"/>
              <w:spacing w:after="0"/>
              <w:rPr>
                <w:sz w:val="20"/>
                <w:szCs w:val="20"/>
                <w:color w:val="auto"/>
              </w:rPr>
            </w:pPr>
            <w:r>
              <w:rPr>
                <w:rFonts w:ascii="Calibri" w:cs="Calibri" w:eastAsia="Calibri" w:hAnsi="Calibri"/>
                <w:sz w:val="18"/>
                <w:szCs w:val="18"/>
                <w:b w:val="1"/>
                <w:bCs w:val="1"/>
                <w:color w:val="auto"/>
              </w:rPr>
              <w:t>286</w:t>
            </w:r>
          </w:p>
        </w:tc>
        <w:tc>
          <w:tcPr>
            <w:tcW w:w="780" w:type="dxa"/>
            <w:vAlign w:val="bottom"/>
            <w:shd w:val="clear" w:color="auto" w:fill="E5F1F8"/>
          </w:tcPr>
          <w:p>
            <w:pPr>
              <w:jc w:val="right"/>
              <w:ind w:right="310"/>
              <w:spacing w:after="0"/>
              <w:rPr>
                <w:sz w:val="20"/>
                <w:szCs w:val="20"/>
                <w:color w:val="auto"/>
              </w:rPr>
            </w:pPr>
            <w:r>
              <w:rPr>
                <w:rFonts w:ascii="Calibri" w:cs="Calibri" w:eastAsia="Calibri" w:hAnsi="Calibri"/>
                <w:sz w:val="18"/>
                <w:szCs w:val="18"/>
                <w:color w:val="auto"/>
              </w:rPr>
              <w:t>0</w:t>
            </w:r>
          </w:p>
        </w:tc>
        <w:tc>
          <w:tcPr>
            <w:tcW w:w="880" w:type="dxa"/>
            <w:vAlign w:val="bottom"/>
            <w:shd w:val="clear" w:color="auto" w:fill="E5F1F8"/>
          </w:tcPr>
          <w:p>
            <w:pPr>
              <w:ind w:left="380"/>
              <w:spacing w:after="0"/>
              <w:rPr>
                <w:sz w:val="20"/>
                <w:szCs w:val="20"/>
                <w:color w:val="auto"/>
              </w:rPr>
            </w:pPr>
            <w:r>
              <w:rPr>
                <w:rFonts w:ascii="Calibri" w:cs="Calibri" w:eastAsia="Calibri" w:hAnsi="Calibri"/>
                <w:sz w:val="18"/>
                <w:szCs w:val="18"/>
                <w:color w:val="auto"/>
              </w:rPr>
              <w:t>no</w:t>
            </w:r>
          </w:p>
        </w:tc>
        <w:tc>
          <w:tcPr>
            <w:tcW w:w="800" w:type="dxa"/>
            <w:vAlign w:val="bottom"/>
            <w:shd w:val="clear" w:color="auto" w:fill="E5F1F8"/>
          </w:tcPr>
          <w:p>
            <w:pPr>
              <w:ind w:left="320"/>
              <w:spacing w:after="0"/>
              <w:rPr>
                <w:sz w:val="20"/>
                <w:szCs w:val="20"/>
                <w:color w:val="auto"/>
              </w:rPr>
            </w:pPr>
            <w:r>
              <w:rPr>
                <w:rFonts w:ascii="Calibri" w:cs="Calibri" w:eastAsia="Calibri" w:hAnsi="Calibri"/>
                <w:sz w:val="18"/>
                <w:szCs w:val="18"/>
                <w:color w:val="auto"/>
              </w:rPr>
              <w:t>no</w:t>
            </w:r>
          </w:p>
        </w:tc>
        <w:tc>
          <w:tcPr>
            <w:tcW w:w="620" w:type="dxa"/>
            <w:vAlign w:val="bottom"/>
            <w:shd w:val="clear" w:color="auto" w:fill="E5F1F8"/>
          </w:tcPr>
          <w:p>
            <w:pPr>
              <w:jc w:val="right"/>
              <w:ind w:right="150"/>
              <w:spacing w:after="0"/>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230"/>
              <w:spacing w:after="0"/>
              <w:rPr>
                <w:sz w:val="20"/>
                <w:szCs w:val="20"/>
                <w:color w:val="auto"/>
              </w:rPr>
            </w:pPr>
            <w:r>
              <w:rPr>
                <w:rFonts w:ascii="Calibri" w:cs="Calibri" w:eastAsia="Calibri" w:hAnsi="Calibri"/>
                <w:sz w:val="18"/>
                <w:szCs w:val="18"/>
                <w:color w:val="auto"/>
              </w:rPr>
              <w:t>0</w:t>
            </w:r>
          </w:p>
        </w:tc>
        <w:tc>
          <w:tcPr>
            <w:tcW w:w="780" w:type="dxa"/>
            <w:vAlign w:val="bottom"/>
            <w:shd w:val="clear" w:color="auto" w:fill="E5F1F8"/>
          </w:tcPr>
          <w:p>
            <w:pPr>
              <w:jc w:val="right"/>
              <w:ind w:right="290"/>
              <w:spacing w:after="0"/>
              <w:rPr>
                <w:sz w:val="20"/>
                <w:szCs w:val="20"/>
                <w:color w:val="auto"/>
              </w:rPr>
            </w:pPr>
            <w:r>
              <w:rPr>
                <w:rFonts w:ascii="Calibri" w:cs="Calibri" w:eastAsia="Calibri" w:hAnsi="Calibri"/>
                <w:sz w:val="18"/>
                <w:szCs w:val="18"/>
                <w:color w:val="auto"/>
              </w:rPr>
              <w:t>0</w:t>
            </w:r>
          </w:p>
        </w:tc>
      </w:tr>
      <w:tr>
        <w:trPr>
          <w:trHeight w:val="259"/>
        </w:trPr>
        <w:tc>
          <w:tcPr>
            <w:tcW w:w="1780" w:type="dxa"/>
            <w:vAlign w:val="bottom"/>
            <w:tcBorders>
              <w:bottom w:val="single" w:sz="8" w:color="E5F1F8"/>
            </w:tcBorders>
            <w:shd w:val="clear" w:color="auto" w:fill="E5F1F8"/>
          </w:tcPr>
          <w:p>
            <w:pPr>
              <w:spacing w:after="0"/>
              <w:rPr>
                <w:sz w:val="22"/>
                <w:szCs w:val="22"/>
                <w:color w:val="auto"/>
              </w:rPr>
            </w:pPr>
          </w:p>
        </w:tc>
        <w:tc>
          <w:tcPr>
            <w:tcW w:w="5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73</w:t>
            </w:r>
          </w:p>
        </w:tc>
        <w:tc>
          <w:tcPr>
            <w:tcW w:w="700" w:type="dxa"/>
            <w:vAlign w:val="bottom"/>
            <w:tcBorders>
              <w:bottom w:val="single" w:sz="8" w:color="E5F1F8"/>
            </w:tcBorders>
            <w:shd w:val="clear" w:color="auto" w:fill="E5F1F8"/>
          </w:tcPr>
          <w:p>
            <w:pPr>
              <w:spacing w:after="0"/>
              <w:rPr>
                <w:sz w:val="22"/>
                <w:szCs w:val="22"/>
                <w:color w:val="auto"/>
              </w:rPr>
            </w:pPr>
          </w:p>
        </w:tc>
        <w:tc>
          <w:tcPr>
            <w:tcW w:w="640" w:type="dxa"/>
            <w:vAlign w:val="bottom"/>
            <w:tcBorders>
              <w:bottom w:val="single" w:sz="8" w:color="E5F1F8"/>
            </w:tcBorders>
            <w:shd w:val="clear" w:color="auto" w:fill="E5F1F8"/>
          </w:tcPr>
          <w:p>
            <w:pPr>
              <w:spacing w:after="0"/>
              <w:rPr>
                <w:sz w:val="22"/>
                <w:szCs w:val="22"/>
                <w:color w:val="auto"/>
              </w:rPr>
            </w:pPr>
          </w:p>
        </w:tc>
        <w:tc>
          <w:tcPr>
            <w:tcW w:w="680" w:type="dxa"/>
            <w:vAlign w:val="bottom"/>
            <w:tcBorders>
              <w:bottom w:val="single" w:sz="8" w:color="E5F1F8"/>
            </w:tcBorders>
            <w:shd w:val="clear" w:color="auto" w:fill="E5F1F8"/>
          </w:tcPr>
          <w:p>
            <w:pPr>
              <w:spacing w:after="0"/>
              <w:rPr>
                <w:sz w:val="22"/>
                <w:szCs w:val="22"/>
                <w:color w:val="auto"/>
              </w:rPr>
            </w:pPr>
          </w:p>
        </w:tc>
        <w:tc>
          <w:tcPr>
            <w:tcW w:w="660" w:type="dxa"/>
            <w:vAlign w:val="bottom"/>
            <w:tcBorders>
              <w:bottom w:val="single" w:sz="8" w:color="E5F1F8"/>
            </w:tcBorders>
            <w:shd w:val="clear" w:color="auto" w:fill="E5F1F8"/>
          </w:tcPr>
          <w:p>
            <w:pPr>
              <w:spacing w:after="0"/>
              <w:rPr>
                <w:sz w:val="22"/>
                <w:szCs w:val="22"/>
                <w:color w:val="auto"/>
              </w:rPr>
            </w:pPr>
          </w:p>
        </w:tc>
        <w:tc>
          <w:tcPr>
            <w:tcW w:w="460" w:type="dxa"/>
            <w:vAlign w:val="bottom"/>
            <w:tcBorders>
              <w:bottom w:val="single" w:sz="8" w:color="E5F1F8"/>
            </w:tcBorders>
            <w:shd w:val="clear" w:color="auto" w:fill="E5F1F8"/>
          </w:tcPr>
          <w:p>
            <w:pPr>
              <w:spacing w:after="0"/>
              <w:rPr>
                <w:sz w:val="22"/>
                <w:szCs w:val="22"/>
                <w:color w:val="auto"/>
              </w:rPr>
            </w:pPr>
          </w:p>
        </w:tc>
        <w:tc>
          <w:tcPr>
            <w:tcW w:w="380" w:type="dxa"/>
            <w:vAlign w:val="bottom"/>
            <w:tcBorders>
              <w:bottom w:val="single" w:sz="8" w:color="E5F1F8"/>
            </w:tcBorders>
            <w:shd w:val="clear" w:color="auto" w:fill="E5F1F8"/>
          </w:tcPr>
          <w:p>
            <w:pPr>
              <w:spacing w:after="0"/>
              <w:rPr>
                <w:sz w:val="22"/>
                <w:szCs w:val="22"/>
                <w:color w:val="auto"/>
              </w:rPr>
            </w:pPr>
          </w:p>
        </w:tc>
        <w:tc>
          <w:tcPr>
            <w:tcW w:w="880" w:type="dxa"/>
            <w:vAlign w:val="bottom"/>
            <w:tcBorders>
              <w:bottom w:val="single" w:sz="8" w:color="E5F1F8"/>
            </w:tcBorders>
            <w:shd w:val="clear" w:color="auto" w:fill="E5F1F8"/>
          </w:tcPr>
          <w:p>
            <w:pPr>
              <w:spacing w:after="0"/>
              <w:rPr>
                <w:sz w:val="22"/>
                <w:szCs w:val="22"/>
                <w:color w:val="auto"/>
              </w:rPr>
            </w:pPr>
          </w:p>
        </w:tc>
        <w:tc>
          <w:tcPr>
            <w:tcW w:w="780" w:type="dxa"/>
            <w:vAlign w:val="bottom"/>
            <w:tcBorders>
              <w:bottom w:val="single" w:sz="8" w:color="E5F1F8"/>
            </w:tcBorders>
            <w:shd w:val="clear" w:color="auto" w:fill="E5F1F8"/>
          </w:tcPr>
          <w:p>
            <w:pPr>
              <w:spacing w:after="0"/>
              <w:rPr>
                <w:sz w:val="22"/>
                <w:szCs w:val="22"/>
                <w:color w:val="auto"/>
              </w:rPr>
            </w:pPr>
          </w:p>
        </w:tc>
        <w:tc>
          <w:tcPr>
            <w:tcW w:w="880" w:type="dxa"/>
            <w:vAlign w:val="bottom"/>
            <w:tcBorders>
              <w:bottom w:val="single" w:sz="8" w:color="E5F1F8"/>
            </w:tcBorders>
            <w:shd w:val="clear" w:color="auto" w:fill="E5F1F8"/>
          </w:tcPr>
          <w:p>
            <w:pPr>
              <w:spacing w:after="0"/>
              <w:rPr>
                <w:sz w:val="22"/>
                <w:szCs w:val="22"/>
                <w:color w:val="auto"/>
              </w:rPr>
            </w:pPr>
          </w:p>
        </w:tc>
        <w:tc>
          <w:tcPr>
            <w:tcW w:w="800" w:type="dxa"/>
            <w:vAlign w:val="bottom"/>
            <w:tcBorders>
              <w:bottom w:val="single" w:sz="8" w:color="E5F1F8"/>
            </w:tcBorders>
            <w:shd w:val="clear" w:color="auto" w:fill="E5F1F8"/>
          </w:tcPr>
          <w:p>
            <w:pPr>
              <w:spacing w:after="0"/>
              <w:rPr>
                <w:sz w:val="22"/>
                <w:szCs w:val="22"/>
                <w:color w:val="auto"/>
              </w:rPr>
            </w:pPr>
          </w:p>
        </w:tc>
        <w:tc>
          <w:tcPr>
            <w:tcW w:w="620" w:type="dxa"/>
            <w:vAlign w:val="bottom"/>
            <w:tcBorders>
              <w:bottom w:val="single" w:sz="8" w:color="E5F1F8"/>
            </w:tcBorders>
            <w:shd w:val="clear" w:color="auto" w:fill="E5F1F8"/>
          </w:tcPr>
          <w:p>
            <w:pPr>
              <w:spacing w:after="0"/>
              <w:rPr>
                <w:sz w:val="22"/>
                <w:szCs w:val="22"/>
                <w:color w:val="auto"/>
              </w:rPr>
            </w:pPr>
          </w:p>
        </w:tc>
        <w:tc>
          <w:tcPr>
            <w:tcW w:w="660" w:type="dxa"/>
            <w:vAlign w:val="bottom"/>
            <w:tcBorders>
              <w:bottom w:val="single" w:sz="8" w:color="E5F1F8"/>
            </w:tcBorders>
            <w:shd w:val="clear" w:color="auto" w:fill="E5F1F8"/>
          </w:tcPr>
          <w:p>
            <w:pPr>
              <w:spacing w:after="0"/>
              <w:rPr>
                <w:sz w:val="22"/>
                <w:szCs w:val="22"/>
                <w:color w:val="auto"/>
              </w:rPr>
            </w:pPr>
          </w:p>
        </w:tc>
        <w:tc>
          <w:tcPr>
            <w:tcW w:w="780" w:type="dxa"/>
            <w:vAlign w:val="bottom"/>
            <w:tcBorders>
              <w:bottom w:val="single" w:sz="8" w:color="E5F1F8"/>
            </w:tcBorders>
            <w:shd w:val="clear" w:color="auto" w:fill="E5F1F8"/>
          </w:tcPr>
          <w:p>
            <w:pPr>
              <w:spacing w:after="0"/>
              <w:rPr>
                <w:sz w:val="22"/>
                <w:szCs w:val="22"/>
                <w:color w:val="auto"/>
              </w:rPr>
            </w:pPr>
          </w:p>
        </w:tc>
      </w:tr>
      <w:tr>
        <w:trPr>
          <w:trHeight w:val="180"/>
        </w:trPr>
        <w:tc>
          <w:tcPr>
            <w:tcW w:w="1780" w:type="dxa"/>
            <w:vAlign w:val="bottom"/>
          </w:tcPr>
          <w:p>
            <w:pPr>
              <w:spacing w:after="0"/>
              <w:rPr>
                <w:sz w:val="15"/>
                <w:szCs w:val="15"/>
                <w:color w:val="auto"/>
              </w:rPr>
            </w:pPr>
          </w:p>
        </w:tc>
        <w:tc>
          <w:tcPr>
            <w:tcW w:w="540" w:type="dxa"/>
            <w:vAlign w:val="bottom"/>
          </w:tcPr>
          <w:p>
            <w:pPr>
              <w:ind w:left="20"/>
              <w:spacing w:after="0" w:line="180" w:lineRule="exact"/>
              <w:rPr>
                <w:sz w:val="20"/>
                <w:szCs w:val="20"/>
                <w:color w:val="auto"/>
              </w:rPr>
            </w:pPr>
            <w:r>
              <w:rPr>
                <w:rFonts w:ascii="Calibri" w:cs="Calibri" w:eastAsia="Calibri" w:hAnsi="Calibri"/>
                <w:sz w:val="18"/>
                <w:szCs w:val="18"/>
                <w:color w:val="auto"/>
              </w:rPr>
              <w:t>04047</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5"/>
        </w:trPr>
        <w:tc>
          <w:tcPr>
            <w:tcW w:w="1780" w:type="dxa"/>
            <w:vAlign w:val="bottom"/>
          </w:tcPr>
          <w:p>
            <w:pPr>
              <w:ind w:left="20"/>
              <w:spacing w:after="0" w:line="215" w:lineRule="exact"/>
              <w:rPr>
                <w:sz w:val="20"/>
                <w:szCs w:val="20"/>
                <w:color w:val="auto"/>
              </w:rPr>
            </w:pPr>
            <w:r>
              <w:rPr>
                <w:rFonts w:ascii="Calibri" w:cs="Calibri" w:eastAsia="Calibri" w:hAnsi="Calibri"/>
                <w:sz w:val="18"/>
                <w:szCs w:val="18"/>
                <w:color w:val="auto"/>
              </w:rPr>
              <w:t>Eagle Valley Plant</w:t>
            </w:r>
          </w:p>
        </w:tc>
        <w:tc>
          <w:tcPr>
            <w:tcW w:w="540" w:type="dxa"/>
            <w:vAlign w:val="bottom"/>
          </w:tcPr>
          <w:p>
            <w:pPr>
              <w:ind w:left="20"/>
              <w:spacing w:after="0" w:line="215" w:lineRule="exact"/>
              <w:rPr>
                <w:sz w:val="20"/>
                <w:szCs w:val="20"/>
                <w:color w:val="auto"/>
              </w:rPr>
            </w:pPr>
            <w:r>
              <w:rPr>
                <w:rFonts w:ascii="Calibri" w:cs="Calibri" w:eastAsia="Calibri" w:hAnsi="Calibri"/>
                <w:sz w:val="18"/>
                <w:szCs w:val="18"/>
                <w:color w:val="auto"/>
              </w:rPr>
              <w:t>58</w:t>
            </w:r>
          </w:p>
        </w:tc>
        <w:tc>
          <w:tcPr>
            <w:tcW w:w="7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right"/>
              <w:ind w:right="290"/>
              <w:spacing w:after="0" w:line="215" w:lineRule="exact"/>
              <w:rPr>
                <w:sz w:val="20"/>
                <w:szCs w:val="20"/>
                <w:color w:val="auto"/>
              </w:rPr>
            </w:pPr>
            <w:r>
              <w:rPr>
                <w:rFonts w:ascii="Calibri" w:cs="Calibri" w:eastAsia="Calibri" w:hAnsi="Calibri"/>
                <w:sz w:val="18"/>
                <w:szCs w:val="18"/>
                <w:color w:val="auto"/>
              </w:rPr>
              <w:t>0</w:t>
            </w:r>
          </w:p>
        </w:tc>
      </w:tr>
      <w:tr>
        <w:trPr>
          <w:trHeight w:val="37"/>
        </w:trPr>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7"/>
        </w:trPr>
        <w:tc>
          <w:tcPr>
            <w:tcW w:w="1780" w:type="dxa"/>
            <w:vAlign w:val="bottom"/>
            <w:shd w:val="clear" w:color="auto" w:fill="E5F1F8"/>
          </w:tcPr>
          <w:p>
            <w:pPr>
              <w:spacing w:after="0"/>
              <w:rPr>
                <w:sz w:val="18"/>
                <w:szCs w:val="18"/>
                <w:color w:val="auto"/>
              </w:rPr>
            </w:pPr>
          </w:p>
        </w:tc>
        <w:tc>
          <w:tcPr>
            <w:tcW w:w="54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rPr>
              <w:t>48000</w:t>
            </w:r>
          </w:p>
        </w:tc>
        <w:tc>
          <w:tcPr>
            <w:tcW w:w="70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r>
      <w:tr>
        <w:trPr>
          <w:trHeight w:val="232"/>
        </w:trPr>
        <w:tc>
          <w:tcPr>
            <w:tcW w:w="17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Granite Canyon Quarry</w:t>
            </w:r>
          </w:p>
        </w:tc>
        <w:tc>
          <w:tcPr>
            <w:tcW w:w="5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18</w:t>
            </w:r>
          </w:p>
        </w:tc>
        <w:tc>
          <w:tcPr>
            <w:tcW w:w="70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1,931</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30"/>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right"/>
              <w:ind w:right="290"/>
              <w:spacing w:after="0" w:line="215" w:lineRule="exact"/>
              <w:rPr>
                <w:sz w:val="20"/>
                <w:szCs w:val="20"/>
                <w:color w:val="auto"/>
              </w:rPr>
            </w:pPr>
            <w:r>
              <w:rPr>
                <w:rFonts w:ascii="Calibri" w:cs="Calibri" w:eastAsia="Calibri" w:hAnsi="Calibri"/>
                <w:sz w:val="18"/>
                <w:szCs w:val="18"/>
                <w:color w:val="auto"/>
              </w:rPr>
              <w:t>0</w:t>
            </w:r>
          </w:p>
        </w:tc>
      </w:tr>
      <w:tr>
        <w:trPr>
          <w:trHeight w:val="207"/>
        </w:trPr>
        <w:tc>
          <w:tcPr>
            <w:tcW w:w="1780" w:type="dxa"/>
            <w:vAlign w:val="bottom"/>
          </w:tcPr>
          <w:p>
            <w:pPr>
              <w:ind w:left="20"/>
              <w:spacing w:after="0" w:line="207" w:lineRule="exact"/>
              <w:rPr>
                <w:sz w:val="20"/>
                <w:szCs w:val="20"/>
                <w:color w:val="auto"/>
              </w:rPr>
            </w:pPr>
            <w:r>
              <w:rPr>
                <w:rFonts w:ascii="Calibri" w:cs="Calibri" w:eastAsia="Calibri" w:hAnsi="Calibri"/>
                <w:sz w:val="18"/>
                <w:szCs w:val="18"/>
                <w:color w:val="auto"/>
              </w:rPr>
              <w:t>Greeley 35th Sand</w:t>
            </w:r>
          </w:p>
        </w:tc>
        <w:tc>
          <w:tcPr>
            <w:tcW w:w="540" w:type="dxa"/>
            <w:vAlign w:val="bottom"/>
          </w:tcPr>
          <w:p>
            <w:pPr>
              <w:ind w:left="20"/>
              <w:spacing w:after="0" w:line="207" w:lineRule="exact"/>
              <w:rPr>
                <w:sz w:val="20"/>
                <w:szCs w:val="20"/>
                <w:color w:val="auto"/>
              </w:rPr>
            </w:pPr>
            <w:r>
              <w:rPr>
                <w:rFonts w:ascii="Calibri" w:cs="Calibri" w:eastAsia="Calibri" w:hAnsi="Calibri"/>
                <w:sz w:val="18"/>
                <w:szCs w:val="18"/>
                <w:color w:val="auto"/>
              </w:rPr>
              <w:t>05046</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5"/>
        </w:trPr>
        <w:tc>
          <w:tcPr>
            <w:tcW w:w="1780" w:type="dxa"/>
            <w:vAlign w:val="bottom"/>
          </w:tcPr>
          <w:p>
            <w:pPr>
              <w:ind w:left="20"/>
              <w:spacing w:after="0" w:line="215" w:lineRule="exact"/>
              <w:rPr>
                <w:sz w:val="20"/>
                <w:szCs w:val="20"/>
                <w:color w:val="auto"/>
              </w:rPr>
            </w:pPr>
            <w:r>
              <w:rPr>
                <w:rFonts w:ascii="Calibri" w:cs="Calibri" w:eastAsia="Calibri" w:hAnsi="Calibri"/>
                <w:sz w:val="18"/>
                <w:szCs w:val="18"/>
                <w:color w:val="auto"/>
              </w:rPr>
              <w:t>Gravel</w:t>
            </w:r>
          </w:p>
        </w:tc>
        <w:tc>
          <w:tcPr>
            <w:tcW w:w="540" w:type="dxa"/>
            <w:vAlign w:val="bottom"/>
          </w:tcPr>
          <w:p>
            <w:pPr>
              <w:ind w:left="20"/>
              <w:spacing w:after="0" w:line="215" w:lineRule="exact"/>
              <w:rPr>
                <w:sz w:val="20"/>
                <w:szCs w:val="20"/>
                <w:color w:val="auto"/>
              </w:rPr>
            </w:pPr>
            <w:r>
              <w:rPr>
                <w:rFonts w:ascii="Calibri" w:cs="Calibri" w:eastAsia="Calibri" w:hAnsi="Calibri"/>
                <w:sz w:val="18"/>
                <w:szCs w:val="18"/>
                <w:color w:val="auto"/>
              </w:rPr>
              <w:t>13</w:t>
            </w:r>
          </w:p>
        </w:tc>
        <w:tc>
          <w:tcPr>
            <w:tcW w:w="7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right"/>
              <w:ind w:right="290"/>
              <w:spacing w:after="0" w:line="215" w:lineRule="exact"/>
              <w:rPr>
                <w:sz w:val="20"/>
                <w:szCs w:val="20"/>
                <w:color w:val="auto"/>
              </w:rPr>
            </w:pPr>
            <w:r>
              <w:rPr>
                <w:rFonts w:ascii="Calibri" w:cs="Calibri" w:eastAsia="Calibri" w:hAnsi="Calibri"/>
                <w:sz w:val="18"/>
                <w:szCs w:val="18"/>
                <w:color w:val="auto"/>
              </w:rPr>
              <w:t>0</w:t>
            </w:r>
          </w:p>
        </w:tc>
      </w:tr>
      <w:tr>
        <w:trPr>
          <w:trHeight w:val="37"/>
        </w:trPr>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7"/>
        </w:trPr>
        <w:tc>
          <w:tcPr>
            <w:tcW w:w="1780" w:type="dxa"/>
            <w:vAlign w:val="bottom"/>
            <w:shd w:val="clear" w:color="auto" w:fill="E5F1F8"/>
          </w:tcPr>
          <w:p>
            <w:pPr>
              <w:spacing w:after="0"/>
              <w:rPr>
                <w:sz w:val="18"/>
                <w:szCs w:val="18"/>
                <w:color w:val="auto"/>
              </w:rPr>
            </w:pPr>
          </w:p>
        </w:tc>
        <w:tc>
          <w:tcPr>
            <w:tcW w:w="54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rPr>
              <w:t>48000</w:t>
            </w:r>
          </w:p>
        </w:tc>
        <w:tc>
          <w:tcPr>
            <w:tcW w:w="70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r>
      <w:tr>
        <w:trPr>
          <w:trHeight w:val="232"/>
        </w:trPr>
        <w:tc>
          <w:tcPr>
            <w:tcW w:w="17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Guernsey Quarry</w:t>
            </w:r>
          </w:p>
        </w:tc>
        <w:tc>
          <w:tcPr>
            <w:tcW w:w="5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04</w:t>
            </w:r>
          </w:p>
        </w:tc>
        <w:tc>
          <w:tcPr>
            <w:tcW w:w="70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4,573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30"/>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right"/>
              <w:ind w:right="290"/>
              <w:spacing w:after="0" w:line="215" w:lineRule="exact"/>
              <w:rPr>
                <w:sz w:val="20"/>
                <w:szCs w:val="20"/>
                <w:color w:val="auto"/>
              </w:rPr>
            </w:pPr>
            <w:r>
              <w:rPr>
                <w:rFonts w:ascii="Calibri" w:cs="Calibri" w:eastAsia="Calibri" w:hAnsi="Calibri"/>
                <w:sz w:val="18"/>
                <w:szCs w:val="18"/>
                <w:color w:val="auto"/>
              </w:rPr>
              <w:t>0</w:t>
            </w:r>
          </w:p>
        </w:tc>
      </w:tr>
      <w:tr>
        <w:trPr>
          <w:trHeight w:val="1168"/>
        </w:trPr>
        <w:tc>
          <w:tcPr>
            <w:tcW w:w="1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29146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2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148" w:name="page149"/>
    <w:bookmarkEnd w:id="14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center"/>
              <w:ind w:left="70"/>
              <w:spacing w:after="0"/>
              <w:rPr>
                <w:sz w:val="20"/>
                <w:szCs w:val="20"/>
                <w:color w:val="auto"/>
              </w:rPr>
            </w:pPr>
            <w:r>
              <w:rPr>
                <w:rFonts w:ascii="Calibri" w:cs="Calibri" w:eastAsia="Calibri" w:hAnsi="Calibri"/>
                <w:sz w:val="18"/>
                <w:szCs w:val="18"/>
                <w:color w:val="auto"/>
                <w:w w:val="97"/>
              </w:rPr>
              <w:t>Appendix 1</w:t>
            </w:r>
          </w:p>
        </w:tc>
      </w:tr>
      <w:tr>
        <w:trPr>
          <w:trHeight w:val="661"/>
        </w:trPr>
        <w:tc>
          <w:tcPr>
            <w:tcW w:w="176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Calibri" w:cs="Calibri" w:eastAsia="Calibri" w:hAnsi="Calibri"/>
                <w:sz w:val="18"/>
                <w:szCs w:val="18"/>
                <w:color w:val="auto"/>
              </w:rPr>
              <w:t>02026</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760" w:type="dxa"/>
            <w:vAlign w:val="bottom"/>
          </w:tcPr>
          <w:p>
            <w:pPr>
              <w:ind w:left="20"/>
              <w:spacing w:after="0" w:line="216" w:lineRule="exact"/>
              <w:rPr>
                <w:sz w:val="20"/>
                <w:szCs w:val="20"/>
                <w:color w:val="auto"/>
              </w:rPr>
            </w:pPr>
            <w:r>
              <w:rPr>
                <w:rFonts w:ascii="Calibri" w:cs="Calibri" w:eastAsia="Calibri" w:hAnsi="Calibri"/>
                <w:sz w:val="18"/>
                <w:szCs w:val="18"/>
                <w:color w:val="auto"/>
              </w:rPr>
              <w:t>Hassayampa</w:t>
            </w:r>
          </w:p>
        </w:tc>
        <w:tc>
          <w:tcPr>
            <w:tcW w:w="700" w:type="dxa"/>
            <w:vAlign w:val="bottom"/>
          </w:tcPr>
          <w:p>
            <w:pPr>
              <w:ind w:left="40"/>
              <w:spacing w:after="0" w:line="216" w:lineRule="exact"/>
              <w:rPr>
                <w:sz w:val="20"/>
                <w:szCs w:val="20"/>
                <w:color w:val="auto"/>
              </w:rPr>
            </w:pPr>
            <w:r>
              <w:rPr>
                <w:rFonts w:ascii="Calibri" w:cs="Calibri" w:eastAsia="Calibri" w:hAnsi="Calibri"/>
                <w:sz w:val="18"/>
                <w:szCs w:val="18"/>
                <w:color w:val="auto"/>
              </w:rPr>
              <w:t>79</w:t>
            </w:r>
          </w:p>
        </w:tc>
        <w:tc>
          <w:tcPr>
            <w:tcW w:w="56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6"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6"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6"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6"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6"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6"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6"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04017</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Hughson AGG &amp; HMA</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69</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04018</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Irwindale Plant</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38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2,913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04026</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w w:val="99"/>
              </w:rPr>
              <w:t>Lakeside Vigilante Plant</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85</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4,296</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b w:val="1"/>
                <w:bCs w:val="1"/>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1</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04028</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Merced AGG &amp; HMA</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41</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42021</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Milford Quarry  Utah</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77</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3,377</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04029</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Miramar Recycle Plant</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11</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rPr>
              <w:t>Northern Portable</w:t>
            </w: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05045</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Crushing #10</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31</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ind w:left="20"/>
              <w:spacing w:after="0" w:line="207" w:lineRule="exact"/>
              <w:rPr>
                <w:sz w:val="20"/>
                <w:szCs w:val="20"/>
                <w:color w:val="auto"/>
              </w:rPr>
            </w:pPr>
            <w:r>
              <w:rPr>
                <w:rFonts w:ascii="Calibri" w:cs="Calibri" w:eastAsia="Calibri" w:hAnsi="Calibri"/>
                <w:sz w:val="18"/>
                <w:szCs w:val="18"/>
                <w:color w:val="auto"/>
                <w:w w:val="97"/>
              </w:rPr>
              <w:t>Northern Portable Plant</w:t>
            </w: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05047</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17</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35</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144</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w w:val="97"/>
              </w:rPr>
              <w:t>Northern Portable Plant</w:t>
            </w: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48015</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4</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65</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45008</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Pacifc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44</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2,282</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05046</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Parkdale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35</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614</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05032</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Parsons Sand Gravel</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15</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rPr>
              <w:t>Penrose Sand and</w:t>
            </w: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05045</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Gravel</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09</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ind w:left="20"/>
              <w:spacing w:after="0" w:line="207" w:lineRule="exact"/>
              <w:rPr>
                <w:sz w:val="20"/>
                <w:szCs w:val="20"/>
                <w:color w:val="auto"/>
              </w:rPr>
            </w:pPr>
            <w:r>
              <w:rPr>
                <w:rFonts w:ascii="Calibri" w:cs="Calibri" w:eastAsia="Calibri" w:hAnsi="Calibri"/>
                <w:sz w:val="18"/>
                <w:szCs w:val="18"/>
                <w:color w:val="auto"/>
              </w:rPr>
              <w:t>Pier 92 Marine</w:t>
            </w: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04052</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Aggregates</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61</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05044</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Plate Sand and Gravel</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18</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05043</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Portable Plant 1</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59</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05039</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Portable Plant 11</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84</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05045</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Portable Plant 21</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20</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155.70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05041</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Red Canyon Quarry</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36</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665</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05041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Rich Sand &amp; Gravel</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86</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2</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1,063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02026</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River Ranch AGG</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46</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773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05048</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Riverbend Sand Gravel</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41</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4,160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04005</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San Andreas AGG</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39</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849</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04057</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Sanger AGG</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99</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2,028</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rPr>
              <w:t>Santa Margarita</w:t>
            </w: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04016</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Aggregates</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16</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9,337</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04055</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Santee Plant</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64</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04019</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Sisquoc Aggregates</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59</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1,164</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05008</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Spec Agg Quarry</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60</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1,358</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04018</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Sunol Plant</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59</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2,255</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05045</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Taf Sand Gravel</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26</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169</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6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rPr>
              <w:t>Tidewater Oakland</w:t>
            </w:r>
          </w:p>
        </w:tc>
        <w:tc>
          <w:tcPr>
            <w:tcW w:w="70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04030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Marine Agg</w:t>
            </w:r>
          </w:p>
        </w:tc>
        <w:tc>
          <w:tcPr>
            <w:tcW w:w="70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02</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700" w:type="dxa"/>
            <w:vAlign w:val="bottom"/>
          </w:tcPr>
          <w:p>
            <w:pPr>
              <w:ind w:left="40"/>
              <w:spacing w:after="0" w:line="207" w:lineRule="exact"/>
              <w:rPr>
                <w:sz w:val="20"/>
                <w:szCs w:val="20"/>
                <w:color w:val="auto"/>
              </w:rPr>
            </w:pPr>
            <w:r>
              <w:rPr>
                <w:rFonts w:ascii="Calibri" w:cs="Calibri" w:eastAsia="Calibri" w:hAnsi="Calibri"/>
                <w:sz w:val="18"/>
                <w:szCs w:val="18"/>
                <w:color w:val="auto"/>
              </w:rPr>
              <w:t>02012</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Yavapai AGG</w:t>
            </w:r>
          </w:p>
        </w:tc>
        <w:tc>
          <w:tcPr>
            <w:tcW w:w="700" w:type="dxa"/>
            <w:vAlign w:val="bottom"/>
          </w:tcPr>
          <w:p>
            <w:pPr>
              <w:ind w:left="40"/>
              <w:spacing w:after="0" w:line="215" w:lineRule="exact"/>
              <w:rPr>
                <w:sz w:val="20"/>
                <w:szCs w:val="20"/>
                <w:color w:val="auto"/>
              </w:rPr>
            </w:pPr>
            <w:r>
              <w:rPr>
                <w:rFonts w:ascii="Calibri" w:cs="Calibri" w:eastAsia="Calibri" w:hAnsi="Calibri"/>
                <w:sz w:val="18"/>
                <w:szCs w:val="18"/>
                <w:color w:val="auto"/>
              </w:rPr>
              <w:t>22</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17"/>
        </w:trPr>
        <w:tc>
          <w:tcPr>
            <w:tcW w:w="1760" w:type="dxa"/>
            <w:vAlign w:val="bottom"/>
            <w:shd w:val="clear" w:color="auto" w:fill="E5F1F8"/>
          </w:tcPr>
          <w:p>
            <w:pPr>
              <w:spacing w:after="0"/>
              <w:rPr>
                <w:sz w:val="10"/>
                <w:szCs w:val="10"/>
                <w:color w:val="auto"/>
              </w:rPr>
            </w:pPr>
          </w:p>
        </w:tc>
        <w:tc>
          <w:tcPr>
            <w:tcW w:w="700" w:type="dxa"/>
            <w:vAlign w:val="bottom"/>
            <w:shd w:val="clear" w:color="auto" w:fill="E5F1F8"/>
          </w:tcPr>
          <w:p>
            <w:pPr>
              <w:spacing w:after="0"/>
              <w:rPr>
                <w:sz w:val="10"/>
                <w:szCs w:val="10"/>
                <w:color w:val="auto"/>
              </w:rPr>
            </w:pPr>
          </w:p>
        </w:tc>
        <w:tc>
          <w:tcPr>
            <w:tcW w:w="560" w:type="dxa"/>
            <w:vAlign w:val="bottom"/>
            <w:shd w:val="clear" w:color="auto" w:fill="E5F1F8"/>
          </w:tcPr>
          <w:p>
            <w:pPr>
              <w:spacing w:after="0"/>
              <w:rPr>
                <w:sz w:val="10"/>
                <w:szCs w:val="10"/>
                <w:color w:val="auto"/>
              </w:rPr>
            </w:pPr>
          </w:p>
        </w:tc>
        <w:tc>
          <w:tcPr>
            <w:tcW w:w="640" w:type="dxa"/>
            <w:vAlign w:val="bottom"/>
            <w:shd w:val="clear" w:color="auto" w:fill="E5F1F8"/>
          </w:tcPr>
          <w:p>
            <w:pPr>
              <w:spacing w:after="0"/>
              <w:rPr>
                <w:sz w:val="10"/>
                <w:szCs w:val="10"/>
                <w:color w:val="auto"/>
              </w:rPr>
            </w:pPr>
          </w:p>
        </w:tc>
        <w:tc>
          <w:tcPr>
            <w:tcW w:w="680" w:type="dxa"/>
            <w:vAlign w:val="bottom"/>
            <w:shd w:val="clear" w:color="auto" w:fill="E5F1F8"/>
          </w:tcPr>
          <w:p>
            <w:pPr>
              <w:spacing w:after="0"/>
              <w:rPr>
                <w:sz w:val="10"/>
                <w:szCs w:val="10"/>
                <w:color w:val="auto"/>
              </w:rPr>
            </w:pPr>
          </w:p>
        </w:tc>
        <w:tc>
          <w:tcPr>
            <w:tcW w:w="660" w:type="dxa"/>
            <w:vAlign w:val="bottom"/>
            <w:shd w:val="clear" w:color="auto" w:fill="E5F1F8"/>
          </w:tcPr>
          <w:p>
            <w:pPr>
              <w:spacing w:after="0"/>
              <w:rPr>
                <w:sz w:val="10"/>
                <w:szCs w:val="10"/>
                <w:color w:val="auto"/>
              </w:rPr>
            </w:pPr>
          </w:p>
        </w:tc>
        <w:tc>
          <w:tcPr>
            <w:tcW w:w="460" w:type="dxa"/>
            <w:vAlign w:val="bottom"/>
            <w:shd w:val="clear" w:color="auto" w:fill="E5F1F8"/>
          </w:tcPr>
          <w:p>
            <w:pPr>
              <w:spacing w:after="0"/>
              <w:rPr>
                <w:sz w:val="10"/>
                <w:szCs w:val="10"/>
                <w:color w:val="auto"/>
              </w:rPr>
            </w:pPr>
          </w:p>
        </w:tc>
        <w:tc>
          <w:tcPr>
            <w:tcW w:w="340" w:type="dxa"/>
            <w:vAlign w:val="bottom"/>
            <w:shd w:val="clear" w:color="auto" w:fill="E5F1F8"/>
          </w:tcPr>
          <w:p>
            <w:pPr>
              <w:spacing w:after="0"/>
              <w:rPr>
                <w:sz w:val="10"/>
                <w:szCs w:val="10"/>
                <w:color w:val="auto"/>
              </w:rPr>
            </w:pPr>
          </w:p>
        </w:tc>
        <w:tc>
          <w:tcPr>
            <w:tcW w:w="920" w:type="dxa"/>
            <w:vAlign w:val="bottom"/>
            <w:shd w:val="clear" w:color="auto" w:fill="E5F1F8"/>
          </w:tcPr>
          <w:p>
            <w:pPr>
              <w:spacing w:after="0"/>
              <w:rPr>
                <w:sz w:val="10"/>
                <w:szCs w:val="10"/>
                <w:color w:val="auto"/>
              </w:rPr>
            </w:pPr>
          </w:p>
        </w:tc>
        <w:tc>
          <w:tcPr>
            <w:tcW w:w="780" w:type="dxa"/>
            <w:vAlign w:val="bottom"/>
            <w:shd w:val="clear" w:color="auto" w:fill="E5F1F8"/>
          </w:tcPr>
          <w:p>
            <w:pPr>
              <w:spacing w:after="0"/>
              <w:rPr>
                <w:sz w:val="10"/>
                <w:szCs w:val="10"/>
                <w:color w:val="auto"/>
              </w:rPr>
            </w:pPr>
          </w:p>
        </w:tc>
        <w:tc>
          <w:tcPr>
            <w:tcW w:w="880" w:type="dxa"/>
            <w:vAlign w:val="bottom"/>
            <w:shd w:val="clear" w:color="auto" w:fill="E5F1F8"/>
          </w:tcPr>
          <w:p>
            <w:pPr>
              <w:spacing w:after="0"/>
              <w:rPr>
                <w:sz w:val="10"/>
                <w:szCs w:val="10"/>
                <w:color w:val="auto"/>
              </w:rPr>
            </w:pPr>
          </w:p>
        </w:tc>
        <w:tc>
          <w:tcPr>
            <w:tcW w:w="800" w:type="dxa"/>
            <w:vAlign w:val="bottom"/>
            <w:shd w:val="clear" w:color="auto" w:fill="E5F1F8"/>
          </w:tcPr>
          <w:p>
            <w:pPr>
              <w:spacing w:after="0"/>
              <w:rPr>
                <w:sz w:val="10"/>
                <w:szCs w:val="10"/>
                <w:color w:val="auto"/>
              </w:rPr>
            </w:pPr>
          </w:p>
        </w:tc>
        <w:tc>
          <w:tcPr>
            <w:tcW w:w="620" w:type="dxa"/>
            <w:vAlign w:val="bottom"/>
            <w:shd w:val="clear" w:color="auto" w:fill="E5F1F8"/>
          </w:tcPr>
          <w:p>
            <w:pPr>
              <w:spacing w:after="0"/>
              <w:rPr>
                <w:sz w:val="10"/>
                <w:szCs w:val="10"/>
                <w:color w:val="auto"/>
              </w:rPr>
            </w:pPr>
          </w:p>
        </w:tc>
        <w:tc>
          <w:tcPr>
            <w:tcW w:w="480" w:type="dxa"/>
            <w:vAlign w:val="bottom"/>
            <w:shd w:val="clear" w:color="auto" w:fill="E5F1F8"/>
          </w:tcPr>
          <w:p>
            <w:pPr>
              <w:spacing w:after="0"/>
              <w:rPr>
                <w:sz w:val="10"/>
                <w:szCs w:val="10"/>
                <w:color w:val="auto"/>
              </w:rPr>
            </w:pPr>
          </w:p>
        </w:tc>
        <w:tc>
          <w:tcPr>
            <w:tcW w:w="960" w:type="dxa"/>
            <w:vAlign w:val="bottom"/>
            <w:shd w:val="clear" w:color="auto" w:fill="E5F1F8"/>
          </w:tcPr>
          <w:p>
            <w:pPr>
              <w:spacing w:after="0"/>
              <w:rPr>
                <w:sz w:val="10"/>
                <w:szCs w:val="10"/>
                <w:color w:val="auto"/>
              </w:rPr>
            </w:pPr>
          </w:p>
        </w:tc>
      </w:tr>
    </w:tbl>
    <w:p>
      <w:pPr>
        <w:sectPr>
          <w:pgSz w:w="11900" w:h="16900" w:orient="portrait"/>
          <w:cols w:equalWidth="0" w:num="1">
            <w:col w:w="11240"/>
          </w:cols>
          <w:pgMar w:left="320" w:top="760" w:right="339" w:bottom="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80" w:type="dxa"/>
            <w:vAlign w:val="bottom"/>
            <w:shd w:val="clear" w:color="auto" w:fill="E5F1F8"/>
          </w:tcPr>
          <w:p>
            <w:pPr>
              <w:ind w:left="20"/>
              <w:spacing w:after="0"/>
              <w:rPr>
                <w:sz w:val="20"/>
                <w:szCs w:val="20"/>
                <w:color w:val="auto"/>
              </w:rPr>
            </w:pPr>
            <w:r>
              <w:rPr>
                <w:rFonts w:ascii="Calibri" w:cs="Calibri" w:eastAsia="Calibri" w:hAnsi="Calibri"/>
                <w:sz w:val="18"/>
                <w:szCs w:val="18"/>
                <w:color w:val="auto"/>
              </w:rPr>
              <w:t>51 Sand &amp; Gravel</w:t>
            </w:r>
          </w:p>
        </w:tc>
        <w:tc>
          <w:tcPr>
            <w:tcW w:w="540" w:type="dxa"/>
            <w:vAlign w:val="bottom"/>
            <w:shd w:val="clear" w:color="auto" w:fill="E5F1F8"/>
          </w:tcPr>
          <w:p>
            <w:pPr>
              <w:ind w:left="20"/>
              <w:spacing w:after="0"/>
              <w:rPr>
                <w:sz w:val="20"/>
                <w:szCs w:val="20"/>
                <w:color w:val="auto"/>
              </w:rPr>
            </w:pPr>
            <w:r>
              <w:rPr>
                <w:rFonts w:ascii="Calibri" w:cs="Calibri" w:eastAsia="Calibri" w:hAnsi="Calibri"/>
                <w:sz w:val="18"/>
                <w:szCs w:val="18"/>
                <w:color w:val="auto"/>
              </w:rPr>
              <w:t>41053</w:t>
            </w:r>
          </w:p>
        </w:tc>
        <w:tc>
          <w:tcPr>
            <w:tcW w:w="700" w:type="dxa"/>
            <w:vAlign w:val="bottom"/>
            <w:shd w:val="clear" w:color="auto" w:fill="E5F1F8"/>
          </w:tcPr>
          <w:p>
            <w:pPr>
              <w:jc w:val="right"/>
              <w:ind w:right="190"/>
              <w:spacing w:after="0"/>
              <w:rPr>
                <w:sz w:val="20"/>
                <w:szCs w:val="20"/>
                <w:color w:val="auto"/>
              </w:rPr>
            </w:pPr>
            <w:r>
              <w:rPr>
                <w:rFonts w:ascii="Calibri" w:cs="Calibri" w:eastAsia="Calibri" w:hAnsi="Calibri"/>
                <w:sz w:val="18"/>
                <w:szCs w:val="18"/>
                <w:color w:val="auto"/>
              </w:rPr>
              <w:t>0</w:t>
            </w:r>
          </w:p>
        </w:tc>
        <w:tc>
          <w:tcPr>
            <w:tcW w:w="640" w:type="dxa"/>
            <w:vAlign w:val="bottom"/>
            <w:shd w:val="clear" w:color="auto" w:fill="E5F1F8"/>
          </w:tcPr>
          <w:p>
            <w:pPr>
              <w:jc w:val="right"/>
              <w:ind w:right="190"/>
              <w:spacing w:after="0"/>
              <w:rPr>
                <w:sz w:val="20"/>
                <w:szCs w:val="20"/>
                <w:color w:val="auto"/>
              </w:rPr>
            </w:pPr>
            <w:r>
              <w:rPr>
                <w:rFonts w:ascii="Calibri" w:cs="Calibri" w:eastAsia="Calibri" w:hAnsi="Calibri"/>
                <w:sz w:val="18"/>
                <w:szCs w:val="18"/>
                <w:color w:val="auto"/>
              </w:rPr>
              <w:t>0</w:t>
            </w:r>
          </w:p>
        </w:tc>
        <w:tc>
          <w:tcPr>
            <w:tcW w:w="680" w:type="dxa"/>
            <w:vAlign w:val="bottom"/>
            <w:shd w:val="clear" w:color="auto" w:fill="E5F1F8"/>
          </w:tcPr>
          <w:p>
            <w:pPr>
              <w:jc w:val="right"/>
              <w:ind w:right="210"/>
              <w:spacing w:after="0"/>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150"/>
              <w:spacing w:after="0"/>
              <w:rPr>
                <w:sz w:val="20"/>
                <w:szCs w:val="20"/>
                <w:color w:val="auto"/>
              </w:rPr>
            </w:pPr>
            <w:r>
              <w:rPr>
                <w:rFonts w:ascii="Calibri" w:cs="Calibri" w:eastAsia="Calibri" w:hAnsi="Calibri"/>
                <w:sz w:val="18"/>
                <w:szCs w:val="18"/>
                <w:color w:val="auto"/>
              </w:rPr>
              <w:t>0</w:t>
            </w:r>
          </w:p>
        </w:tc>
        <w:tc>
          <w:tcPr>
            <w:tcW w:w="460" w:type="dxa"/>
            <w:vAlign w:val="bottom"/>
            <w:shd w:val="clear" w:color="auto" w:fill="E5F1F8"/>
          </w:tcPr>
          <w:p>
            <w:pPr>
              <w:jc w:val="right"/>
              <w:ind w:right="30"/>
              <w:spacing w:after="0"/>
              <w:rPr>
                <w:sz w:val="20"/>
                <w:szCs w:val="20"/>
                <w:color w:val="auto"/>
              </w:rPr>
            </w:pPr>
            <w:r>
              <w:rPr>
                <w:rFonts w:ascii="Calibri" w:cs="Calibri" w:eastAsia="Calibri" w:hAnsi="Calibri"/>
                <w:sz w:val="18"/>
                <w:szCs w:val="18"/>
                <w:color w:val="auto"/>
              </w:rPr>
              <w:t>0</w:t>
            </w:r>
          </w:p>
        </w:tc>
        <w:tc>
          <w:tcPr>
            <w:tcW w:w="460" w:type="dxa"/>
            <w:vAlign w:val="bottom"/>
            <w:shd w:val="clear" w:color="auto" w:fill="E5F1F8"/>
          </w:tcPr>
          <w:p>
            <w:pPr>
              <w:jc w:val="right"/>
              <w:ind w:right="150"/>
              <w:spacing w:after="0"/>
              <w:rPr>
                <w:sz w:val="20"/>
                <w:szCs w:val="20"/>
                <w:color w:val="auto"/>
              </w:rPr>
            </w:pPr>
            <w:r>
              <w:rPr>
                <w:rFonts w:ascii="Calibri" w:cs="Calibri" w:eastAsia="Calibri" w:hAnsi="Calibri"/>
                <w:sz w:val="18"/>
                <w:szCs w:val="18"/>
                <w:b w:val="1"/>
                <w:bCs w:val="1"/>
                <w:color w:val="auto"/>
              </w:rPr>
              <w:t>$</w:t>
            </w:r>
          </w:p>
        </w:tc>
        <w:tc>
          <w:tcPr>
            <w:tcW w:w="800" w:type="dxa"/>
            <w:vAlign w:val="bottom"/>
            <w:shd w:val="clear" w:color="auto" w:fill="E5F1F8"/>
          </w:tcPr>
          <w:p>
            <w:pPr>
              <w:jc w:val="right"/>
              <w:ind w:right="210"/>
              <w:spacing w:after="0"/>
              <w:rPr>
                <w:sz w:val="20"/>
                <w:szCs w:val="20"/>
                <w:color w:val="auto"/>
              </w:rPr>
            </w:pPr>
            <w:r>
              <w:rPr>
                <w:rFonts w:ascii="Calibri" w:cs="Calibri" w:eastAsia="Calibri" w:hAnsi="Calibri"/>
                <w:sz w:val="18"/>
                <w:szCs w:val="18"/>
                <w:b w:val="1"/>
                <w:bCs w:val="1"/>
                <w:color w:val="auto"/>
              </w:rPr>
              <w:t>266</w:t>
            </w:r>
          </w:p>
        </w:tc>
        <w:tc>
          <w:tcPr>
            <w:tcW w:w="780" w:type="dxa"/>
            <w:vAlign w:val="bottom"/>
            <w:shd w:val="clear" w:color="auto" w:fill="E5F1F8"/>
          </w:tcPr>
          <w:p>
            <w:pPr>
              <w:jc w:val="right"/>
              <w:ind w:right="310"/>
              <w:spacing w:after="0"/>
              <w:rPr>
                <w:sz w:val="20"/>
                <w:szCs w:val="20"/>
                <w:color w:val="auto"/>
              </w:rPr>
            </w:pPr>
            <w:r>
              <w:rPr>
                <w:rFonts w:ascii="Calibri" w:cs="Calibri" w:eastAsia="Calibri" w:hAnsi="Calibri"/>
                <w:sz w:val="18"/>
                <w:szCs w:val="18"/>
                <w:color w:val="auto"/>
              </w:rPr>
              <w:t>0</w:t>
            </w:r>
          </w:p>
        </w:tc>
        <w:tc>
          <w:tcPr>
            <w:tcW w:w="880" w:type="dxa"/>
            <w:vAlign w:val="bottom"/>
            <w:shd w:val="clear" w:color="auto" w:fill="E5F1F8"/>
          </w:tcPr>
          <w:p>
            <w:pPr>
              <w:ind w:left="380"/>
              <w:spacing w:after="0"/>
              <w:rPr>
                <w:sz w:val="20"/>
                <w:szCs w:val="20"/>
                <w:color w:val="auto"/>
              </w:rPr>
            </w:pPr>
            <w:r>
              <w:rPr>
                <w:rFonts w:ascii="Calibri" w:cs="Calibri" w:eastAsia="Calibri" w:hAnsi="Calibri"/>
                <w:sz w:val="18"/>
                <w:szCs w:val="18"/>
                <w:color w:val="auto"/>
              </w:rPr>
              <w:t>no</w:t>
            </w:r>
          </w:p>
        </w:tc>
        <w:tc>
          <w:tcPr>
            <w:tcW w:w="800" w:type="dxa"/>
            <w:vAlign w:val="bottom"/>
            <w:shd w:val="clear" w:color="auto" w:fill="E5F1F8"/>
          </w:tcPr>
          <w:p>
            <w:pPr>
              <w:ind w:left="320"/>
              <w:spacing w:after="0"/>
              <w:rPr>
                <w:sz w:val="20"/>
                <w:szCs w:val="20"/>
                <w:color w:val="auto"/>
              </w:rPr>
            </w:pPr>
            <w:r>
              <w:rPr>
                <w:rFonts w:ascii="Calibri" w:cs="Calibri" w:eastAsia="Calibri" w:hAnsi="Calibri"/>
                <w:sz w:val="18"/>
                <w:szCs w:val="18"/>
                <w:color w:val="auto"/>
              </w:rPr>
              <w:t>no</w:t>
            </w:r>
          </w:p>
        </w:tc>
        <w:tc>
          <w:tcPr>
            <w:tcW w:w="620" w:type="dxa"/>
            <w:vAlign w:val="bottom"/>
            <w:shd w:val="clear" w:color="auto" w:fill="E5F1F8"/>
          </w:tcPr>
          <w:p>
            <w:pPr>
              <w:jc w:val="right"/>
              <w:ind w:right="150"/>
              <w:spacing w:after="0"/>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230"/>
              <w:spacing w:after="0"/>
              <w:rPr>
                <w:sz w:val="20"/>
                <w:szCs w:val="20"/>
                <w:color w:val="auto"/>
              </w:rPr>
            </w:pPr>
            <w:r>
              <w:rPr>
                <w:rFonts w:ascii="Calibri" w:cs="Calibri" w:eastAsia="Calibri" w:hAnsi="Calibri"/>
                <w:sz w:val="18"/>
                <w:szCs w:val="18"/>
                <w:color w:val="auto"/>
              </w:rPr>
              <w:t>0</w:t>
            </w:r>
          </w:p>
        </w:tc>
        <w:tc>
          <w:tcPr>
            <w:tcW w:w="780" w:type="dxa"/>
            <w:vAlign w:val="bottom"/>
            <w:shd w:val="clear" w:color="auto" w:fill="E5F1F8"/>
          </w:tcPr>
          <w:p>
            <w:pPr>
              <w:jc w:val="right"/>
              <w:ind w:right="290"/>
              <w:spacing w:after="0"/>
              <w:rPr>
                <w:sz w:val="20"/>
                <w:szCs w:val="20"/>
                <w:color w:val="auto"/>
              </w:rPr>
            </w:pPr>
            <w:r>
              <w:rPr>
                <w:rFonts w:ascii="Calibri" w:cs="Calibri" w:eastAsia="Calibri" w:hAnsi="Calibri"/>
                <w:sz w:val="18"/>
                <w:szCs w:val="18"/>
                <w:color w:val="auto"/>
              </w:rPr>
              <w:t>0</w:t>
            </w:r>
          </w:p>
        </w:tc>
      </w:tr>
      <w:tr>
        <w:trPr>
          <w:trHeight w:val="259"/>
        </w:trPr>
        <w:tc>
          <w:tcPr>
            <w:tcW w:w="1780" w:type="dxa"/>
            <w:vAlign w:val="bottom"/>
            <w:tcBorders>
              <w:bottom w:val="single" w:sz="8" w:color="E5F1F8"/>
            </w:tcBorders>
            <w:shd w:val="clear" w:color="auto" w:fill="E5F1F8"/>
          </w:tcPr>
          <w:p>
            <w:pPr>
              <w:spacing w:after="0"/>
              <w:rPr>
                <w:sz w:val="22"/>
                <w:szCs w:val="22"/>
                <w:color w:val="auto"/>
              </w:rPr>
            </w:pPr>
          </w:p>
        </w:tc>
        <w:tc>
          <w:tcPr>
            <w:tcW w:w="5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81</w:t>
            </w:r>
          </w:p>
        </w:tc>
        <w:tc>
          <w:tcPr>
            <w:tcW w:w="700" w:type="dxa"/>
            <w:vAlign w:val="bottom"/>
            <w:tcBorders>
              <w:bottom w:val="single" w:sz="8" w:color="E5F1F8"/>
            </w:tcBorders>
            <w:shd w:val="clear" w:color="auto" w:fill="E5F1F8"/>
          </w:tcPr>
          <w:p>
            <w:pPr>
              <w:spacing w:after="0"/>
              <w:rPr>
                <w:sz w:val="22"/>
                <w:szCs w:val="22"/>
                <w:color w:val="auto"/>
              </w:rPr>
            </w:pPr>
          </w:p>
        </w:tc>
        <w:tc>
          <w:tcPr>
            <w:tcW w:w="640" w:type="dxa"/>
            <w:vAlign w:val="bottom"/>
            <w:tcBorders>
              <w:bottom w:val="single" w:sz="8" w:color="E5F1F8"/>
            </w:tcBorders>
            <w:shd w:val="clear" w:color="auto" w:fill="E5F1F8"/>
          </w:tcPr>
          <w:p>
            <w:pPr>
              <w:spacing w:after="0"/>
              <w:rPr>
                <w:sz w:val="22"/>
                <w:szCs w:val="22"/>
                <w:color w:val="auto"/>
              </w:rPr>
            </w:pPr>
          </w:p>
        </w:tc>
        <w:tc>
          <w:tcPr>
            <w:tcW w:w="680" w:type="dxa"/>
            <w:vAlign w:val="bottom"/>
            <w:tcBorders>
              <w:bottom w:val="single" w:sz="8" w:color="E5F1F8"/>
            </w:tcBorders>
            <w:shd w:val="clear" w:color="auto" w:fill="E5F1F8"/>
          </w:tcPr>
          <w:p>
            <w:pPr>
              <w:spacing w:after="0"/>
              <w:rPr>
                <w:sz w:val="22"/>
                <w:szCs w:val="22"/>
                <w:color w:val="auto"/>
              </w:rPr>
            </w:pPr>
          </w:p>
        </w:tc>
        <w:tc>
          <w:tcPr>
            <w:tcW w:w="660" w:type="dxa"/>
            <w:vAlign w:val="bottom"/>
            <w:tcBorders>
              <w:bottom w:val="single" w:sz="8" w:color="E5F1F8"/>
            </w:tcBorders>
            <w:shd w:val="clear" w:color="auto" w:fill="E5F1F8"/>
          </w:tcPr>
          <w:p>
            <w:pPr>
              <w:spacing w:after="0"/>
              <w:rPr>
                <w:sz w:val="22"/>
                <w:szCs w:val="22"/>
                <w:color w:val="auto"/>
              </w:rPr>
            </w:pPr>
          </w:p>
        </w:tc>
        <w:tc>
          <w:tcPr>
            <w:tcW w:w="460" w:type="dxa"/>
            <w:vAlign w:val="bottom"/>
            <w:tcBorders>
              <w:bottom w:val="single" w:sz="8" w:color="E5F1F8"/>
            </w:tcBorders>
            <w:shd w:val="clear" w:color="auto" w:fill="E5F1F8"/>
          </w:tcPr>
          <w:p>
            <w:pPr>
              <w:spacing w:after="0"/>
              <w:rPr>
                <w:sz w:val="22"/>
                <w:szCs w:val="22"/>
                <w:color w:val="auto"/>
              </w:rPr>
            </w:pPr>
          </w:p>
        </w:tc>
        <w:tc>
          <w:tcPr>
            <w:tcW w:w="460" w:type="dxa"/>
            <w:vAlign w:val="bottom"/>
            <w:tcBorders>
              <w:bottom w:val="single" w:sz="8" w:color="E5F1F8"/>
            </w:tcBorders>
            <w:shd w:val="clear" w:color="auto" w:fill="E5F1F8"/>
          </w:tcPr>
          <w:p>
            <w:pPr>
              <w:spacing w:after="0"/>
              <w:rPr>
                <w:sz w:val="22"/>
                <w:szCs w:val="22"/>
                <w:color w:val="auto"/>
              </w:rPr>
            </w:pPr>
          </w:p>
        </w:tc>
        <w:tc>
          <w:tcPr>
            <w:tcW w:w="800" w:type="dxa"/>
            <w:vAlign w:val="bottom"/>
            <w:tcBorders>
              <w:bottom w:val="single" w:sz="8" w:color="E5F1F8"/>
            </w:tcBorders>
            <w:shd w:val="clear" w:color="auto" w:fill="E5F1F8"/>
          </w:tcPr>
          <w:p>
            <w:pPr>
              <w:spacing w:after="0"/>
              <w:rPr>
                <w:sz w:val="22"/>
                <w:szCs w:val="22"/>
                <w:color w:val="auto"/>
              </w:rPr>
            </w:pPr>
          </w:p>
        </w:tc>
        <w:tc>
          <w:tcPr>
            <w:tcW w:w="780" w:type="dxa"/>
            <w:vAlign w:val="bottom"/>
            <w:tcBorders>
              <w:bottom w:val="single" w:sz="8" w:color="E5F1F8"/>
            </w:tcBorders>
            <w:shd w:val="clear" w:color="auto" w:fill="E5F1F8"/>
          </w:tcPr>
          <w:p>
            <w:pPr>
              <w:spacing w:after="0"/>
              <w:rPr>
                <w:sz w:val="22"/>
                <w:szCs w:val="22"/>
                <w:color w:val="auto"/>
              </w:rPr>
            </w:pPr>
          </w:p>
        </w:tc>
        <w:tc>
          <w:tcPr>
            <w:tcW w:w="880" w:type="dxa"/>
            <w:vAlign w:val="bottom"/>
            <w:tcBorders>
              <w:bottom w:val="single" w:sz="8" w:color="E5F1F8"/>
            </w:tcBorders>
            <w:shd w:val="clear" w:color="auto" w:fill="E5F1F8"/>
          </w:tcPr>
          <w:p>
            <w:pPr>
              <w:spacing w:after="0"/>
              <w:rPr>
                <w:sz w:val="22"/>
                <w:szCs w:val="22"/>
                <w:color w:val="auto"/>
              </w:rPr>
            </w:pPr>
          </w:p>
        </w:tc>
        <w:tc>
          <w:tcPr>
            <w:tcW w:w="800" w:type="dxa"/>
            <w:vAlign w:val="bottom"/>
            <w:tcBorders>
              <w:bottom w:val="single" w:sz="8" w:color="E5F1F8"/>
            </w:tcBorders>
            <w:shd w:val="clear" w:color="auto" w:fill="E5F1F8"/>
          </w:tcPr>
          <w:p>
            <w:pPr>
              <w:spacing w:after="0"/>
              <w:rPr>
                <w:sz w:val="22"/>
                <w:szCs w:val="22"/>
                <w:color w:val="auto"/>
              </w:rPr>
            </w:pPr>
          </w:p>
        </w:tc>
        <w:tc>
          <w:tcPr>
            <w:tcW w:w="620" w:type="dxa"/>
            <w:vAlign w:val="bottom"/>
            <w:tcBorders>
              <w:bottom w:val="single" w:sz="8" w:color="E5F1F8"/>
            </w:tcBorders>
            <w:shd w:val="clear" w:color="auto" w:fill="E5F1F8"/>
          </w:tcPr>
          <w:p>
            <w:pPr>
              <w:spacing w:after="0"/>
              <w:rPr>
                <w:sz w:val="22"/>
                <w:szCs w:val="22"/>
                <w:color w:val="auto"/>
              </w:rPr>
            </w:pPr>
          </w:p>
        </w:tc>
        <w:tc>
          <w:tcPr>
            <w:tcW w:w="660" w:type="dxa"/>
            <w:vAlign w:val="bottom"/>
            <w:tcBorders>
              <w:bottom w:val="single" w:sz="8" w:color="E5F1F8"/>
            </w:tcBorders>
            <w:shd w:val="clear" w:color="auto" w:fill="E5F1F8"/>
          </w:tcPr>
          <w:p>
            <w:pPr>
              <w:spacing w:after="0"/>
              <w:rPr>
                <w:sz w:val="22"/>
                <w:szCs w:val="22"/>
                <w:color w:val="auto"/>
              </w:rPr>
            </w:pPr>
          </w:p>
        </w:tc>
        <w:tc>
          <w:tcPr>
            <w:tcW w:w="780" w:type="dxa"/>
            <w:vAlign w:val="bottom"/>
            <w:tcBorders>
              <w:bottom w:val="single" w:sz="8" w:color="E5F1F8"/>
            </w:tcBorders>
            <w:shd w:val="clear" w:color="auto" w:fill="E5F1F8"/>
          </w:tcPr>
          <w:p>
            <w:pPr>
              <w:spacing w:after="0"/>
              <w:rPr>
                <w:sz w:val="22"/>
                <w:szCs w:val="22"/>
                <w:color w:val="auto"/>
              </w:rPr>
            </w:pPr>
          </w:p>
        </w:tc>
      </w:tr>
      <w:tr>
        <w:trPr>
          <w:trHeight w:val="180"/>
        </w:trPr>
        <w:tc>
          <w:tcPr>
            <w:tcW w:w="1780" w:type="dxa"/>
            <w:vAlign w:val="bottom"/>
          </w:tcPr>
          <w:p>
            <w:pPr>
              <w:spacing w:after="0"/>
              <w:rPr>
                <w:sz w:val="15"/>
                <w:szCs w:val="15"/>
                <w:color w:val="auto"/>
              </w:rPr>
            </w:pPr>
          </w:p>
        </w:tc>
        <w:tc>
          <w:tcPr>
            <w:tcW w:w="540" w:type="dxa"/>
            <w:vAlign w:val="bottom"/>
          </w:tcPr>
          <w:p>
            <w:pPr>
              <w:ind w:left="20"/>
              <w:spacing w:after="0" w:line="180" w:lineRule="exact"/>
              <w:rPr>
                <w:sz w:val="20"/>
                <w:szCs w:val="20"/>
                <w:color w:val="auto"/>
              </w:rPr>
            </w:pPr>
            <w:r>
              <w:rPr>
                <w:rFonts w:ascii="Calibri" w:cs="Calibri" w:eastAsia="Calibri" w:hAnsi="Calibri"/>
                <w:sz w:val="18"/>
                <w:szCs w:val="18"/>
                <w:color w:val="auto"/>
              </w:rPr>
              <w:t>41013</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5"/>
        </w:trPr>
        <w:tc>
          <w:tcPr>
            <w:tcW w:w="1780" w:type="dxa"/>
            <w:vAlign w:val="bottom"/>
          </w:tcPr>
          <w:p>
            <w:pPr>
              <w:ind w:left="20"/>
              <w:spacing w:after="0" w:line="215" w:lineRule="exact"/>
              <w:rPr>
                <w:sz w:val="20"/>
                <w:szCs w:val="20"/>
                <w:color w:val="auto"/>
              </w:rPr>
            </w:pPr>
            <w:r>
              <w:rPr>
                <w:rFonts w:ascii="Calibri" w:cs="Calibri" w:eastAsia="Calibri" w:hAnsi="Calibri"/>
                <w:sz w:val="18"/>
                <w:szCs w:val="18"/>
                <w:color w:val="auto"/>
              </w:rPr>
              <w:t>Beckmann Quarry</w:t>
            </w:r>
          </w:p>
        </w:tc>
        <w:tc>
          <w:tcPr>
            <w:tcW w:w="540" w:type="dxa"/>
            <w:vAlign w:val="bottom"/>
          </w:tcPr>
          <w:p>
            <w:pPr>
              <w:ind w:left="20"/>
              <w:spacing w:after="0" w:line="215" w:lineRule="exact"/>
              <w:rPr>
                <w:sz w:val="20"/>
                <w:szCs w:val="20"/>
                <w:color w:val="auto"/>
              </w:rPr>
            </w:pPr>
            <w:r>
              <w:rPr>
                <w:rFonts w:ascii="Calibri" w:cs="Calibri" w:eastAsia="Calibri" w:hAnsi="Calibri"/>
                <w:sz w:val="18"/>
                <w:szCs w:val="18"/>
                <w:color w:val="auto"/>
              </w:rPr>
              <w:t>35</w:t>
            </w:r>
          </w:p>
        </w:tc>
        <w:tc>
          <w:tcPr>
            <w:tcW w:w="7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150"/>
              <w:spacing w:after="0" w:line="215" w:lineRule="exact"/>
              <w:rPr>
                <w:sz w:val="20"/>
                <w:szCs w:val="20"/>
                <w:color w:val="auto"/>
              </w:rPr>
            </w:pPr>
            <w:r>
              <w:rPr>
                <w:rFonts w:ascii="Calibri" w:cs="Calibri" w:eastAsia="Calibri" w:hAnsi="Calibri"/>
                <w:sz w:val="18"/>
                <w:szCs w:val="18"/>
                <w:b w:val="1"/>
                <w:bCs w:val="1"/>
                <w:color w:val="auto"/>
              </w:rPr>
              <w:t>$</w:t>
            </w:r>
          </w:p>
        </w:tc>
        <w:tc>
          <w:tcPr>
            <w:tcW w:w="80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665</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right"/>
              <w:ind w:right="290"/>
              <w:spacing w:after="0" w:line="215" w:lineRule="exact"/>
              <w:rPr>
                <w:sz w:val="20"/>
                <w:szCs w:val="20"/>
                <w:color w:val="auto"/>
              </w:rPr>
            </w:pPr>
            <w:r>
              <w:rPr>
                <w:rFonts w:ascii="Calibri" w:cs="Calibri" w:eastAsia="Calibri" w:hAnsi="Calibri"/>
                <w:sz w:val="18"/>
                <w:szCs w:val="18"/>
                <w:color w:val="auto"/>
              </w:rPr>
              <w:t>0</w:t>
            </w:r>
          </w:p>
        </w:tc>
      </w:tr>
      <w:tr>
        <w:trPr>
          <w:trHeight w:val="37"/>
        </w:trPr>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7"/>
        </w:trPr>
        <w:tc>
          <w:tcPr>
            <w:tcW w:w="1780" w:type="dxa"/>
            <w:vAlign w:val="bottom"/>
            <w:shd w:val="clear" w:color="auto" w:fill="E5F1F8"/>
          </w:tcPr>
          <w:p>
            <w:pPr>
              <w:spacing w:after="0"/>
              <w:rPr>
                <w:sz w:val="18"/>
                <w:szCs w:val="18"/>
                <w:color w:val="auto"/>
              </w:rPr>
            </w:pPr>
          </w:p>
        </w:tc>
        <w:tc>
          <w:tcPr>
            <w:tcW w:w="54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rPr>
              <w:t>41032</w:t>
            </w:r>
          </w:p>
        </w:tc>
        <w:tc>
          <w:tcPr>
            <w:tcW w:w="70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r>
      <w:tr>
        <w:trPr>
          <w:trHeight w:val="232"/>
        </w:trPr>
        <w:tc>
          <w:tcPr>
            <w:tcW w:w="17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Bedrock Sand Gravel</w:t>
            </w:r>
          </w:p>
        </w:tc>
        <w:tc>
          <w:tcPr>
            <w:tcW w:w="5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83</w:t>
            </w:r>
          </w:p>
        </w:tc>
        <w:tc>
          <w:tcPr>
            <w:tcW w:w="70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b w:val="1"/>
                <w:bCs w:val="1"/>
                <w:color w:val="auto"/>
              </w:rPr>
              <w:t>$</w:t>
            </w:r>
          </w:p>
        </w:tc>
        <w:tc>
          <w:tcPr>
            <w:tcW w:w="80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30"/>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right"/>
              <w:ind w:right="290"/>
              <w:spacing w:after="0" w:line="215" w:lineRule="exact"/>
              <w:rPr>
                <w:sz w:val="20"/>
                <w:szCs w:val="20"/>
                <w:color w:val="auto"/>
              </w:rPr>
            </w:pPr>
            <w:r>
              <w:rPr>
                <w:rFonts w:ascii="Calibri" w:cs="Calibri" w:eastAsia="Calibri" w:hAnsi="Calibri"/>
                <w:sz w:val="18"/>
                <w:szCs w:val="18"/>
                <w:color w:val="auto"/>
              </w:rPr>
              <w:t>0</w:t>
            </w:r>
          </w:p>
        </w:tc>
      </w:tr>
      <w:tr>
        <w:trPr>
          <w:trHeight w:val="1168"/>
        </w:trPr>
        <w:tc>
          <w:tcPr>
            <w:tcW w:w="1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29146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2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150" w:name="page151"/>
    <w:bookmarkEnd w:id="15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center"/>
              <w:ind w:left="70"/>
              <w:spacing w:after="0"/>
              <w:rPr>
                <w:sz w:val="20"/>
                <w:szCs w:val="20"/>
                <w:color w:val="auto"/>
              </w:rPr>
            </w:pPr>
            <w:r>
              <w:rPr>
                <w:rFonts w:ascii="Calibri" w:cs="Calibri" w:eastAsia="Calibri" w:hAnsi="Calibri"/>
                <w:sz w:val="18"/>
                <w:szCs w:val="18"/>
                <w:color w:val="auto"/>
                <w:w w:val="97"/>
              </w:rPr>
              <w:t>Appendix 1</w:t>
            </w:r>
          </w:p>
        </w:tc>
      </w:tr>
      <w:tr>
        <w:trPr>
          <w:trHeight w:val="661"/>
        </w:trPr>
        <w:tc>
          <w:tcPr>
            <w:tcW w:w="174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Calibri" w:cs="Calibri" w:eastAsia="Calibri" w:hAnsi="Calibri"/>
                <w:sz w:val="18"/>
                <w:szCs w:val="18"/>
                <w:color w:val="auto"/>
              </w:rPr>
              <w:t>41040</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740" w:type="dxa"/>
            <w:vAlign w:val="bottom"/>
          </w:tcPr>
          <w:p>
            <w:pPr>
              <w:ind w:left="20"/>
              <w:spacing w:after="0" w:line="216" w:lineRule="exact"/>
              <w:rPr>
                <w:sz w:val="20"/>
                <w:szCs w:val="20"/>
                <w:color w:val="auto"/>
              </w:rPr>
            </w:pPr>
            <w:r>
              <w:rPr>
                <w:rFonts w:ascii="Calibri" w:cs="Calibri" w:eastAsia="Calibri" w:hAnsi="Calibri"/>
                <w:sz w:val="18"/>
                <w:szCs w:val="18"/>
                <w:color w:val="auto"/>
              </w:rPr>
              <w:t>Bells Savoy SG</w:t>
            </w:r>
          </w:p>
        </w:tc>
        <w:tc>
          <w:tcPr>
            <w:tcW w:w="720" w:type="dxa"/>
            <w:vAlign w:val="bottom"/>
          </w:tcPr>
          <w:p>
            <w:pPr>
              <w:ind w:left="60"/>
              <w:spacing w:after="0" w:line="216" w:lineRule="exact"/>
              <w:rPr>
                <w:sz w:val="20"/>
                <w:szCs w:val="20"/>
                <w:color w:val="auto"/>
              </w:rPr>
            </w:pPr>
            <w:r>
              <w:rPr>
                <w:rFonts w:ascii="Calibri" w:cs="Calibri" w:eastAsia="Calibri" w:hAnsi="Calibri"/>
                <w:sz w:val="18"/>
                <w:szCs w:val="18"/>
                <w:color w:val="auto"/>
              </w:rPr>
              <w:t>19</w:t>
            </w:r>
          </w:p>
        </w:tc>
        <w:tc>
          <w:tcPr>
            <w:tcW w:w="56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6"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6" w:lineRule="exact"/>
              <w:rPr>
                <w:sz w:val="20"/>
                <w:szCs w:val="20"/>
                <w:color w:val="auto"/>
              </w:rPr>
            </w:pPr>
            <w:r>
              <w:rPr>
                <w:rFonts w:ascii="Calibri" w:cs="Calibri" w:eastAsia="Calibri" w:hAnsi="Calibri"/>
                <w:sz w:val="18"/>
                <w:szCs w:val="18"/>
                <w:b w:val="1"/>
                <w:bCs w:val="1"/>
                <w:color w:val="auto"/>
              </w:rPr>
              <w:t>841</w:t>
            </w:r>
          </w:p>
        </w:tc>
        <w:tc>
          <w:tcPr>
            <w:tcW w:w="780" w:type="dxa"/>
            <w:vAlign w:val="bottom"/>
          </w:tcPr>
          <w:p>
            <w:pPr>
              <w:jc w:val="right"/>
              <w:ind w:right="310"/>
              <w:spacing w:after="0" w:line="216"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6"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6"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6"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6"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03000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Black Rock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11</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715</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41041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Black Spur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59</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529</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41000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Bridgeport Stone</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07</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b w:val="1"/>
                <w:bCs w:val="1"/>
                <w:color w:val="auto"/>
              </w:rPr>
              <w:t>1</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1</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34004</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Broken Bow SG</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60</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673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34012</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Davis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99</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1,600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b w:val="1"/>
                <w:bCs w:val="1"/>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b w:val="1"/>
                <w:bCs w:val="1"/>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1</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41039</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Garfeld SG</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09</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1,351</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41028</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Garwood Gravel</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86</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296</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000C3</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GMS</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35</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03016</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Haton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14</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41031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Helotes</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37</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41038</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Highway 211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29</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286</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41047</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Hondo</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08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34000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Hugo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61</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41028</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Hunter Cement</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20</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2,532</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41052</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Hunter Stone</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30</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34005</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Idabel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07</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155</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03015</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Jones Mill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86</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41052</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Liberty Ranch Sand</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68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b w:val="1"/>
                <w:bCs w:val="1"/>
                <w:color w:val="auto"/>
              </w:rPr>
              <w:t>4</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b w:val="1"/>
                <w:bCs w:val="1"/>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b w:val="1"/>
                <w:bCs w:val="1"/>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41051</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Medina Rock Rail</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70</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798</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41000</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Midlothian Cement</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71</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6</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10,600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34018</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Mill Creek Limestone</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59</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1</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1,032</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34012</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Mill Creek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85</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41043</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North Austn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80</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399</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ind w:left="20"/>
              <w:spacing w:after="0" w:line="207" w:lineRule="exact"/>
              <w:rPr>
                <w:sz w:val="20"/>
                <w:szCs w:val="20"/>
                <w:color w:val="auto"/>
              </w:rPr>
            </w:pPr>
            <w:r>
              <w:rPr>
                <w:rFonts w:ascii="Calibri" w:cs="Calibri" w:eastAsia="Calibri" w:hAnsi="Calibri"/>
                <w:sz w:val="18"/>
                <w:szCs w:val="18"/>
                <w:color w:val="auto"/>
              </w:rPr>
              <w:t>North Bridgeport</w:t>
            </w: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41033</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Quarry (Chico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60</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2,348</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16014</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Perryville Aggregates</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17</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41013</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Poteet Sand</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42</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770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04000</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Redding Cement</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34</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13,765</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41035</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Rio Medina</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94</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2</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429</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41013</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San Pedro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37</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406</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ind w:left="20"/>
              <w:spacing w:after="0" w:line="207" w:lineRule="exact"/>
              <w:rPr>
                <w:sz w:val="20"/>
                <w:szCs w:val="20"/>
                <w:color w:val="auto"/>
              </w:rPr>
            </w:pPr>
            <w:r>
              <w:rPr>
                <w:rFonts w:ascii="Calibri" w:cs="Calibri" w:eastAsia="Calibri" w:hAnsi="Calibri"/>
                <w:sz w:val="18"/>
                <w:szCs w:val="18"/>
                <w:color w:val="auto"/>
              </w:rPr>
              <w:t>Sawyer East Quarry</w:t>
            </w: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34018</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rPr>
              <w:t>Portable</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09</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07"/>
        </w:trPr>
        <w:tc>
          <w:tcPr>
            <w:tcW w:w="1740" w:type="dxa"/>
            <w:vAlign w:val="bottom"/>
            <w:shd w:val="clear" w:color="auto" w:fill="E5F1F8"/>
          </w:tcPr>
          <w:p>
            <w:pPr>
              <w:spacing w:after="0"/>
              <w:rPr>
                <w:sz w:val="18"/>
                <w:szCs w:val="18"/>
                <w:color w:val="auto"/>
              </w:rPr>
            </w:pPr>
          </w:p>
        </w:tc>
        <w:tc>
          <w:tcPr>
            <w:tcW w:w="720" w:type="dxa"/>
            <w:vAlign w:val="bottom"/>
            <w:shd w:val="clear" w:color="auto" w:fill="E5F1F8"/>
          </w:tcPr>
          <w:p>
            <w:pPr>
              <w:ind w:left="60"/>
              <w:spacing w:after="0" w:line="207" w:lineRule="exact"/>
              <w:rPr>
                <w:sz w:val="20"/>
                <w:szCs w:val="20"/>
                <w:color w:val="auto"/>
              </w:rPr>
            </w:pPr>
            <w:r>
              <w:rPr>
                <w:rFonts w:ascii="Calibri" w:cs="Calibri" w:eastAsia="Calibri" w:hAnsi="Calibri"/>
                <w:sz w:val="18"/>
                <w:szCs w:val="18"/>
                <w:color w:val="auto"/>
              </w:rPr>
              <w:t>34016</w:t>
            </w:r>
          </w:p>
        </w:tc>
        <w:tc>
          <w:tcPr>
            <w:tcW w:w="56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4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48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r>
      <w:tr>
        <w:trPr>
          <w:trHeight w:val="232"/>
        </w:trPr>
        <w:tc>
          <w:tcPr>
            <w:tcW w:w="17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Sawyer Quarry</w:t>
            </w:r>
          </w:p>
        </w:tc>
        <w:tc>
          <w:tcPr>
            <w:tcW w:w="720" w:type="dxa"/>
            <w:vAlign w:val="bottom"/>
            <w:tcBorders>
              <w:bottom w:val="single" w:sz="8" w:color="E5F1F8"/>
            </w:tcBorders>
            <w:shd w:val="clear" w:color="auto" w:fill="E5F1F8"/>
          </w:tcPr>
          <w:p>
            <w:pPr>
              <w:ind w:left="60"/>
              <w:spacing w:after="0" w:line="215" w:lineRule="exact"/>
              <w:rPr>
                <w:sz w:val="20"/>
                <w:szCs w:val="20"/>
                <w:color w:val="auto"/>
              </w:rPr>
            </w:pPr>
            <w:r>
              <w:rPr>
                <w:rFonts w:ascii="Calibri" w:cs="Calibri" w:eastAsia="Calibri" w:hAnsi="Calibri"/>
                <w:sz w:val="18"/>
                <w:szCs w:val="18"/>
                <w:color w:val="auto"/>
              </w:rPr>
              <w:t>34</w:t>
            </w:r>
          </w:p>
        </w:tc>
        <w:tc>
          <w:tcPr>
            <w:tcW w:w="56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Borders>
              <w:bottom w:val="single" w:sz="8" w:color="E5F1F8"/>
            </w:tcBorders>
            <w:shd w:val="clear" w:color="auto" w:fill="E5F1F8"/>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Borders>
              <w:bottom w:val="single" w:sz="8" w:color="E5F1F8"/>
            </w:tcBorders>
            <w:shd w:val="clear" w:color="auto" w:fill="E5F1F8"/>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40" w:type="dxa"/>
            <w:vAlign w:val="bottom"/>
          </w:tcPr>
          <w:p>
            <w:pPr>
              <w:spacing w:after="0"/>
              <w:rPr>
                <w:sz w:val="18"/>
                <w:szCs w:val="18"/>
                <w:color w:val="auto"/>
              </w:rPr>
            </w:pPr>
          </w:p>
        </w:tc>
        <w:tc>
          <w:tcPr>
            <w:tcW w:w="720" w:type="dxa"/>
            <w:vAlign w:val="bottom"/>
          </w:tcPr>
          <w:p>
            <w:pPr>
              <w:ind w:left="60"/>
              <w:spacing w:after="0" w:line="207" w:lineRule="exact"/>
              <w:rPr>
                <w:sz w:val="20"/>
                <w:szCs w:val="20"/>
                <w:color w:val="auto"/>
              </w:rPr>
            </w:pPr>
            <w:r>
              <w:rPr>
                <w:rFonts w:ascii="Calibri" w:cs="Calibri" w:eastAsia="Calibri" w:hAnsi="Calibri"/>
                <w:sz w:val="18"/>
                <w:szCs w:val="18"/>
                <w:color w:val="auto"/>
              </w:rPr>
              <w:t>41041</w:t>
            </w: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1740" w:type="dxa"/>
            <w:vAlign w:val="bottom"/>
          </w:tcPr>
          <w:p>
            <w:pPr>
              <w:ind w:left="20"/>
              <w:spacing w:after="0" w:line="215" w:lineRule="exact"/>
              <w:rPr>
                <w:sz w:val="20"/>
                <w:szCs w:val="20"/>
                <w:color w:val="auto"/>
              </w:rPr>
            </w:pPr>
            <w:r>
              <w:rPr>
                <w:rFonts w:ascii="Calibri" w:cs="Calibri" w:eastAsia="Calibri" w:hAnsi="Calibri"/>
                <w:sz w:val="18"/>
                <w:szCs w:val="18"/>
                <w:color w:val="auto"/>
                <w:w w:val="99"/>
              </w:rPr>
              <w:t>Smithson Valley Quarry</w:t>
            </w:r>
          </w:p>
        </w:tc>
        <w:tc>
          <w:tcPr>
            <w:tcW w:w="720" w:type="dxa"/>
            <w:vAlign w:val="bottom"/>
          </w:tcPr>
          <w:p>
            <w:pPr>
              <w:ind w:left="60"/>
              <w:spacing w:after="0" w:line="215" w:lineRule="exact"/>
              <w:rPr>
                <w:sz w:val="20"/>
                <w:szCs w:val="20"/>
                <w:color w:val="auto"/>
              </w:rPr>
            </w:pPr>
            <w:r>
              <w:rPr>
                <w:rFonts w:ascii="Calibri" w:cs="Calibri" w:eastAsia="Calibri" w:hAnsi="Calibri"/>
                <w:sz w:val="18"/>
                <w:szCs w:val="18"/>
                <w:color w:val="auto"/>
              </w:rPr>
              <w:t>08</w:t>
            </w:r>
          </w:p>
        </w:tc>
        <w:tc>
          <w:tcPr>
            <w:tcW w:w="56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40" w:type="dxa"/>
            <w:vAlign w:val="bottom"/>
          </w:tcPr>
          <w:p>
            <w:pPr>
              <w:jc w:val="right"/>
              <w:ind w:right="30"/>
              <w:spacing w:after="0" w:line="215" w:lineRule="exact"/>
              <w:rPr>
                <w:sz w:val="20"/>
                <w:szCs w:val="20"/>
                <w:color w:val="auto"/>
              </w:rPr>
            </w:pPr>
            <w:r>
              <w:rPr>
                <w:rFonts w:ascii="Calibri" w:cs="Calibri" w:eastAsia="Calibri" w:hAnsi="Calibri"/>
                <w:sz w:val="18"/>
                <w:szCs w:val="18"/>
                <w:b w:val="1"/>
                <w:bCs w:val="1"/>
                <w:color w:val="auto"/>
              </w:rPr>
              <w:t>$</w:t>
            </w:r>
          </w:p>
        </w:tc>
        <w:tc>
          <w:tcPr>
            <w:tcW w:w="92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8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0</w:t>
            </w:r>
          </w:p>
        </w:tc>
        <w:tc>
          <w:tcPr>
            <w:tcW w:w="960" w:type="dxa"/>
            <w:vAlign w:val="bottom"/>
          </w:tcPr>
          <w:p>
            <w:pPr>
              <w:jc w:val="center"/>
              <w:ind w:left="30"/>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117"/>
        </w:trPr>
        <w:tc>
          <w:tcPr>
            <w:tcW w:w="1740" w:type="dxa"/>
            <w:vAlign w:val="bottom"/>
            <w:shd w:val="clear" w:color="auto" w:fill="E5F1F8"/>
          </w:tcPr>
          <w:p>
            <w:pPr>
              <w:spacing w:after="0"/>
              <w:rPr>
                <w:sz w:val="10"/>
                <w:szCs w:val="10"/>
                <w:color w:val="auto"/>
              </w:rPr>
            </w:pPr>
          </w:p>
        </w:tc>
        <w:tc>
          <w:tcPr>
            <w:tcW w:w="720" w:type="dxa"/>
            <w:vAlign w:val="bottom"/>
            <w:shd w:val="clear" w:color="auto" w:fill="E5F1F8"/>
          </w:tcPr>
          <w:p>
            <w:pPr>
              <w:spacing w:after="0"/>
              <w:rPr>
                <w:sz w:val="10"/>
                <w:szCs w:val="10"/>
                <w:color w:val="auto"/>
              </w:rPr>
            </w:pPr>
          </w:p>
        </w:tc>
        <w:tc>
          <w:tcPr>
            <w:tcW w:w="560" w:type="dxa"/>
            <w:vAlign w:val="bottom"/>
            <w:shd w:val="clear" w:color="auto" w:fill="E5F1F8"/>
          </w:tcPr>
          <w:p>
            <w:pPr>
              <w:spacing w:after="0"/>
              <w:rPr>
                <w:sz w:val="10"/>
                <w:szCs w:val="10"/>
                <w:color w:val="auto"/>
              </w:rPr>
            </w:pPr>
          </w:p>
        </w:tc>
        <w:tc>
          <w:tcPr>
            <w:tcW w:w="640" w:type="dxa"/>
            <w:vAlign w:val="bottom"/>
            <w:shd w:val="clear" w:color="auto" w:fill="E5F1F8"/>
          </w:tcPr>
          <w:p>
            <w:pPr>
              <w:spacing w:after="0"/>
              <w:rPr>
                <w:sz w:val="10"/>
                <w:szCs w:val="10"/>
                <w:color w:val="auto"/>
              </w:rPr>
            </w:pPr>
          </w:p>
        </w:tc>
        <w:tc>
          <w:tcPr>
            <w:tcW w:w="680" w:type="dxa"/>
            <w:vAlign w:val="bottom"/>
            <w:shd w:val="clear" w:color="auto" w:fill="E5F1F8"/>
          </w:tcPr>
          <w:p>
            <w:pPr>
              <w:spacing w:after="0"/>
              <w:rPr>
                <w:sz w:val="10"/>
                <w:szCs w:val="10"/>
                <w:color w:val="auto"/>
              </w:rPr>
            </w:pPr>
          </w:p>
        </w:tc>
        <w:tc>
          <w:tcPr>
            <w:tcW w:w="660" w:type="dxa"/>
            <w:vAlign w:val="bottom"/>
            <w:shd w:val="clear" w:color="auto" w:fill="E5F1F8"/>
          </w:tcPr>
          <w:p>
            <w:pPr>
              <w:spacing w:after="0"/>
              <w:rPr>
                <w:sz w:val="10"/>
                <w:szCs w:val="10"/>
                <w:color w:val="auto"/>
              </w:rPr>
            </w:pPr>
          </w:p>
        </w:tc>
        <w:tc>
          <w:tcPr>
            <w:tcW w:w="460" w:type="dxa"/>
            <w:vAlign w:val="bottom"/>
            <w:shd w:val="clear" w:color="auto" w:fill="E5F1F8"/>
          </w:tcPr>
          <w:p>
            <w:pPr>
              <w:spacing w:after="0"/>
              <w:rPr>
                <w:sz w:val="10"/>
                <w:szCs w:val="10"/>
                <w:color w:val="auto"/>
              </w:rPr>
            </w:pPr>
          </w:p>
        </w:tc>
        <w:tc>
          <w:tcPr>
            <w:tcW w:w="340" w:type="dxa"/>
            <w:vAlign w:val="bottom"/>
            <w:shd w:val="clear" w:color="auto" w:fill="E5F1F8"/>
          </w:tcPr>
          <w:p>
            <w:pPr>
              <w:spacing w:after="0"/>
              <w:rPr>
                <w:sz w:val="10"/>
                <w:szCs w:val="10"/>
                <w:color w:val="auto"/>
              </w:rPr>
            </w:pPr>
          </w:p>
        </w:tc>
        <w:tc>
          <w:tcPr>
            <w:tcW w:w="920" w:type="dxa"/>
            <w:vAlign w:val="bottom"/>
            <w:shd w:val="clear" w:color="auto" w:fill="E5F1F8"/>
          </w:tcPr>
          <w:p>
            <w:pPr>
              <w:spacing w:after="0"/>
              <w:rPr>
                <w:sz w:val="10"/>
                <w:szCs w:val="10"/>
                <w:color w:val="auto"/>
              </w:rPr>
            </w:pPr>
          </w:p>
        </w:tc>
        <w:tc>
          <w:tcPr>
            <w:tcW w:w="780" w:type="dxa"/>
            <w:vAlign w:val="bottom"/>
            <w:shd w:val="clear" w:color="auto" w:fill="E5F1F8"/>
          </w:tcPr>
          <w:p>
            <w:pPr>
              <w:spacing w:after="0"/>
              <w:rPr>
                <w:sz w:val="10"/>
                <w:szCs w:val="10"/>
                <w:color w:val="auto"/>
              </w:rPr>
            </w:pPr>
          </w:p>
        </w:tc>
        <w:tc>
          <w:tcPr>
            <w:tcW w:w="880" w:type="dxa"/>
            <w:vAlign w:val="bottom"/>
            <w:shd w:val="clear" w:color="auto" w:fill="E5F1F8"/>
          </w:tcPr>
          <w:p>
            <w:pPr>
              <w:spacing w:after="0"/>
              <w:rPr>
                <w:sz w:val="10"/>
                <w:szCs w:val="10"/>
                <w:color w:val="auto"/>
              </w:rPr>
            </w:pPr>
          </w:p>
        </w:tc>
        <w:tc>
          <w:tcPr>
            <w:tcW w:w="800" w:type="dxa"/>
            <w:vAlign w:val="bottom"/>
            <w:shd w:val="clear" w:color="auto" w:fill="E5F1F8"/>
          </w:tcPr>
          <w:p>
            <w:pPr>
              <w:spacing w:after="0"/>
              <w:rPr>
                <w:sz w:val="10"/>
                <w:szCs w:val="10"/>
                <w:color w:val="auto"/>
              </w:rPr>
            </w:pPr>
          </w:p>
        </w:tc>
        <w:tc>
          <w:tcPr>
            <w:tcW w:w="620" w:type="dxa"/>
            <w:vAlign w:val="bottom"/>
            <w:shd w:val="clear" w:color="auto" w:fill="E5F1F8"/>
          </w:tcPr>
          <w:p>
            <w:pPr>
              <w:spacing w:after="0"/>
              <w:rPr>
                <w:sz w:val="10"/>
                <w:szCs w:val="10"/>
                <w:color w:val="auto"/>
              </w:rPr>
            </w:pPr>
          </w:p>
        </w:tc>
        <w:tc>
          <w:tcPr>
            <w:tcW w:w="480" w:type="dxa"/>
            <w:vAlign w:val="bottom"/>
            <w:shd w:val="clear" w:color="auto" w:fill="E5F1F8"/>
          </w:tcPr>
          <w:p>
            <w:pPr>
              <w:spacing w:after="0"/>
              <w:rPr>
                <w:sz w:val="10"/>
                <w:szCs w:val="10"/>
                <w:color w:val="auto"/>
              </w:rPr>
            </w:pPr>
          </w:p>
        </w:tc>
        <w:tc>
          <w:tcPr>
            <w:tcW w:w="960" w:type="dxa"/>
            <w:vAlign w:val="bottom"/>
            <w:shd w:val="clear" w:color="auto" w:fill="E5F1F8"/>
          </w:tcPr>
          <w:p>
            <w:pPr>
              <w:spacing w:after="0"/>
              <w:rPr>
                <w:sz w:val="10"/>
                <w:szCs w:val="10"/>
                <w:color w:val="auto"/>
              </w:rPr>
            </w:pPr>
          </w:p>
        </w:tc>
      </w:tr>
    </w:tbl>
    <w:p>
      <w:pPr>
        <w:sectPr>
          <w:pgSz w:w="11900" w:h="16900" w:orient="portrait"/>
          <w:cols w:equalWidth="0" w:num="1">
            <w:col w:w="11240"/>
          </w:cols>
          <w:pgMar w:left="320" w:top="760" w:right="339" w:bottom="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80" w:type="dxa"/>
            <w:vAlign w:val="bottom"/>
            <w:shd w:val="clear" w:color="auto" w:fill="E5F1F8"/>
          </w:tcPr>
          <w:p>
            <w:pPr>
              <w:ind w:left="20"/>
              <w:spacing w:after="0"/>
              <w:rPr>
                <w:sz w:val="20"/>
                <w:szCs w:val="20"/>
                <w:color w:val="auto"/>
              </w:rPr>
            </w:pPr>
            <w:r>
              <w:rPr>
                <w:rFonts w:ascii="Calibri" w:cs="Calibri" w:eastAsia="Calibri" w:hAnsi="Calibri"/>
                <w:sz w:val="18"/>
                <w:szCs w:val="18"/>
                <w:color w:val="auto"/>
              </w:rPr>
              <w:t>Snyder Quarry</w:t>
            </w:r>
          </w:p>
        </w:tc>
        <w:tc>
          <w:tcPr>
            <w:tcW w:w="540" w:type="dxa"/>
            <w:vAlign w:val="bottom"/>
            <w:shd w:val="clear" w:color="auto" w:fill="E5F1F8"/>
          </w:tcPr>
          <w:p>
            <w:pPr>
              <w:ind w:left="20"/>
              <w:spacing w:after="0"/>
              <w:rPr>
                <w:sz w:val="20"/>
                <w:szCs w:val="20"/>
                <w:color w:val="auto"/>
              </w:rPr>
            </w:pPr>
            <w:r>
              <w:rPr>
                <w:rFonts w:ascii="Calibri" w:cs="Calibri" w:eastAsia="Calibri" w:hAnsi="Calibri"/>
                <w:sz w:val="18"/>
                <w:szCs w:val="18"/>
                <w:color w:val="auto"/>
              </w:rPr>
              <w:t>34016</w:t>
            </w:r>
          </w:p>
        </w:tc>
        <w:tc>
          <w:tcPr>
            <w:tcW w:w="700" w:type="dxa"/>
            <w:vAlign w:val="bottom"/>
            <w:shd w:val="clear" w:color="auto" w:fill="E5F1F8"/>
          </w:tcPr>
          <w:p>
            <w:pPr>
              <w:jc w:val="right"/>
              <w:ind w:right="190"/>
              <w:spacing w:after="0"/>
              <w:rPr>
                <w:sz w:val="20"/>
                <w:szCs w:val="20"/>
                <w:color w:val="auto"/>
              </w:rPr>
            </w:pPr>
            <w:r>
              <w:rPr>
                <w:rFonts w:ascii="Calibri" w:cs="Calibri" w:eastAsia="Calibri" w:hAnsi="Calibri"/>
                <w:sz w:val="18"/>
                <w:szCs w:val="18"/>
                <w:color w:val="auto"/>
              </w:rPr>
              <w:t>1</w:t>
            </w:r>
          </w:p>
        </w:tc>
        <w:tc>
          <w:tcPr>
            <w:tcW w:w="640" w:type="dxa"/>
            <w:vAlign w:val="bottom"/>
            <w:shd w:val="clear" w:color="auto" w:fill="E5F1F8"/>
          </w:tcPr>
          <w:p>
            <w:pPr>
              <w:jc w:val="right"/>
              <w:ind w:right="190"/>
              <w:spacing w:after="0"/>
              <w:rPr>
                <w:sz w:val="20"/>
                <w:szCs w:val="20"/>
                <w:color w:val="auto"/>
              </w:rPr>
            </w:pPr>
            <w:r>
              <w:rPr>
                <w:rFonts w:ascii="Calibri" w:cs="Calibri" w:eastAsia="Calibri" w:hAnsi="Calibri"/>
                <w:sz w:val="18"/>
                <w:szCs w:val="18"/>
                <w:color w:val="auto"/>
              </w:rPr>
              <w:t>0</w:t>
            </w:r>
          </w:p>
        </w:tc>
        <w:tc>
          <w:tcPr>
            <w:tcW w:w="680" w:type="dxa"/>
            <w:vAlign w:val="bottom"/>
            <w:shd w:val="clear" w:color="auto" w:fill="E5F1F8"/>
          </w:tcPr>
          <w:p>
            <w:pPr>
              <w:jc w:val="right"/>
              <w:ind w:right="210"/>
              <w:spacing w:after="0"/>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150"/>
              <w:spacing w:after="0"/>
              <w:rPr>
                <w:sz w:val="20"/>
                <w:szCs w:val="20"/>
                <w:color w:val="auto"/>
              </w:rPr>
            </w:pPr>
            <w:r>
              <w:rPr>
                <w:rFonts w:ascii="Calibri" w:cs="Calibri" w:eastAsia="Calibri" w:hAnsi="Calibri"/>
                <w:sz w:val="18"/>
                <w:szCs w:val="18"/>
                <w:color w:val="auto"/>
              </w:rPr>
              <w:t>0</w:t>
            </w:r>
          </w:p>
        </w:tc>
        <w:tc>
          <w:tcPr>
            <w:tcW w:w="460" w:type="dxa"/>
            <w:vAlign w:val="bottom"/>
            <w:shd w:val="clear" w:color="auto" w:fill="E5F1F8"/>
          </w:tcPr>
          <w:p>
            <w:pPr>
              <w:jc w:val="right"/>
              <w:ind w:right="30"/>
              <w:spacing w:after="0"/>
              <w:rPr>
                <w:sz w:val="20"/>
                <w:szCs w:val="20"/>
                <w:color w:val="auto"/>
              </w:rPr>
            </w:pPr>
            <w:r>
              <w:rPr>
                <w:rFonts w:ascii="Calibri" w:cs="Calibri" w:eastAsia="Calibri" w:hAnsi="Calibri"/>
                <w:sz w:val="18"/>
                <w:szCs w:val="18"/>
                <w:color w:val="auto"/>
              </w:rPr>
              <w:t>0</w:t>
            </w:r>
          </w:p>
        </w:tc>
        <w:tc>
          <w:tcPr>
            <w:tcW w:w="380" w:type="dxa"/>
            <w:vAlign w:val="bottom"/>
            <w:shd w:val="clear" w:color="auto" w:fill="E5F1F8"/>
          </w:tcPr>
          <w:p>
            <w:pPr>
              <w:jc w:val="right"/>
              <w:ind w:right="70"/>
              <w:spacing w:after="0"/>
              <w:rPr>
                <w:sz w:val="20"/>
                <w:szCs w:val="20"/>
                <w:color w:val="auto"/>
              </w:rPr>
            </w:pPr>
            <w:r>
              <w:rPr>
                <w:rFonts w:ascii="Calibri" w:cs="Calibri" w:eastAsia="Calibri" w:hAnsi="Calibri"/>
                <w:sz w:val="18"/>
                <w:szCs w:val="18"/>
                <w:b w:val="1"/>
                <w:bCs w:val="1"/>
                <w:color w:val="auto"/>
              </w:rPr>
              <w:t>$</w:t>
            </w:r>
          </w:p>
        </w:tc>
        <w:tc>
          <w:tcPr>
            <w:tcW w:w="880" w:type="dxa"/>
            <w:vAlign w:val="bottom"/>
            <w:shd w:val="clear" w:color="auto" w:fill="E5F1F8"/>
          </w:tcPr>
          <w:p>
            <w:pPr>
              <w:jc w:val="right"/>
              <w:ind w:right="210"/>
              <w:spacing w:after="0"/>
              <w:rPr>
                <w:sz w:val="20"/>
                <w:szCs w:val="20"/>
                <w:color w:val="auto"/>
              </w:rPr>
            </w:pPr>
            <w:r>
              <w:rPr>
                <w:rFonts w:ascii="Calibri" w:cs="Calibri" w:eastAsia="Calibri" w:hAnsi="Calibri"/>
                <w:sz w:val="18"/>
                <w:szCs w:val="18"/>
                <w:b w:val="1"/>
                <w:bCs w:val="1"/>
                <w:color w:val="auto"/>
              </w:rPr>
              <w:t>133</w:t>
            </w:r>
          </w:p>
        </w:tc>
        <w:tc>
          <w:tcPr>
            <w:tcW w:w="780" w:type="dxa"/>
            <w:vAlign w:val="bottom"/>
            <w:shd w:val="clear" w:color="auto" w:fill="E5F1F8"/>
          </w:tcPr>
          <w:p>
            <w:pPr>
              <w:jc w:val="right"/>
              <w:ind w:right="310"/>
              <w:spacing w:after="0"/>
              <w:rPr>
                <w:sz w:val="20"/>
                <w:szCs w:val="20"/>
                <w:color w:val="auto"/>
              </w:rPr>
            </w:pPr>
            <w:r>
              <w:rPr>
                <w:rFonts w:ascii="Calibri" w:cs="Calibri" w:eastAsia="Calibri" w:hAnsi="Calibri"/>
                <w:sz w:val="18"/>
                <w:szCs w:val="18"/>
                <w:color w:val="auto"/>
              </w:rPr>
              <w:t>0</w:t>
            </w:r>
          </w:p>
        </w:tc>
        <w:tc>
          <w:tcPr>
            <w:tcW w:w="880" w:type="dxa"/>
            <w:vAlign w:val="bottom"/>
            <w:shd w:val="clear" w:color="auto" w:fill="E5F1F8"/>
          </w:tcPr>
          <w:p>
            <w:pPr>
              <w:ind w:left="380"/>
              <w:spacing w:after="0"/>
              <w:rPr>
                <w:sz w:val="20"/>
                <w:szCs w:val="20"/>
                <w:color w:val="auto"/>
              </w:rPr>
            </w:pPr>
            <w:r>
              <w:rPr>
                <w:rFonts w:ascii="Calibri" w:cs="Calibri" w:eastAsia="Calibri" w:hAnsi="Calibri"/>
                <w:sz w:val="18"/>
                <w:szCs w:val="18"/>
                <w:color w:val="auto"/>
              </w:rPr>
              <w:t>no</w:t>
            </w:r>
          </w:p>
        </w:tc>
        <w:tc>
          <w:tcPr>
            <w:tcW w:w="800" w:type="dxa"/>
            <w:vAlign w:val="bottom"/>
            <w:shd w:val="clear" w:color="auto" w:fill="E5F1F8"/>
          </w:tcPr>
          <w:p>
            <w:pPr>
              <w:ind w:left="320"/>
              <w:spacing w:after="0"/>
              <w:rPr>
                <w:sz w:val="20"/>
                <w:szCs w:val="20"/>
                <w:color w:val="auto"/>
              </w:rPr>
            </w:pPr>
            <w:r>
              <w:rPr>
                <w:rFonts w:ascii="Calibri" w:cs="Calibri" w:eastAsia="Calibri" w:hAnsi="Calibri"/>
                <w:sz w:val="18"/>
                <w:szCs w:val="18"/>
                <w:color w:val="auto"/>
              </w:rPr>
              <w:t>no</w:t>
            </w:r>
          </w:p>
        </w:tc>
        <w:tc>
          <w:tcPr>
            <w:tcW w:w="620" w:type="dxa"/>
            <w:vAlign w:val="bottom"/>
            <w:shd w:val="clear" w:color="auto" w:fill="E5F1F8"/>
          </w:tcPr>
          <w:p>
            <w:pPr>
              <w:jc w:val="right"/>
              <w:ind w:right="150"/>
              <w:spacing w:after="0"/>
              <w:rPr>
                <w:sz w:val="20"/>
                <w:szCs w:val="20"/>
                <w:color w:val="auto"/>
              </w:rPr>
            </w:pPr>
            <w:r>
              <w:rPr>
                <w:rFonts w:ascii="Calibri" w:cs="Calibri" w:eastAsia="Calibri" w:hAnsi="Calibri"/>
                <w:sz w:val="18"/>
                <w:szCs w:val="18"/>
                <w:color w:val="auto"/>
              </w:rPr>
              <w:t>0</w:t>
            </w:r>
          </w:p>
        </w:tc>
        <w:tc>
          <w:tcPr>
            <w:tcW w:w="660" w:type="dxa"/>
            <w:vAlign w:val="bottom"/>
            <w:shd w:val="clear" w:color="auto" w:fill="E5F1F8"/>
          </w:tcPr>
          <w:p>
            <w:pPr>
              <w:jc w:val="right"/>
              <w:ind w:right="230"/>
              <w:spacing w:after="0"/>
              <w:rPr>
                <w:sz w:val="20"/>
                <w:szCs w:val="20"/>
                <w:color w:val="auto"/>
              </w:rPr>
            </w:pPr>
            <w:r>
              <w:rPr>
                <w:rFonts w:ascii="Calibri" w:cs="Calibri" w:eastAsia="Calibri" w:hAnsi="Calibri"/>
                <w:sz w:val="18"/>
                <w:szCs w:val="18"/>
                <w:color w:val="auto"/>
              </w:rPr>
              <w:t>0</w:t>
            </w:r>
          </w:p>
        </w:tc>
        <w:tc>
          <w:tcPr>
            <w:tcW w:w="780" w:type="dxa"/>
            <w:vAlign w:val="bottom"/>
            <w:shd w:val="clear" w:color="auto" w:fill="E5F1F8"/>
          </w:tcPr>
          <w:p>
            <w:pPr>
              <w:jc w:val="right"/>
              <w:ind w:right="290"/>
              <w:spacing w:after="0"/>
              <w:rPr>
                <w:sz w:val="20"/>
                <w:szCs w:val="20"/>
                <w:color w:val="auto"/>
              </w:rPr>
            </w:pPr>
            <w:r>
              <w:rPr>
                <w:rFonts w:ascii="Calibri" w:cs="Calibri" w:eastAsia="Calibri" w:hAnsi="Calibri"/>
                <w:sz w:val="18"/>
                <w:szCs w:val="18"/>
                <w:color w:val="auto"/>
              </w:rPr>
              <w:t>0</w:t>
            </w:r>
          </w:p>
        </w:tc>
      </w:tr>
      <w:tr>
        <w:trPr>
          <w:trHeight w:val="259"/>
        </w:trPr>
        <w:tc>
          <w:tcPr>
            <w:tcW w:w="1780" w:type="dxa"/>
            <w:vAlign w:val="bottom"/>
            <w:tcBorders>
              <w:bottom w:val="single" w:sz="8" w:color="E5F1F8"/>
            </w:tcBorders>
            <w:shd w:val="clear" w:color="auto" w:fill="E5F1F8"/>
          </w:tcPr>
          <w:p>
            <w:pPr>
              <w:spacing w:after="0"/>
              <w:rPr>
                <w:sz w:val="22"/>
                <w:szCs w:val="22"/>
                <w:color w:val="auto"/>
              </w:rPr>
            </w:pPr>
          </w:p>
        </w:tc>
        <w:tc>
          <w:tcPr>
            <w:tcW w:w="5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51</w:t>
            </w:r>
          </w:p>
        </w:tc>
        <w:tc>
          <w:tcPr>
            <w:tcW w:w="700" w:type="dxa"/>
            <w:vAlign w:val="bottom"/>
            <w:tcBorders>
              <w:bottom w:val="single" w:sz="8" w:color="E5F1F8"/>
            </w:tcBorders>
            <w:shd w:val="clear" w:color="auto" w:fill="E5F1F8"/>
          </w:tcPr>
          <w:p>
            <w:pPr>
              <w:spacing w:after="0"/>
              <w:rPr>
                <w:sz w:val="22"/>
                <w:szCs w:val="22"/>
                <w:color w:val="auto"/>
              </w:rPr>
            </w:pPr>
          </w:p>
        </w:tc>
        <w:tc>
          <w:tcPr>
            <w:tcW w:w="640" w:type="dxa"/>
            <w:vAlign w:val="bottom"/>
            <w:tcBorders>
              <w:bottom w:val="single" w:sz="8" w:color="E5F1F8"/>
            </w:tcBorders>
            <w:shd w:val="clear" w:color="auto" w:fill="E5F1F8"/>
          </w:tcPr>
          <w:p>
            <w:pPr>
              <w:spacing w:after="0"/>
              <w:rPr>
                <w:sz w:val="22"/>
                <w:szCs w:val="22"/>
                <w:color w:val="auto"/>
              </w:rPr>
            </w:pPr>
          </w:p>
        </w:tc>
        <w:tc>
          <w:tcPr>
            <w:tcW w:w="680" w:type="dxa"/>
            <w:vAlign w:val="bottom"/>
            <w:tcBorders>
              <w:bottom w:val="single" w:sz="8" w:color="E5F1F8"/>
            </w:tcBorders>
            <w:shd w:val="clear" w:color="auto" w:fill="E5F1F8"/>
          </w:tcPr>
          <w:p>
            <w:pPr>
              <w:spacing w:after="0"/>
              <w:rPr>
                <w:sz w:val="22"/>
                <w:szCs w:val="22"/>
                <w:color w:val="auto"/>
              </w:rPr>
            </w:pPr>
          </w:p>
        </w:tc>
        <w:tc>
          <w:tcPr>
            <w:tcW w:w="660" w:type="dxa"/>
            <w:vAlign w:val="bottom"/>
            <w:tcBorders>
              <w:bottom w:val="single" w:sz="8" w:color="E5F1F8"/>
            </w:tcBorders>
            <w:shd w:val="clear" w:color="auto" w:fill="E5F1F8"/>
          </w:tcPr>
          <w:p>
            <w:pPr>
              <w:spacing w:after="0"/>
              <w:rPr>
                <w:sz w:val="22"/>
                <w:szCs w:val="22"/>
                <w:color w:val="auto"/>
              </w:rPr>
            </w:pPr>
          </w:p>
        </w:tc>
        <w:tc>
          <w:tcPr>
            <w:tcW w:w="460" w:type="dxa"/>
            <w:vAlign w:val="bottom"/>
            <w:tcBorders>
              <w:bottom w:val="single" w:sz="8" w:color="E5F1F8"/>
            </w:tcBorders>
            <w:shd w:val="clear" w:color="auto" w:fill="E5F1F8"/>
          </w:tcPr>
          <w:p>
            <w:pPr>
              <w:spacing w:after="0"/>
              <w:rPr>
                <w:sz w:val="22"/>
                <w:szCs w:val="22"/>
                <w:color w:val="auto"/>
              </w:rPr>
            </w:pPr>
          </w:p>
        </w:tc>
        <w:tc>
          <w:tcPr>
            <w:tcW w:w="380" w:type="dxa"/>
            <w:vAlign w:val="bottom"/>
            <w:tcBorders>
              <w:bottom w:val="single" w:sz="8" w:color="E5F1F8"/>
            </w:tcBorders>
            <w:shd w:val="clear" w:color="auto" w:fill="E5F1F8"/>
          </w:tcPr>
          <w:p>
            <w:pPr>
              <w:spacing w:after="0"/>
              <w:rPr>
                <w:sz w:val="22"/>
                <w:szCs w:val="22"/>
                <w:color w:val="auto"/>
              </w:rPr>
            </w:pPr>
          </w:p>
        </w:tc>
        <w:tc>
          <w:tcPr>
            <w:tcW w:w="880" w:type="dxa"/>
            <w:vAlign w:val="bottom"/>
            <w:tcBorders>
              <w:bottom w:val="single" w:sz="8" w:color="E5F1F8"/>
            </w:tcBorders>
            <w:shd w:val="clear" w:color="auto" w:fill="E5F1F8"/>
          </w:tcPr>
          <w:p>
            <w:pPr>
              <w:spacing w:after="0"/>
              <w:rPr>
                <w:sz w:val="22"/>
                <w:szCs w:val="22"/>
                <w:color w:val="auto"/>
              </w:rPr>
            </w:pPr>
          </w:p>
        </w:tc>
        <w:tc>
          <w:tcPr>
            <w:tcW w:w="780" w:type="dxa"/>
            <w:vAlign w:val="bottom"/>
            <w:tcBorders>
              <w:bottom w:val="single" w:sz="8" w:color="E5F1F8"/>
            </w:tcBorders>
            <w:shd w:val="clear" w:color="auto" w:fill="E5F1F8"/>
          </w:tcPr>
          <w:p>
            <w:pPr>
              <w:spacing w:after="0"/>
              <w:rPr>
                <w:sz w:val="22"/>
                <w:szCs w:val="22"/>
                <w:color w:val="auto"/>
              </w:rPr>
            </w:pPr>
          </w:p>
        </w:tc>
        <w:tc>
          <w:tcPr>
            <w:tcW w:w="880" w:type="dxa"/>
            <w:vAlign w:val="bottom"/>
            <w:tcBorders>
              <w:bottom w:val="single" w:sz="8" w:color="E5F1F8"/>
            </w:tcBorders>
            <w:shd w:val="clear" w:color="auto" w:fill="E5F1F8"/>
          </w:tcPr>
          <w:p>
            <w:pPr>
              <w:spacing w:after="0"/>
              <w:rPr>
                <w:sz w:val="22"/>
                <w:szCs w:val="22"/>
                <w:color w:val="auto"/>
              </w:rPr>
            </w:pPr>
          </w:p>
        </w:tc>
        <w:tc>
          <w:tcPr>
            <w:tcW w:w="800" w:type="dxa"/>
            <w:vAlign w:val="bottom"/>
            <w:tcBorders>
              <w:bottom w:val="single" w:sz="8" w:color="E5F1F8"/>
            </w:tcBorders>
            <w:shd w:val="clear" w:color="auto" w:fill="E5F1F8"/>
          </w:tcPr>
          <w:p>
            <w:pPr>
              <w:spacing w:after="0"/>
              <w:rPr>
                <w:sz w:val="22"/>
                <w:szCs w:val="22"/>
                <w:color w:val="auto"/>
              </w:rPr>
            </w:pPr>
          </w:p>
        </w:tc>
        <w:tc>
          <w:tcPr>
            <w:tcW w:w="620" w:type="dxa"/>
            <w:vAlign w:val="bottom"/>
            <w:tcBorders>
              <w:bottom w:val="single" w:sz="8" w:color="E5F1F8"/>
            </w:tcBorders>
            <w:shd w:val="clear" w:color="auto" w:fill="E5F1F8"/>
          </w:tcPr>
          <w:p>
            <w:pPr>
              <w:spacing w:after="0"/>
              <w:rPr>
                <w:sz w:val="22"/>
                <w:szCs w:val="22"/>
                <w:color w:val="auto"/>
              </w:rPr>
            </w:pPr>
          </w:p>
        </w:tc>
        <w:tc>
          <w:tcPr>
            <w:tcW w:w="660" w:type="dxa"/>
            <w:vAlign w:val="bottom"/>
            <w:tcBorders>
              <w:bottom w:val="single" w:sz="8" w:color="E5F1F8"/>
            </w:tcBorders>
            <w:shd w:val="clear" w:color="auto" w:fill="E5F1F8"/>
          </w:tcPr>
          <w:p>
            <w:pPr>
              <w:spacing w:after="0"/>
              <w:rPr>
                <w:sz w:val="22"/>
                <w:szCs w:val="22"/>
                <w:color w:val="auto"/>
              </w:rPr>
            </w:pPr>
          </w:p>
        </w:tc>
        <w:tc>
          <w:tcPr>
            <w:tcW w:w="780" w:type="dxa"/>
            <w:vAlign w:val="bottom"/>
            <w:tcBorders>
              <w:bottom w:val="single" w:sz="8" w:color="E5F1F8"/>
            </w:tcBorders>
            <w:shd w:val="clear" w:color="auto" w:fill="E5F1F8"/>
          </w:tcPr>
          <w:p>
            <w:pPr>
              <w:spacing w:after="0"/>
              <w:rPr>
                <w:sz w:val="22"/>
                <w:szCs w:val="22"/>
                <w:color w:val="auto"/>
              </w:rPr>
            </w:pPr>
          </w:p>
        </w:tc>
      </w:tr>
      <w:tr>
        <w:trPr>
          <w:trHeight w:val="180"/>
        </w:trPr>
        <w:tc>
          <w:tcPr>
            <w:tcW w:w="1780" w:type="dxa"/>
            <w:vAlign w:val="bottom"/>
          </w:tcPr>
          <w:p>
            <w:pPr>
              <w:ind w:left="20"/>
              <w:spacing w:after="0" w:line="180" w:lineRule="exact"/>
              <w:rPr>
                <w:sz w:val="20"/>
                <w:szCs w:val="20"/>
                <w:color w:val="auto"/>
              </w:rPr>
            </w:pPr>
            <w:r>
              <w:rPr>
                <w:rFonts w:ascii="Calibri" w:cs="Calibri" w:eastAsia="Calibri" w:hAnsi="Calibri"/>
                <w:sz w:val="18"/>
                <w:szCs w:val="18"/>
                <w:color w:val="auto"/>
              </w:rPr>
              <w:t>South Texas Port #2</w:t>
            </w:r>
          </w:p>
        </w:tc>
        <w:tc>
          <w:tcPr>
            <w:tcW w:w="540" w:type="dxa"/>
            <w:vAlign w:val="bottom"/>
          </w:tcPr>
          <w:p>
            <w:pPr>
              <w:ind w:left="20"/>
              <w:spacing w:after="0" w:line="180" w:lineRule="exact"/>
              <w:rPr>
                <w:sz w:val="20"/>
                <w:szCs w:val="20"/>
                <w:color w:val="auto"/>
              </w:rPr>
            </w:pPr>
            <w:r>
              <w:rPr>
                <w:rFonts w:ascii="Calibri" w:cs="Calibri" w:eastAsia="Calibri" w:hAnsi="Calibri"/>
                <w:sz w:val="18"/>
                <w:szCs w:val="18"/>
                <w:color w:val="auto"/>
              </w:rPr>
              <w:t>41042</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5"/>
        </w:trPr>
        <w:tc>
          <w:tcPr>
            <w:tcW w:w="2320" w:type="dxa"/>
            <w:vAlign w:val="bottom"/>
            <w:gridSpan w:val="2"/>
          </w:tcPr>
          <w:p>
            <w:pPr>
              <w:ind w:left="20"/>
              <w:spacing w:after="0" w:line="215" w:lineRule="exact"/>
              <w:rPr>
                <w:sz w:val="20"/>
                <w:szCs w:val="20"/>
                <w:color w:val="auto"/>
              </w:rPr>
            </w:pPr>
            <w:r>
              <w:rPr>
                <w:rFonts w:ascii="Calibri" w:cs="Calibri" w:eastAsia="Calibri" w:hAnsi="Calibri"/>
                <w:sz w:val="18"/>
                <w:szCs w:val="18"/>
                <w:color w:val="auto"/>
              </w:rPr>
              <w:t>(Gulf Coast Portable #2 ) 04</w:t>
            </w:r>
          </w:p>
        </w:tc>
        <w:tc>
          <w:tcPr>
            <w:tcW w:w="7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4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133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Pr>
          <w:p>
            <w:pPr>
              <w:jc w:val="right"/>
              <w:ind w:right="290"/>
              <w:spacing w:after="0" w:line="215" w:lineRule="exact"/>
              <w:rPr>
                <w:sz w:val="20"/>
                <w:szCs w:val="20"/>
                <w:color w:val="auto"/>
              </w:rPr>
            </w:pPr>
            <w:r>
              <w:rPr>
                <w:rFonts w:ascii="Calibri" w:cs="Calibri" w:eastAsia="Calibri" w:hAnsi="Calibri"/>
                <w:sz w:val="18"/>
                <w:szCs w:val="18"/>
                <w:color w:val="auto"/>
              </w:rPr>
              <w:t>0</w:t>
            </w:r>
          </w:p>
        </w:tc>
      </w:tr>
      <w:tr>
        <w:trPr>
          <w:trHeight w:val="37"/>
        </w:trPr>
        <w:tc>
          <w:tcPr>
            <w:tcW w:w="1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07"/>
        </w:trPr>
        <w:tc>
          <w:tcPr>
            <w:tcW w:w="1780" w:type="dxa"/>
            <w:vAlign w:val="bottom"/>
            <w:shd w:val="clear" w:color="auto" w:fill="E5F1F8"/>
          </w:tcPr>
          <w:p>
            <w:pPr>
              <w:spacing w:after="0"/>
              <w:rPr>
                <w:sz w:val="18"/>
                <w:szCs w:val="18"/>
                <w:color w:val="auto"/>
              </w:rPr>
            </w:pPr>
          </w:p>
        </w:tc>
        <w:tc>
          <w:tcPr>
            <w:tcW w:w="540" w:type="dxa"/>
            <w:vAlign w:val="bottom"/>
            <w:shd w:val="clear" w:color="auto" w:fill="E5F1F8"/>
          </w:tcPr>
          <w:p>
            <w:pPr>
              <w:ind w:left="20"/>
              <w:spacing w:after="0" w:line="207" w:lineRule="exact"/>
              <w:rPr>
                <w:sz w:val="20"/>
                <w:szCs w:val="20"/>
                <w:color w:val="auto"/>
              </w:rPr>
            </w:pPr>
            <w:r>
              <w:rPr>
                <w:rFonts w:ascii="Calibri" w:cs="Calibri" w:eastAsia="Calibri" w:hAnsi="Calibri"/>
                <w:sz w:val="18"/>
                <w:szCs w:val="18"/>
                <w:color w:val="auto"/>
              </w:rPr>
              <w:t>04001</w:t>
            </w:r>
          </w:p>
        </w:tc>
        <w:tc>
          <w:tcPr>
            <w:tcW w:w="70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800" w:type="dxa"/>
            <w:vAlign w:val="bottom"/>
            <w:shd w:val="clear" w:color="auto" w:fill="E5F1F8"/>
          </w:tcPr>
          <w:p>
            <w:pPr>
              <w:spacing w:after="0"/>
              <w:rPr>
                <w:sz w:val="18"/>
                <w:szCs w:val="18"/>
                <w:color w:val="auto"/>
              </w:rPr>
            </w:pPr>
          </w:p>
        </w:tc>
        <w:tc>
          <w:tcPr>
            <w:tcW w:w="62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r>
      <w:tr>
        <w:trPr>
          <w:trHeight w:val="232"/>
        </w:trPr>
        <w:tc>
          <w:tcPr>
            <w:tcW w:w="178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**Tehachapi Cement</w:t>
            </w:r>
          </w:p>
        </w:tc>
        <w:tc>
          <w:tcPr>
            <w:tcW w:w="54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96</w:t>
            </w:r>
          </w:p>
        </w:tc>
        <w:tc>
          <w:tcPr>
            <w:tcW w:w="70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7</w:t>
            </w:r>
          </w:p>
        </w:tc>
        <w:tc>
          <w:tcPr>
            <w:tcW w:w="64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80" w:type="dxa"/>
            <w:vAlign w:val="bottom"/>
            <w:tcBorders>
              <w:bottom w:val="single" w:sz="8" w:color="E5F1F8"/>
            </w:tcBorders>
            <w:shd w:val="clear" w:color="auto" w:fill="E5F1F8"/>
          </w:tcPr>
          <w:p>
            <w:pPr>
              <w:jc w:val="right"/>
              <w:ind w:right="70"/>
              <w:spacing w:after="0" w:line="215" w:lineRule="exact"/>
              <w:rPr>
                <w:sz w:val="20"/>
                <w:szCs w:val="20"/>
                <w:color w:val="auto"/>
              </w:rPr>
            </w:pPr>
            <w:r>
              <w:rPr>
                <w:rFonts w:ascii="Calibri" w:cs="Calibri" w:eastAsia="Calibri" w:hAnsi="Calibri"/>
                <w:sz w:val="18"/>
                <w:szCs w:val="18"/>
                <w:b w:val="1"/>
                <w:bCs w:val="1"/>
                <w:color w:val="auto"/>
              </w:rPr>
              <w:t>$</w:t>
            </w:r>
          </w:p>
        </w:tc>
        <w:tc>
          <w:tcPr>
            <w:tcW w:w="8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5,684</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80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2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230"/>
              <w:spacing w:after="0" w:line="215" w:lineRule="exact"/>
              <w:rPr>
                <w:sz w:val="20"/>
                <w:szCs w:val="20"/>
                <w:color w:val="auto"/>
              </w:rPr>
            </w:pPr>
            <w:r>
              <w:rPr>
                <w:rFonts w:ascii="Calibri" w:cs="Calibri" w:eastAsia="Calibri" w:hAnsi="Calibri"/>
                <w:sz w:val="18"/>
                <w:szCs w:val="18"/>
                <w:color w:val="auto"/>
              </w:rPr>
              <w:t>0</w:t>
            </w:r>
          </w:p>
        </w:tc>
        <w:tc>
          <w:tcPr>
            <w:tcW w:w="780" w:type="dxa"/>
            <w:vAlign w:val="bottom"/>
            <w:tcBorders>
              <w:bottom w:val="single" w:sz="8" w:color="E5F1F8"/>
            </w:tcBorders>
            <w:shd w:val="clear" w:color="auto" w:fill="E5F1F8"/>
          </w:tcPr>
          <w:p>
            <w:pPr>
              <w:jc w:val="right"/>
              <w:ind w:right="290"/>
              <w:spacing w:after="0" w:line="215" w:lineRule="exact"/>
              <w:rPr>
                <w:sz w:val="20"/>
                <w:szCs w:val="20"/>
                <w:color w:val="auto"/>
              </w:rPr>
            </w:pPr>
            <w:r>
              <w:rPr>
                <w:rFonts w:ascii="Calibri" w:cs="Calibri" w:eastAsia="Calibri" w:hAnsi="Calibri"/>
                <w:sz w:val="18"/>
                <w:szCs w:val="18"/>
                <w:color w:val="auto"/>
              </w:rPr>
              <w:t>0</w:t>
            </w:r>
          </w:p>
        </w:tc>
      </w:tr>
      <w:tr>
        <w:trPr>
          <w:trHeight w:val="1168"/>
        </w:trPr>
        <w:tc>
          <w:tcPr>
            <w:tcW w:w="1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29146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2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20"/>
        </w:trPr>
        <w:tc>
          <w:tcPr>
            <w:tcW w:w="1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ind w:left="120"/>
              <w:spacing w:after="0"/>
              <w:rPr>
                <w:sz w:val="20"/>
                <w:szCs w:val="20"/>
                <w:color w:val="auto"/>
              </w:rPr>
            </w:pPr>
            <w:r>
              <w:rPr>
                <w:rFonts w:ascii="Calibri" w:cs="Calibri" w:eastAsia="Calibri" w:hAnsi="Calibri"/>
                <w:sz w:val="18"/>
                <w:szCs w:val="18"/>
                <w:color w:val="auto"/>
                <w:w w:val="94"/>
              </w:rPr>
              <w:t>Appendix 1</w:t>
            </w:r>
          </w:p>
        </w:tc>
      </w:tr>
      <w:tr>
        <w:trPr>
          <w:trHeight w:val="661"/>
        </w:trPr>
        <w:tc>
          <w:tcPr>
            <w:tcW w:w="176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Calibri" w:cs="Calibri" w:eastAsia="Calibri" w:hAnsi="Calibri"/>
                <w:sz w:val="18"/>
                <w:szCs w:val="18"/>
                <w:color w:val="auto"/>
              </w:rPr>
              <w:t>41028</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1760" w:type="dxa"/>
            <w:vAlign w:val="bottom"/>
          </w:tcPr>
          <w:p>
            <w:pPr>
              <w:ind w:left="20"/>
              <w:spacing w:after="0" w:line="216" w:lineRule="exact"/>
              <w:rPr>
                <w:sz w:val="20"/>
                <w:szCs w:val="20"/>
                <w:color w:val="auto"/>
              </w:rPr>
            </w:pPr>
            <w:r>
              <w:rPr>
                <w:rFonts w:ascii="Calibri" w:cs="Calibri" w:eastAsia="Calibri" w:hAnsi="Calibri"/>
                <w:sz w:val="18"/>
                <w:szCs w:val="18"/>
                <w:color w:val="auto"/>
              </w:rPr>
              <w:t>Tin Top SG</w:t>
            </w:r>
          </w:p>
        </w:tc>
        <w:tc>
          <w:tcPr>
            <w:tcW w:w="640" w:type="dxa"/>
            <w:vAlign w:val="bottom"/>
          </w:tcPr>
          <w:p>
            <w:pPr>
              <w:ind w:left="40"/>
              <w:spacing w:after="0" w:line="216" w:lineRule="exact"/>
              <w:rPr>
                <w:sz w:val="20"/>
                <w:szCs w:val="20"/>
                <w:color w:val="auto"/>
              </w:rPr>
            </w:pPr>
            <w:r>
              <w:rPr>
                <w:rFonts w:ascii="Calibri" w:cs="Calibri" w:eastAsia="Calibri" w:hAnsi="Calibri"/>
                <w:sz w:val="18"/>
                <w:szCs w:val="18"/>
                <w:color w:val="auto"/>
              </w:rPr>
              <w:t>52</w:t>
            </w:r>
          </w:p>
        </w:tc>
        <w:tc>
          <w:tcPr>
            <w:tcW w:w="660" w:type="dxa"/>
            <w:vAlign w:val="bottom"/>
          </w:tcPr>
          <w:p>
            <w:pPr>
              <w:jc w:val="center"/>
              <w:spacing w:after="0" w:line="216" w:lineRule="exact"/>
              <w:rPr>
                <w:sz w:val="20"/>
                <w:szCs w:val="20"/>
                <w:color w:val="auto"/>
              </w:rPr>
            </w:pPr>
            <w:r>
              <w:rPr>
                <w:rFonts w:ascii="Calibri" w:cs="Calibri" w:eastAsia="Calibri" w:hAnsi="Calibri"/>
                <w:sz w:val="18"/>
                <w:szCs w:val="18"/>
                <w:color w:val="auto"/>
                <w:w w:val="87"/>
              </w:rPr>
              <w:t>1</w:t>
            </w:r>
          </w:p>
        </w:tc>
        <w:tc>
          <w:tcPr>
            <w:tcW w:w="600" w:type="dxa"/>
            <w:vAlign w:val="bottom"/>
          </w:tcPr>
          <w:p>
            <w:pPr>
              <w:jc w:val="right"/>
              <w:ind w:right="190"/>
              <w:spacing w:after="0" w:line="216"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6"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6"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1</w:t>
            </w:r>
          </w:p>
        </w:tc>
        <w:tc>
          <w:tcPr>
            <w:tcW w:w="30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w:t>
            </w:r>
          </w:p>
        </w:tc>
        <w:tc>
          <w:tcPr>
            <w:tcW w:w="960" w:type="dxa"/>
            <w:vAlign w:val="bottom"/>
          </w:tcPr>
          <w:p>
            <w:pPr>
              <w:jc w:val="right"/>
              <w:ind w:right="210"/>
              <w:spacing w:after="0" w:line="216" w:lineRule="exact"/>
              <w:rPr>
                <w:sz w:val="20"/>
                <w:szCs w:val="20"/>
                <w:color w:val="auto"/>
              </w:rPr>
            </w:pPr>
            <w:r>
              <w:rPr>
                <w:rFonts w:ascii="Calibri" w:cs="Calibri" w:eastAsia="Calibri" w:hAnsi="Calibri"/>
                <w:sz w:val="18"/>
                <w:szCs w:val="18"/>
                <w:b w:val="1"/>
                <w:bCs w:val="1"/>
                <w:color w:val="auto"/>
              </w:rPr>
              <w:t>2,557</w:t>
            </w:r>
          </w:p>
        </w:tc>
        <w:tc>
          <w:tcPr>
            <w:tcW w:w="780" w:type="dxa"/>
            <w:vAlign w:val="bottom"/>
          </w:tcPr>
          <w:p>
            <w:pPr>
              <w:jc w:val="right"/>
              <w:ind w:right="310"/>
              <w:spacing w:after="0" w:line="216"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6" w:lineRule="exact"/>
              <w:rPr>
                <w:sz w:val="20"/>
                <w:szCs w:val="20"/>
                <w:color w:val="auto"/>
              </w:rPr>
            </w:pPr>
            <w:r>
              <w:rPr>
                <w:rFonts w:ascii="Calibri" w:cs="Calibri" w:eastAsia="Calibri" w:hAnsi="Calibri"/>
                <w:sz w:val="18"/>
                <w:szCs w:val="18"/>
                <w:color w:val="auto"/>
              </w:rPr>
              <w:t>no</w:t>
            </w:r>
          </w:p>
        </w:tc>
        <w:tc>
          <w:tcPr>
            <w:tcW w:w="780" w:type="dxa"/>
            <w:vAlign w:val="bottom"/>
          </w:tcPr>
          <w:p>
            <w:pPr>
              <w:ind w:left="320"/>
              <w:spacing w:after="0" w:line="216" w:lineRule="exact"/>
              <w:rPr>
                <w:sz w:val="20"/>
                <w:szCs w:val="20"/>
                <w:color w:val="auto"/>
              </w:rPr>
            </w:pPr>
            <w:r>
              <w:rPr>
                <w:rFonts w:ascii="Calibri" w:cs="Calibri" w:eastAsia="Calibri" w:hAnsi="Calibri"/>
                <w:sz w:val="18"/>
                <w:szCs w:val="18"/>
                <w:color w:val="auto"/>
              </w:rPr>
              <w:t>no</w:t>
            </w:r>
          </w:p>
        </w:tc>
        <w:tc>
          <w:tcPr>
            <w:tcW w:w="64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0</w:t>
            </w:r>
          </w:p>
        </w:tc>
        <w:tc>
          <w:tcPr>
            <w:tcW w:w="5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rPr>
              <w:t>0</w:t>
            </w:r>
          </w:p>
        </w:tc>
        <w:tc>
          <w:tcPr>
            <w:tcW w:w="9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87"/>
              </w:rPr>
              <w:t>1</w:t>
            </w:r>
          </w:p>
        </w:tc>
      </w:tr>
      <w:tr>
        <w:trPr>
          <w:trHeight w:val="37"/>
        </w:trPr>
        <w:tc>
          <w:tcPr>
            <w:tcW w:w="1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64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34020</w:t>
            </w:r>
          </w:p>
        </w:tc>
        <w:tc>
          <w:tcPr>
            <w:tcW w:w="66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0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52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Washita Quarry</w:t>
            </w:r>
          </w:p>
        </w:tc>
        <w:tc>
          <w:tcPr>
            <w:tcW w:w="64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49</w:t>
            </w:r>
          </w:p>
        </w:tc>
        <w:tc>
          <w:tcPr>
            <w:tcW w:w="6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266</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78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640" w:type="dxa"/>
            <w:vAlign w:val="bottom"/>
          </w:tcPr>
          <w:p>
            <w:pPr>
              <w:ind w:left="40"/>
              <w:spacing w:after="0" w:line="207" w:lineRule="exact"/>
              <w:rPr>
                <w:sz w:val="20"/>
                <w:szCs w:val="20"/>
                <w:color w:val="auto"/>
              </w:rPr>
            </w:pPr>
            <w:r>
              <w:rPr>
                <w:rFonts w:ascii="Calibri" w:cs="Calibri" w:eastAsia="Calibri" w:hAnsi="Calibri"/>
                <w:sz w:val="18"/>
                <w:szCs w:val="18"/>
                <w:color w:val="auto"/>
              </w:rPr>
              <w:t>41043</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Webberville</w:t>
            </w:r>
          </w:p>
        </w:tc>
        <w:tc>
          <w:tcPr>
            <w:tcW w:w="640" w:type="dxa"/>
            <w:vAlign w:val="bottom"/>
          </w:tcPr>
          <w:p>
            <w:pPr>
              <w:ind w:left="40"/>
              <w:spacing w:after="0" w:line="215" w:lineRule="exact"/>
              <w:rPr>
                <w:sz w:val="20"/>
                <w:szCs w:val="20"/>
                <w:color w:val="auto"/>
              </w:rPr>
            </w:pPr>
            <w:r>
              <w:rPr>
                <w:rFonts w:ascii="Calibri" w:cs="Calibri" w:eastAsia="Calibri" w:hAnsi="Calibri"/>
                <w:sz w:val="18"/>
                <w:szCs w:val="18"/>
                <w:color w:val="auto"/>
              </w:rPr>
              <w:t>63</w:t>
            </w:r>
          </w:p>
        </w:tc>
        <w:tc>
          <w:tcPr>
            <w:tcW w:w="6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6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747</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78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64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16010</w:t>
            </w:r>
          </w:p>
        </w:tc>
        <w:tc>
          <w:tcPr>
            <w:tcW w:w="66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0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52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r>
      <w:tr>
        <w:trPr>
          <w:trHeight w:val="232"/>
        </w:trPr>
        <w:tc>
          <w:tcPr>
            <w:tcW w:w="1760" w:type="dxa"/>
            <w:vAlign w:val="bottom"/>
            <w:tcBorders>
              <w:bottom w:val="single" w:sz="8" w:color="E5F1F8"/>
            </w:tcBorders>
            <w:shd w:val="clear" w:color="auto" w:fill="E5F1F8"/>
          </w:tcPr>
          <w:p>
            <w:pPr>
              <w:ind w:left="20"/>
              <w:spacing w:after="0" w:line="215" w:lineRule="exact"/>
              <w:rPr>
                <w:sz w:val="20"/>
                <w:szCs w:val="20"/>
                <w:color w:val="auto"/>
              </w:rPr>
            </w:pPr>
            <w:r>
              <w:rPr>
                <w:rFonts w:ascii="Calibri" w:cs="Calibri" w:eastAsia="Calibri" w:hAnsi="Calibri"/>
                <w:sz w:val="18"/>
                <w:szCs w:val="18"/>
                <w:color w:val="auto"/>
                <w:w w:val="98"/>
              </w:rPr>
              <w:t>Woodworth Aggregates</w:t>
            </w:r>
          </w:p>
        </w:tc>
        <w:tc>
          <w:tcPr>
            <w:tcW w:w="640" w:type="dxa"/>
            <w:vAlign w:val="bottom"/>
            <w:tcBorders>
              <w:bottom w:val="single" w:sz="8" w:color="E5F1F8"/>
            </w:tcBorders>
            <w:shd w:val="clear" w:color="auto" w:fill="E5F1F8"/>
          </w:tcPr>
          <w:p>
            <w:pPr>
              <w:ind w:left="40"/>
              <w:spacing w:after="0" w:line="215" w:lineRule="exact"/>
              <w:rPr>
                <w:sz w:val="20"/>
                <w:szCs w:val="20"/>
                <w:color w:val="auto"/>
              </w:rPr>
            </w:pPr>
            <w:r>
              <w:rPr>
                <w:rFonts w:ascii="Calibri" w:cs="Calibri" w:eastAsia="Calibri" w:hAnsi="Calibri"/>
                <w:sz w:val="18"/>
                <w:szCs w:val="18"/>
                <w:color w:val="auto"/>
              </w:rPr>
              <w:t>70</w:t>
            </w:r>
          </w:p>
        </w:tc>
        <w:tc>
          <w:tcPr>
            <w:tcW w:w="6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1</w:t>
            </w:r>
          </w:p>
        </w:tc>
        <w:tc>
          <w:tcPr>
            <w:tcW w:w="60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78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640" w:type="dxa"/>
            <w:vAlign w:val="bottom"/>
          </w:tcPr>
          <w:p>
            <w:pPr>
              <w:ind w:left="40"/>
              <w:spacing w:after="0" w:line="207" w:lineRule="exact"/>
              <w:rPr>
                <w:sz w:val="20"/>
                <w:szCs w:val="20"/>
                <w:color w:val="auto"/>
              </w:rPr>
            </w:pPr>
            <w:r>
              <w:rPr>
                <w:rFonts w:ascii="Calibri" w:cs="Calibri" w:eastAsia="Calibri" w:hAnsi="Calibri"/>
                <w:sz w:val="18"/>
                <w:szCs w:val="18"/>
                <w:color w:val="auto"/>
              </w:rPr>
              <w:t>33001</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Woodville - Stone</w:t>
            </w:r>
          </w:p>
        </w:tc>
        <w:tc>
          <w:tcPr>
            <w:tcW w:w="640" w:type="dxa"/>
            <w:vAlign w:val="bottom"/>
          </w:tcPr>
          <w:p>
            <w:pPr>
              <w:ind w:left="40"/>
              <w:spacing w:after="0" w:line="215" w:lineRule="exact"/>
              <w:rPr>
                <w:sz w:val="20"/>
                <w:szCs w:val="20"/>
                <w:color w:val="auto"/>
              </w:rPr>
            </w:pPr>
            <w:r>
              <w:rPr>
                <w:rFonts w:ascii="Calibri" w:cs="Calibri" w:eastAsia="Calibri" w:hAnsi="Calibri"/>
                <w:sz w:val="18"/>
                <w:szCs w:val="18"/>
                <w:color w:val="auto"/>
              </w:rPr>
              <w:t>56</w:t>
            </w:r>
          </w:p>
        </w:tc>
        <w:tc>
          <w:tcPr>
            <w:tcW w:w="66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17</w:t>
            </w:r>
          </w:p>
        </w:tc>
        <w:tc>
          <w:tcPr>
            <w:tcW w:w="6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6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47,553</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78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rPr>
              <w:t>3</w:t>
            </w:r>
          </w:p>
        </w:tc>
        <w:tc>
          <w:tcPr>
            <w:tcW w:w="52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rPr>
              <w:t>3</w:t>
            </w:r>
          </w:p>
        </w:tc>
        <w:tc>
          <w:tcPr>
            <w:tcW w:w="920" w:type="dxa"/>
            <w:vAlign w:val="bottom"/>
          </w:tcPr>
          <w:p>
            <w:pPr>
              <w:jc w:val="center"/>
              <w:spacing w:after="0" w:line="215" w:lineRule="exact"/>
              <w:rPr>
                <w:sz w:val="20"/>
                <w:szCs w:val="20"/>
                <w:color w:val="auto"/>
              </w:rPr>
            </w:pPr>
            <w:r>
              <w:rPr>
                <w:rFonts w:ascii="Calibri" w:cs="Calibri" w:eastAsia="Calibri" w:hAnsi="Calibri"/>
                <w:sz w:val="18"/>
                <w:szCs w:val="18"/>
                <w:b w:val="1"/>
                <w:bCs w:val="1"/>
                <w:color w:val="auto"/>
                <w:w w:val="87"/>
              </w:rPr>
              <w:t>0</w:t>
            </w:r>
          </w:p>
        </w:tc>
      </w:tr>
      <w:tr>
        <w:trPr>
          <w:trHeight w:val="37"/>
        </w:trPr>
        <w:tc>
          <w:tcPr>
            <w:tcW w:w="1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07"/>
        </w:trPr>
        <w:tc>
          <w:tcPr>
            <w:tcW w:w="1760" w:type="dxa"/>
            <w:vAlign w:val="bottom"/>
            <w:shd w:val="clear" w:color="auto" w:fill="E5F1F8"/>
          </w:tcPr>
          <w:p>
            <w:pPr>
              <w:spacing w:after="0"/>
              <w:rPr>
                <w:sz w:val="18"/>
                <w:szCs w:val="18"/>
                <w:color w:val="auto"/>
              </w:rPr>
            </w:pPr>
          </w:p>
        </w:tc>
        <w:tc>
          <w:tcPr>
            <w:tcW w:w="640" w:type="dxa"/>
            <w:vAlign w:val="bottom"/>
            <w:shd w:val="clear" w:color="auto" w:fill="E5F1F8"/>
          </w:tcPr>
          <w:p>
            <w:pPr>
              <w:ind w:left="40"/>
              <w:spacing w:after="0" w:line="207" w:lineRule="exact"/>
              <w:rPr>
                <w:sz w:val="20"/>
                <w:szCs w:val="20"/>
                <w:color w:val="auto"/>
              </w:rPr>
            </w:pPr>
            <w:r>
              <w:rPr>
                <w:rFonts w:ascii="Calibri" w:cs="Calibri" w:eastAsia="Calibri" w:hAnsi="Calibri"/>
                <w:sz w:val="18"/>
                <w:szCs w:val="18"/>
                <w:color w:val="auto"/>
              </w:rPr>
              <w:t>00B71</w:t>
            </w:r>
          </w:p>
        </w:tc>
        <w:tc>
          <w:tcPr>
            <w:tcW w:w="660" w:type="dxa"/>
            <w:vAlign w:val="bottom"/>
            <w:shd w:val="clear" w:color="auto" w:fill="E5F1F8"/>
          </w:tcPr>
          <w:p>
            <w:pPr>
              <w:spacing w:after="0"/>
              <w:rPr>
                <w:sz w:val="18"/>
                <w:szCs w:val="18"/>
                <w:color w:val="auto"/>
              </w:rPr>
            </w:pPr>
          </w:p>
        </w:tc>
        <w:tc>
          <w:tcPr>
            <w:tcW w:w="600" w:type="dxa"/>
            <w:vAlign w:val="bottom"/>
            <w:shd w:val="clear" w:color="auto" w:fill="E5F1F8"/>
          </w:tcPr>
          <w:p>
            <w:pPr>
              <w:spacing w:after="0"/>
              <w:rPr>
                <w:sz w:val="18"/>
                <w:szCs w:val="18"/>
                <w:color w:val="auto"/>
              </w:rPr>
            </w:pPr>
          </w:p>
        </w:tc>
        <w:tc>
          <w:tcPr>
            <w:tcW w:w="680" w:type="dxa"/>
            <w:vAlign w:val="bottom"/>
            <w:shd w:val="clear" w:color="auto" w:fill="E5F1F8"/>
          </w:tcPr>
          <w:p>
            <w:pPr>
              <w:spacing w:after="0"/>
              <w:rPr>
                <w:sz w:val="18"/>
                <w:szCs w:val="18"/>
                <w:color w:val="auto"/>
              </w:rPr>
            </w:pPr>
          </w:p>
        </w:tc>
        <w:tc>
          <w:tcPr>
            <w:tcW w:w="660" w:type="dxa"/>
            <w:vAlign w:val="bottom"/>
            <w:shd w:val="clear" w:color="auto" w:fill="E5F1F8"/>
          </w:tcPr>
          <w:p>
            <w:pPr>
              <w:spacing w:after="0"/>
              <w:rPr>
                <w:sz w:val="18"/>
                <w:szCs w:val="18"/>
                <w:color w:val="auto"/>
              </w:rPr>
            </w:pPr>
          </w:p>
        </w:tc>
        <w:tc>
          <w:tcPr>
            <w:tcW w:w="460" w:type="dxa"/>
            <w:vAlign w:val="bottom"/>
            <w:shd w:val="clear" w:color="auto" w:fill="E5F1F8"/>
          </w:tcPr>
          <w:p>
            <w:pPr>
              <w:spacing w:after="0"/>
              <w:rPr>
                <w:sz w:val="18"/>
                <w:szCs w:val="18"/>
                <w:color w:val="auto"/>
              </w:rPr>
            </w:pPr>
          </w:p>
        </w:tc>
        <w:tc>
          <w:tcPr>
            <w:tcW w:w="300" w:type="dxa"/>
            <w:vAlign w:val="bottom"/>
            <w:shd w:val="clear" w:color="auto" w:fill="E5F1F8"/>
          </w:tcPr>
          <w:p>
            <w:pPr>
              <w:spacing w:after="0"/>
              <w:rPr>
                <w:sz w:val="18"/>
                <w:szCs w:val="18"/>
                <w:color w:val="auto"/>
              </w:rPr>
            </w:pPr>
          </w:p>
        </w:tc>
        <w:tc>
          <w:tcPr>
            <w:tcW w:w="96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spacing w:after="0"/>
              <w:rPr>
                <w:sz w:val="18"/>
                <w:szCs w:val="18"/>
                <w:color w:val="auto"/>
              </w:rPr>
            </w:pPr>
          </w:p>
        </w:tc>
        <w:tc>
          <w:tcPr>
            <w:tcW w:w="520" w:type="dxa"/>
            <w:vAlign w:val="bottom"/>
            <w:shd w:val="clear" w:color="auto" w:fill="E5F1F8"/>
          </w:tcPr>
          <w:p>
            <w:pPr>
              <w:spacing w:after="0"/>
              <w:rPr>
                <w:sz w:val="18"/>
                <w:szCs w:val="18"/>
                <w:color w:val="auto"/>
              </w:rPr>
            </w:pPr>
          </w:p>
        </w:tc>
        <w:tc>
          <w:tcPr>
            <w:tcW w:w="920" w:type="dxa"/>
            <w:vAlign w:val="bottom"/>
            <w:shd w:val="clear" w:color="auto" w:fill="E5F1F8"/>
          </w:tcPr>
          <w:p>
            <w:pPr>
              <w:spacing w:after="0"/>
              <w:rPr>
                <w:sz w:val="18"/>
                <w:szCs w:val="18"/>
                <w:color w:val="auto"/>
              </w:rPr>
            </w:pPr>
          </w:p>
        </w:tc>
      </w:tr>
      <w:tr>
        <w:trPr>
          <w:trHeight w:val="232"/>
        </w:trPr>
        <w:tc>
          <w:tcPr>
            <w:tcW w:w="2400" w:type="dxa"/>
            <w:vAlign w:val="bottom"/>
            <w:tcBorders>
              <w:bottom w:val="single" w:sz="8" w:color="E5F1F8"/>
            </w:tcBorders>
            <w:gridSpan w:val="2"/>
            <w:shd w:val="clear" w:color="auto" w:fill="E5F1F8"/>
          </w:tcPr>
          <w:p>
            <w:pPr>
              <w:ind w:left="20"/>
              <w:spacing w:after="0" w:line="215" w:lineRule="exact"/>
              <w:rPr>
                <w:sz w:val="20"/>
                <w:szCs w:val="20"/>
                <w:color w:val="auto"/>
              </w:rPr>
            </w:pPr>
            <w:r>
              <w:rPr>
                <w:rFonts w:ascii="Calibri" w:cs="Calibri" w:eastAsia="Calibri" w:hAnsi="Calibri"/>
                <w:sz w:val="18"/>
                <w:szCs w:val="18"/>
                <w:color w:val="auto"/>
              </w:rPr>
              <w:t>Geology and Exploraton 27</w:t>
            </w:r>
          </w:p>
        </w:tc>
        <w:tc>
          <w:tcPr>
            <w:tcW w:w="66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Borders>
              <w:bottom w:val="single" w:sz="8" w:color="E5F1F8"/>
            </w:tcBorders>
            <w:shd w:val="clear" w:color="auto" w:fill="E5F1F8"/>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Borders>
              <w:bottom w:val="single" w:sz="8" w:color="E5F1F8"/>
            </w:tcBorders>
            <w:shd w:val="clear" w:color="auto" w:fill="E5F1F8"/>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Borders>
              <w:bottom w:val="single" w:sz="8" w:color="E5F1F8"/>
            </w:tcBorders>
            <w:shd w:val="clear" w:color="auto" w:fill="E5F1F8"/>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Borders>
              <w:bottom w:val="single" w:sz="8" w:color="E5F1F8"/>
            </w:tcBorders>
            <w:shd w:val="clear" w:color="auto" w:fill="E5F1F8"/>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60" w:type="dxa"/>
            <w:vAlign w:val="bottom"/>
            <w:tcBorders>
              <w:bottom w:val="single" w:sz="8" w:color="E5F1F8"/>
            </w:tcBorders>
            <w:shd w:val="clear" w:color="auto" w:fill="E5F1F8"/>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Borders>
              <w:bottom w:val="single" w:sz="8" w:color="E5F1F8"/>
            </w:tcBorders>
            <w:shd w:val="clear" w:color="auto" w:fill="E5F1F8"/>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Borders>
              <w:bottom w:val="single" w:sz="8" w:color="E5F1F8"/>
            </w:tcBorders>
            <w:shd w:val="clear" w:color="auto" w:fill="E5F1F8"/>
          </w:tcPr>
          <w:p>
            <w:pPr>
              <w:ind w:left="380"/>
              <w:spacing w:after="0" w:line="215" w:lineRule="exact"/>
              <w:rPr>
                <w:sz w:val="20"/>
                <w:szCs w:val="20"/>
                <w:color w:val="auto"/>
              </w:rPr>
            </w:pPr>
            <w:r>
              <w:rPr>
                <w:rFonts w:ascii="Calibri" w:cs="Calibri" w:eastAsia="Calibri" w:hAnsi="Calibri"/>
                <w:sz w:val="18"/>
                <w:szCs w:val="18"/>
                <w:color w:val="auto"/>
              </w:rPr>
              <w:t>no</w:t>
            </w:r>
          </w:p>
        </w:tc>
        <w:tc>
          <w:tcPr>
            <w:tcW w:w="780" w:type="dxa"/>
            <w:vAlign w:val="bottom"/>
            <w:tcBorders>
              <w:bottom w:val="single" w:sz="8" w:color="E5F1F8"/>
            </w:tcBorders>
            <w:shd w:val="clear" w:color="auto" w:fill="E5F1F8"/>
          </w:tcPr>
          <w:p>
            <w:pPr>
              <w:ind w:left="320"/>
              <w:spacing w:after="0" w:line="215" w:lineRule="exact"/>
              <w:rPr>
                <w:sz w:val="20"/>
                <w:szCs w:val="20"/>
                <w:color w:val="auto"/>
              </w:rPr>
            </w:pPr>
            <w:r>
              <w:rPr>
                <w:rFonts w:ascii="Calibri" w:cs="Calibri" w:eastAsia="Calibri" w:hAnsi="Calibri"/>
                <w:sz w:val="18"/>
                <w:szCs w:val="18"/>
                <w:color w:val="auto"/>
              </w:rPr>
              <w:t>no</w:t>
            </w:r>
          </w:p>
        </w:tc>
        <w:tc>
          <w:tcPr>
            <w:tcW w:w="64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Borders>
              <w:bottom w:val="single" w:sz="8" w:color="E5F1F8"/>
            </w:tcBorders>
            <w:shd w:val="clear" w:color="auto" w:fill="E5F1F8"/>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207"/>
        </w:trPr>
        <w:tc>
          <w:tcPr>
            <w:tcW w:w="1760" w:type="dxa"/>
            <w:vAlign w:val="bottom"/>
          </w:tcPr>
          <w:p>
            <w:pPr>
              <w:spacing w:after="0"/>
              <w:rPr>
                <w:sz w:val="18"/>
                <w:szCs w:val="18"/>
                <w:color w:val="auto"/>
              </w:rPr>
            </w:pPr>
          </w:p>
        </w:tc>
        <w:tc>
          <w:tcPr>
            <w:tcW w:w="640" w:type="dxa"/>
            <w:vAlign w:val="bottom"/>
          </w:tcPr>
          <w:p>
            <w:pPr>
              <w:ind w:left="40"/>
              <w:spacing w:after="0" w:line="207" w:lineRule="exact"/>
              <w:rPr>
                <w:sz w:val="20"/>
                <w:szCs w:val="20"/>
                <w:color w:val="auto"/>
              </w:rPr>
            </w:pPr>
            <w:r>
              <w:rPr>
                <w:rFonts w:ascii="Calibri" w:cs="Calibri" w:eastAsia="Calibri" w:hAnsi="Calibri"/>
                <w:sz w:val="18"/>
                <w:szCs w:val="18"/>
                <w:color w:val="auto"/>
              </w:rPr>
              <w:t>00B93</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5"/>
        </w:trPr>
        <w:tc>
          <w:tcPr>
            <w:tcW w:w="1760" w:type="dxa"/>
            <w:vAlign w:val="bottom"/>
          </w:tcPr>
          <w:p>
            <w:pPr>
              <w:ind w:left="20"/>
              <w:spacing w:after="0" w:line="215" w:lineRule="exact"/>
              <w:rPr>
                <w:sz w:val="20"/>
                <w:szCs w:val="20"/>
                <w:color w:val="auto"/>
              </w:rPr>
            </w:pPr>
            <w:r>
              <w:rPr>
                <w:rFonts w:ascii="Calibri" w:cs="Calibri" w:eastAsia="Calibri" w:hAnsi="Calibri"/>
                <w:sz w:val="18"/>
                <w:szCs w:val="18"/>
                <w:color w:val="auto"/>
              </w:rPr>
              <w:t>Salisbury Shop</w:t>
            </w:r>
          </w:p>
        </w:tc>
        <w:tc>
          <w:tcPr>
            <w:tcW w:w="640" w:type="dxa"/>
            <w:vAlign w:val="bottom"/>
          </w:tcPr>
          <w:p>
            <w:pPr>
              <w:ind w:left="40"/>
              <w:spacing w:after="0" w:line="215" w:lineRule="exact"/>
              <w:rPr>
                <w:sz w:val="20"/>
                <w:szCs w:val="20"/>
                <w:color w:val="auto"/>
              </w:rPr>
            </w:pPr>
            <w:r>
              <w:rPr>
                <w:rFonts w:ascii="Calibri" w:cs="Calibri" w:eastAsia="Calibri" w:hAnsi="Calibri"/>
                <w:sz w:val="18"/>
                <w:szCs w:val="18"/>
                <w:color w:val="auto"/>
              </w:rPr>
              <w:t>38</w:t>
            </w:r>
          </w:p>
        </w:tc>
        <w:tc>
          <w:tcPr>
            <w:tcW w:w="66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c>
          <w:tcPr>
            <w:tcW w:w="600" w:type="dxa"/>
            <w:vAlign w:val="bottom"/>
          </w:tcPr>
          <w:p>
            <w:pPr>
              <w:jc w:val="right"/>
              <w:ind w:right="190"/>
              <w:spacing w:after="0" w:line="215" w:lineRule="exact"/>
              <w:rPr>
                <w:sz w:val="20"/>
                <w:szCs w:val="20"/>
                <w:color w:val="auto"/>
              </w:rPr>
            </w:pPr>
            <w:r>
              <w:rPr>
                <w:rFonts w:ascii="Calibri" w:cs="Calibri" w:eastAsia="Calibri" w:hAnsi="Calibri"/>
                <w:sz w:val="18"/>
                <w:szCs w:val="18"/>
                <w:color w:val="auto"/>
              </w:rPr>
              <w:t>0</w:t>
            </w:r>
          </w:p>
        </w:tc>
        <w:tc>
          <w:tcPr>
            <w:tcW w:w="680" w:type="dxa"/>
            <w:vAlign w:val="bottom"/>
          </w:tcPr>
          <w:p>
            <w:pPr>
              <w:jc w:val="right"/>
              <w:ind w:right="210"/>
              <w:spacing w:after="0" w:line="215" w:lineRule="exact"/>
              <w:rPr>
                <w:sz w:val="20"/>
                <w:szCs w:val="20"/>
                <w:color w:val="auto"/>
              </w:rPr>
            </w:pPr>
            <w:r>
              <w:rPr>
                <w:rFonts w:ascii="Calibri" w:cs="Calibri" w:eastAsia="Calibri" w:hAnsi="Calibri"/>
                <w:sz w:val="18"/>
                <w:szCs w:val="18"/>
                <w:color w:val="auto"/>
              </w:rPr>
              <w:t>0</w:t>
            </w:r>
          </w:p>
        </w:tc>
        <w:tc>
          <w:tcPr>
            <w:tcW w:w="66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rPr>
              <w:t>0</w:t>
            </w:r>
          </w:p>
        </w:tc>
        <w:tc>
          <w:tcPr>
            <w:tcW w:w="4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0</w:t>
            </w:r>
          </w:p>
        </w:tc>
        <w:tc>
          <w:tcPr>
            <w:tcW w:w="300" w:type="dxa"/>
            <w:vAlign w:val="bottom"/>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960" w:type="dxa"/>
            <w:vAlign w:val="bottom"/>
          </w:tcPr>
          <w:p>
            <w:pPr>
              <w:jc w:val="right"/>
              <w:ind w:right="210"/>
              <w:spacing w:after="0" w:line="215" w:lineRule="exact"/>
              <w:rPr>
                <w:sz w:val="20"/>
                <w:szCs w:val="20"/>
                <w:color w:val="auto"/>
              </w:rPr>
            </w:pPr>
            <w:r>
              <w:rPr>
                <w:rFonts w:ascii="Calibri" w:cs="Calibri" w:eastAsia="Calibri" w:hAnsi="Calibri"/>
                <w:sz w:val="18"/>
                <w:szCs w:val="18"/>
                <w:b w:val="1"/>
                <w:bCs w:val="1"/>
                <w:color w:val="auto"/>
              </w:rPr>
              <w:t>0</w:t>
            </w:r>
          </w:p>
        </w:tc>
        <w:tc>
          <w:tcPr>
            <w:tcW w:w="780" w:type="dxa"/>
            <w:vAlign w:val="bottom"/>
          </w:tcPr>
          <w:p>
            <w:pPr>
              <w:jc w:val="right"/>
              <w:ind w:right="310"/>
              <w:spacing w:after="0" w:line="215" w:lineRule="exact"/>
              <w:rPr>
                <w:sz w:val="20"/>
                <w:szCs w:val="20"/>
                <w:color w:val="auto"/>
              </w:rPr>
            </w:pPr>
            <w:r>
              <w:rPr>
                <w:rFonts w:ascii="Calibri" w:cs="Calibri" w:eastAsia="Calibri" w:hAnsi="Calibri"/>
                <w:sz w:val="18"/>
                <w:szCs w:val="18"/>
                <w:color w:val="auto"/>
              </w:rPr>
              <w:t>0</w:t>
            </w:r>
          </w:p>
        </w:tc>
        <w:tc>
          <w:tcPr>
            <w:tcW w:w="880" w:type="dxa"/>
            <w:vAlign w:val="bottom"/>
          </w:tcPr>
          <w:p>
            <w:pPr>
              <w:ind w:left="380"/>
              <w:spacing w:after="0" w:line="215" w:lineRule="exact"/>
              <w:rPr>
                <w:sz w:val="20"/>
                <w:szCs w:val="20"/>
                <w:color w:val="auto"/>
              </w:rPr>
            </w:pPr>
            <w:r>
              <w:rPr>
                <w:rFonts w:ascii="Calibri" w:cs="Calibri" w:eastAsia="Calibri" w:hAnsi="Calibri"/>
                <w:sz w:val="18"/>
                <w:szCs w:val="18"/>
                <w:color w:val="auto"/>
              </w:rPr>
              <w:t>no</w:t>
            </w:r>
          </w:p>
        </w:tc>
        <w:tc>
          <w:tcPr>
            <w:tcW w:w="780" w:type="dxa"/>
            <w:vAlign w:val="bottom"/>
          </w:tcPr>
          <w:p>
            <w:pPr>
              <w:ind w:left="320"/>
              <w:spacing w:after="0" w:line="215" w:lineRule="exact"/>
              <w:rPr>
                <w:sz w:val="20"/>
                <w:szCs w:val="20"/>
                <w:color w:val="auto"/>
              </w:rPr>
            </w:pPr>
            <w:r>
              <w:rPr>
                <w:rFonts w:ascii="Calibri" w:cs="Calibri" w:eastAsia="Calibri" w:hAnsi="Calibri"/>
                <w:sz w:val="18"/>
                <w:szCs w:val="18"/>
                <w:color w:val="auto"/>
              </w:rPr>
              <w:t>no</w:t>
            </w:r>
          </w:p>
        </w:tc>
        <w:tc>
          <w:tcPr>
            <w:tcW w:w="64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520" w:type="dxa"/>
            <w:vAlign w:val="bottom"/>
          </w:tcPr>
          <w:p>
            <w:pPr>
              <w:jc w:val="center"/>
              <w:spacing w:after="0" w:line="215" w:lineRule="exact"/>
              <w:rPr>
                <w:sz w:val="20"/>
                <w:szCs w:val="20"/>
                <w:color w:val="auto"/>
              </w:rPr>
            </w:pPr>
            <w:r>
              <w:rPr>
                <w:rFonts w:ascii="Calibri" w:cs="Calibri" w:eastAsia="Calibri" w:hAnsi="Calibri"/>
                <w:sz w:val="18"/>
                <w:szCs w:val="18"/>
                <w:color w:val="auto"/>
              </w:rPr>
              <w:t>0</w:t>
            </w:r>
          </w:p>
        </w:tc>
        <w:tc>
          <w:tcPr>
            <w:tcW w:w="920" w:type="dxa"/>
            <w:vAlign w:val="bottom"/>
          </w:tcPr>
          <w:p>
            <w:pPr>
              <w:jc w:val="center"/>
              <w:spacing w:after="0" w:line="215" w:lineRule="exact"/>
              <w:rPr>
                <w:sz w:val="20"/>
                <w:szCs w:val="20"/>
                <w:color w:val="auto"/>
              </w:rPr>
            </w:pPr>
            <w:r>
              <w:rPr>
                <w:rFonts w:ascii="Calibri" w:cs="Calibri" w:eastAsia="Calibri" w:hAnsi="Calibri"/>
                <w:sz w:val="18"/>
                <w:szCs w:val="18"/>
                <w:color w:val="auto"/>
                <w:w w:val="87"/>
              </w:rPr>
              <w:t>0</w:t>
            </w:r>
          </w:p>
        </w:tc>
      </w:tr>
      <w:tr>
        <w:trPr>
          <w:trHeight w:val="37"/>
        </w:trPr>
        <w:tc>
          <w:tcPr>
            <w:tcW w:w="1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8"/>
        </w:trPr>
        <w:tc>
          <w:tcPr>
            <w:tcW w:w="1760" w:type="dxa"/>
            <w:vAlign w:val="bottom"/>
            <w:shd w:val="clear" w:color="auto" w:fill="E5F1F8"/>
          </w:tcPr>
          <w:p>
            <w:pPr>
              <w:ind w:left="20"/>
              <w:spacing w:after="0" w:line="208" w:lineRule="exact"/>
              <w:rPr>
                <w:sz w:val="20"/>
                <w:szCs w:val="20"/>
                <w:color w:val="auto"/>
              </w:rPr>
            </w:pPr>
            <w:r>
              <w:rPr>
                <w:rFonts w:ascii="Calibri" w:cs="Calibri" w:eastAsia="Calibri" w:hAnsi="Calibri"/>
                <w:sz w:val="18"/>
                <w:szCs w:val="18"/>
                <w:b w:val="1"/>
                <w:bCs w:val="1"/>
                <w:color w:val="auto"/>
              </w:rPr>
              <w:t>TOTAL</w:t>
            </w:r>
          </w:p>
        </w:tc>
        <w:tc>
          <w:tcPr>
            <w:tcW w:w="640" w:type="dxa"/>
            <w:vAlign w:val="bottom"/>
            <w:shd w:val="clear" w:color="auto" w:fill="E5F1F8"/>
          </w:tcPr>
          <w:p>
            <w:pPr>
              <w:spacing w:after="0"/>
              <w:rPr>
                <w:sz w:val="18"/>
                <w:szCs w:val="18"/>
                <w:color w:val="auto"/>
              </w:rPr>
            </w:pPr>
          </w:p>
        </w:tc>
        <w:tc>
          <w:tcPr>
            <w:tcW w:w="660" w:type="dxa"/>
            <w:vAlign w:val="bottom"/>
            <w:shd w:val="clear" w:color="auto" w:fill="E5F1F8"/>
          </w:tcPr>
          <w:p>
            <w:pPr>
              <w:jc w:val="center"/>
              <w:spacing w:after="0" w:line="208" w:lineRule="exact"/>
              <w:rPr>
                <w:sz w:val="20"/>
                <w:szCs w:val="20"/>
                <w:color w:val="auto"/>
              </w:rPr>
            </w:pPr>
            <w:r>
              <w:rPr>
                <w:rFonts w:ascii="Calibri" w:cs="Calibri" w:eastAsia="Calibri" w:hAnsi="Calibri"/>
                <w:sz w:val="18"/>
                <w:szCs w:val="18"/>
                <w:b w:val="1"/>
                <w:bCs w:val="1"/>
                <w:color w:val="auto"/>
              </w:rPr>
              <w:t>127</w:t>
            </w:r>
          </w:p>
        </w:tc>
        <w:tc>
          <w:tcPr>
            <w:tcW w:w="600" w:type="dxa"/>
            <w:vAlign w:val="bottom"/>
            <w:shd w:val="clear" w:color="auto" w:fill="E5F1F8"/>
          </w:tcPr>
          <w:p>
            <w:pPr>
              <w:jc w:val="right"/>
              <w:ind w:right="190"/>
              <w:spacing w:after="0" w:line="208" w:lineRule="exact"/>
              <w:rPr>
                <w:sz w:val="20"/>
                <w:szCs w:val="20"/>
                <w:color w:val="auto"/>
              </w:rPr>
            </w:pPr>
            <w:r>
              <w:rPr>
                <w:rFonts w:ascii="Calibri" w:cs="Calibri" w:eastAsia="Calibri" w:hAnsi="Calibri"/>
                <w:sz w:val="18"/>
                <w:szCs w:val="18"/>
                <w:b w:val="1"/>
                <w:bCs w:val="1"/>
                <w:color w:val="auto"/>
              </w:rPr>
              <w:t>0</w:t>
            </w:r>
          </w:p>
        </w:tc>
        <w:tc>
          <w:tcPr>
            <w:tcW w:w="680" w:type="dxa"/>
            <w:vAlign w:val="bottom"/>
            <w:shd w:val="clear" w:color="auto" w:fill="E5F1F8"/>
          </w:tcPr>
          <w:p>
            <w:pPr>
              <w:jc w:val="right"/>
              <w:ind w:right="210"/>
              <w:spacing w:after="0" w:line="208" w:lineRule="exact"/>
              <w:rPr>
                <w:sz w:val="20"/>
                <w:szCs w:val="20"/>
                <w:color w:val="auto"/>
              </w:rPr>
            </w:pPr>
            <w:r>
              <w:rPr>
                <w:rFonts w:ascii="Calibri" w:cs="Calibri" w:eastAsia="Calibri" w:hAnsi="Calibri"/>
                <w:sz w:val="18"/>
                <w:szCs w:val="18"/>
                <w:b w:val="1"/>
                <w:bCs w:val="1"/>
                <w:color w:val="auto"/>
              </w:rPr>
              <w:t>0</w:t>
            </w:r>
          </w:p>
        </w:tc>
        <w:tc>
          <w:tcPr>
            <w:tcW w:w="660" w:type="dxa"/>
            <w:vAlign w:val="bottom"/>
            <w:shd w:val="clear" w:color="auto" w:fill="E5F1F8"/>
          </w:tcPr>
          <w:p>
            <w:pPr>
              <w:jc w:val="right"/>
              <w:ind w:right="150"/>
              <w:spacing w:after="0" w:line="208" w:lineRule="exact"/>
              <w:rPr>
                <w:sz w:val="20"/>
                <w:szCs w:val="20"/>
                <w:color w:val="auto"/>
              </w:rPr>
            </w:pPr>
            <w:r>
              <w:rPr>
                <w:rFonts w:ascii="Calibri" w:cs="Calibri" w:eastAsia="Calibri" w:hAnsi="Calibri"/>
                <w:sz w:val="18"/>
                <w:szCs w:val="18"/>
                <w:b w:val="1"/>
                <w:bCs w:val="1"/>
                <w:color w:val="auto"/>
              </w:rPr>
              <w:t>0</w:t>
            </w:r>
          </w:p>
        </w:tc>
        <w:tc>
          <w:tcPr>
            <w:tcW w:w="460" w:type="dxa"/>
            <w:vAlign w:val="bottom"/>
            <w:shd w:val="clear" w:color="auto" w:fill="E5F1F8"/>
          </w:tcPr>
          <w:p>
            <w:pPr>
              <w:jc w:val="right"/>
              <w:ind w:right="30"/>
              <w:spacing w:after="0" w:line="208" w:lineRule="exact"/>
              <w:rPr>
                <w:sz w:val="20"/>
                <w:szCs w:val="20"/>
                <w:color w:val="auto"/>
              </w:rPr>
            </w:pPr>
            <w:r>
              <w:rPr>
                <w:rFonts w:ascii="Calibri" w:cs="Calibri" w:eastAsia="Calibri" w:hAnsi="Calibri"/>
                <w:sz w:val="18"/>
                <w:szCs w:val="18"/>
                <w:b w:val="1"/>
                <w:bCs w:val="1"/>
                <w:color w:val="auto"/>
              </w:rPr>
              <w:t>1</w:t>
            </w:r>
          </w:p>
        </w:tc>
        <w:tc>
          <w:tcPr>
            <w:tcW w:w="300" w:type="dxa"/>
            <w:vAlign w:val="bottom"/>
            <w:shd w:val="clear" w:color="auto" w:fill="E5F1F8"/>
          </w:tcPr>
          <w:p>
            <w:pPr>
              <w:jc w:val="right"/>
              <w:spacing w:after="0" w:line="208" w:lineRule="exact"/>
              <w:rPr>
                <w:sz w:val="20"/>
                <w:szCs w:val="20"/>
                <w:color w:val="auto"/>
              </w:rPr>
            </w:pPr>
            <w:r>
              <w:rPr>
                <w:rFonts w:ascii="Calibri" w:cs="Calibri" w:eastAsia="Calibri" w:hAnsi="Calibri"/>
                <w:sz w:val="18"/>
                <w:szCs w:val="18"/>
                <w:b w:val="1"/>
                <w:bCs w:val="1"/>
                <w:color w:val="auto"/>
              </w:rPr>
              <w:t>$</w:t>
            </w:r>
          </w:p>
        </w:tc>
        <w:tc>
          <w:tcPr>
            <w:tcW w:w="960" w:type="dxa"/>
            <w:vAlign w:val="bottom"/>
            <w:shd w:val="clear" w:color="auto" w:fill="E5F1F8"/>
          </w:tcPr>
          <w:p>
            <w:pPr>
              <w:jc w:val="right"/>
              <w:ind w:right="210"/>
              <w:spacing w:after="0" w:line="208" w:lineRule="exact"/>
              <w:rPr>
                <w:sz w:val="20"/>
                <w:szCs w:val="20"/>
                <w:color w:val="auto"/>
              </w:rPr>
            </w:pPr>
            <w:r>
              <w:rPr>
                <w:rFonts w:ascii="Calibri" w:cs="Calibri" w:eastAsia="Calibri" w:hAnsi="Calibri"/>
                <w:sz w:val="18"/>
                <w:szCs w:val="18"/>
                <w:b w:val="1"/>
                <w:bCs w:val="1"/>
                <w:color w:val="auto"/>
              </w:rPr>
              <w:t>316,290</w:t>
            </w:r>
          </w:p>
        </w:tc>
        <w:tc>
          <w:tcPr>
            <w:tcW w:w="780" w:type="dxa"/>
            <w:vAlign w:val="bottom"/>
            <w:shd w:val="clear" w:color="auto" w:fill="E5F1F8"/>
          </w:tcPr>
          <w:p>
            <w:pPr>
              <w:jc w:val="right"/>
              <w:ind w:right="310"/>
              <w:spacing w:after="0" w:line="208" w:lineRule="exact"/>
              <w:rPr>
                <w:sz w:val="20"/>
                <w:szCs w:val="20"/>
                <w:color w:val="auto"/>
              </w:rPr>
            </w:pPr>
            <w:r>
              <w:rPr>
                <w:rFonts w:ascii="Calibri" w:cs="Calibri" w:eastAsia="Calibri" w:hAnsi="Calibri"/>
                <w:sz w:val="18"/>
                <w:szCs w:val="18"/>
                <w:b w:val="1"/>
                <w:bCs w:val="1"/>
                <w:color w:val="auto"/>
              </w:rPr>
              <w:t>1</w:t>
            </w:r>
          </w:p>
        </w:tc>
        <w:tc>
          <w:tcPr>
            <w:tcW w:w="880" w:type="dxa"/>
            <w:vAlign w:val="bottom"/>
            <w:shd w:val="clear" w:color="auto" w:fill="E5F1F8"/>
          </w:tcPr>
          <w:p>
            <w:pPr>
              <w:spacing w:after="0"/>
              <w:rPr>
                <w:sz w:val="18"/>
                <w:szCs w:val="18"/>
                <w:color w:val="auto"/>
              </w:rPr>
            </w:pPr>
          </w:p>
        </w:tc>
        <w:tc>
          <w:tcPr>
            <w:tcW w:w="780" w:type="dxa"/>
            <w:vAlign w:val="bottom"/>
            <w:shd w:val="clear" w:color="auto" w:fill="E5F1F8"/>
          </w:tcPr>
          <w:p>
            <w:pPr>
              <w:spacing w:after="0"/>
              <w:rPr>
                <w:sz w:val="18"/>
                <w:szCs w:val="18"/>
                <w:color w:val="auto"/>
              </w:rPr>
            </w:pPr>
          </w:p>
        </w:tc>
        <w:tc>
          <w:tcPr>
            <w:tcW w:w="640" w:type="dxa"/>
            <w:vAlign w:val="bottom"/>
            <w:shd w:val="clear" w:color="auto" w:fill="E5F1F8"/>
          </w:tcPr>
          <w:p>
            <w:pPr>
              <w:jc w:val="center"/>
              <w:spacing w:after="0" w:line="208" w:lineRule="exact"/>
              <w:rPr>
                <w:sz w:val="20"/>
                <w:szCs w:val="20"/>
                <w:color w:val="auto"/>
              </w:rPr>
            </w:pPr>
            <w:r>
              <w:rPr>
                <w:rFonts w:ascii="Calibri" w:cs="Calibri" w:eastAsia="Calibri" w:hAnsi="Calibri"/>
                <w:sz w:val="18"/>
                <w:szCs w:val="18"/>
                <w:b w:val="1"/>
                <w:bCs w:val="1"/>
                <w:color w:val="auto"/>
                <w:w w:val="98"/>
              </w:rPr>
              <w:t>13</w:t>
            </w:r>
          </w:p>
        </w:tc>
        <w:tc>
          <w:tcPr>
            <w:tcW w:w="520" w:type="dxa"/>
            <w:vAlign w:val="bottom"/>
            <w:shd w:val="clear" w:color="auto" w:fill="E5F1F8"/>
          </w:tcPr>
          <w:p>
            <w:pPr>
              <w:jc w:val="center"/>
              <w:spacing w:after="0" w:line="208" w:lineRule="exact"/>
              <w:rPr>
                <w:sz w:val="20"/>
                <w:szCs w:val="20"/>
                <w:color w:val="auto"/>
              </w:rPr>
            </w:pPr>
            <w:r>
              <w:rPr>
                <w:rFonts w:ascii="Calibri" w:cs="Calibri" w:eastAsia="Calibri" w:hAnsi="Calibri"/>
                <w:sz w:val="18"/>
                <w:szCs w:val="18"/>
                <w:b w:val="1"/>
                <w:bCs w:val="1"/>
                <w:color w:val="auto"/>
                <w:w w:val="98"/>
              </w:rPr>
              <w:t>12</w:t>
            </w:r>
          </w:p>
        </w:tc>
        <w:tc>
          <w:tcPr>
            <w:tcW w:w="920" w:type="dxa"/>
            <w:vAlign w:val="bottom"/>
            <w:shd w:val="clear" w:color="auto" w:fill="E5F1F8"/>
          </w:tcPr>
          <w:p>
            <w:pPr>
              <w:jc w:val="center"/>
              <w:spacing w:after="0" w:line="208" w:lineRule="exact"/>
              <w:rPr>
                <w:sz w:val="20"/>
                <w:szCs w:val="20"/>
                <w:color w:val="auto"/>
              </w:rPr>
            </w:pPr>
            <w:r>
              <w:rPr>
                <w:rFonts w:ascii="Calibri" w:cs="Calibri" w:eastAsia="Calibri" w:hAnsi="Calibri"/>
                <w:sz w:val="18"/>
                <w:szCs w:val="18"/>
                <w:b w:val="1"/>
                <w:bCs w:val="1"/>
                <w:color w:val="auto"/>
                <w:w w:val="98"/>
              </w:rPr>
              <w:t>13</w:t>
            </w:r>
          </w:p>
        </w:tc>
      </w:tr>
      <w:tr>
        <w:trPr>
          <w:trHeight w:val="28"/>
        </w:trPr>
        <w:tc>
          <w:tcPr>
            <w:tcW w:w="1760" w:type="dxa"/>
            <w:vAlign w:val="bottom"/>
            <w:shd w:val="clear" w:color="auto" w:fill="E5F1F8"/>
          </w:tcPr>
          <w:p>
            <w:pPr>
              <w:spacing w:after="0"/>
              <w:rPr>
                <w:sz w:val="2"/>
                <w:szCs w:val="2"/>
                <w:color w:val="auto"/>
              </w:rPr>
            </w:pPr>
          </w:p>
        </w:tc>
        <w:tc>
          <w:tcPr>
            <w:tcW w:w="640" w:type="dxa"/>
            <w:vAlign w:val="bottom"/>
            <w:shd w:val="clear" w:color="auto" w:fill="E5F1F8"/>
          </w:tcPr>
          <w:p>
            <w:pPr>
              <w:spacing w:after="0"/>
              <w:rPr>
                <w:sz w:val="2"/>
                <w:szCs w:val="2"/>
                <w:color w:val="auto"/>
              </w:rPr>
            </w:pPr>
          </w:p>
        </w:tc>
        <w:tc>
          <w:tcPr>
            <w:tcW w:w="660" w:type="dxa"/>
            <w:vAlign w:val="bottom"/>
            <w:shd w:val="clear" w:color="auto" w:fill="E5F1F8"/>
          </w:tcPr>
          <w:p>
            <w:pPr>
              <w:spacing w:after="0"/>
              <w:rPr>
                <w:sz w:val="2"/>
                <w:szCs w:val="2"/>
                <w:color w:val="auto"/>
              </w:rPr>
            </w:pPr>
          </w:p>
        </w:tc>
        <w:tc>
          <w:tcPr>
            <w:tcW w:w="600" w:type="dxa"/>
            <w:vAlign w:val="bottom"/>
            <w:shd w:val="clear" w:color="auto" w:fill="E5F1F8"/>
          </w:tcPr>
          <w:p>
            <w:pPr>
              <w:spacing w:after="0"/>
              <w:rPr>
                <w:sz w:val="2"/>
                <w:szCs w:val="2"/>
                <w:color w:val="auto"/>
              </w:rPr>
            </w:pPr>
          </w:p>
        </w:tc>
        <w:tc>
          <w:tcPr>
            <w:tcW w:w="680" w:type="dxa"/>
            <w:vAlign w:val="bottom"/>
            <w:shd w:val="clear" w:color="auto" w:fill="E5F1F8"/>
          </w:tcPr>
          <w:p>
            <w:pPr>
              <w:spacing w:after="0"/>
              <w:rPr>
                <w:sz w:val="2"/>
                <w:szCs w:val="2"/>
                <w:color w:val="auto"/>
              </w:rPr>
            </w:pPr>
          </w:p>
        </w:tc>
        <w:tc>
          <w:tcPr>
            <w:tcW w:w="660" w:type="dxa"/>
            <w:vAlign w:val="bottom"/>
            <w:shd w:val="clear" w:color="auto" w:fill="E5F1F8"/>
          </w:tcPr>
          <w:p>
            <w:pPr>
              <w:spacing w:after="0"/>
              <w:rPr>
                <w:sz w:val="2"/>
                <w:szCs w:val="2"/>
                <w:color w:val="auto"/>
              </w:rPr>
            </w:pPr>
          </w:p>
        </w:tc>
        <w:tc>
          <w:tcPr>
            <w:tcW w:w="460" w:type="dxa"/>
            <w:vAlign w:val="bottom"/>
            <w:shd w:val="clear" w:color="auto" w:fill="E5F1F8"/>
          </w:tcPr>
          <w:p>
            <w:pPr>
              <w:spacing w:after="0"/>
              <w:rPr>
                <w:sz w:val="2"/>
                <w:szCs w:val="2"/>
                <w:color w:val="auto"/>
              </w:rPr>
            </w:pPr>
          </w:p>
        </w:tc>
        <w:tc>
          <w:tcPr>
            <w:tcW w:w="300" w:type="dxa"/>
            <w:vAlign w:val="bottom"/>
            <w:shd w:val="clear" w:color="auto" w:fill="E5F1F8"/>
          </w:tcPr>
          <w:p>
            <w:pPr>
              <w:spacing w:after="0"/>
              <w:rPr>
                <w:sz w:val="2"/>
                <w:szCs w:val="2"/>
                <w:color w:val="auto"/>
              </w:rPr>
            </w:pPr>
          </w:p>
        </w:tc>
        <w:tc>
          <w:tcPr>
            <w:tcW w:w="960" w:type="dxa"/>
            <w:vAlign w:val="bottom"/>
            <w:shd w:val="clear" w:color="auto" w:fill="E5F1F8"/>
          </w:tcPr>
          <w:p>
            <w:pPr>
              <w:spacing w:after="0"/>
              <w:rPr>
                <w:sz w:val="2"/>
                <w:szCs w:val="2"/>
                <w:color w:val="auto"/>
              </w:rPr>
            </w:pPr>
          </w:p>
        </w:tc>
        <w:tc>
          <w:tcPr>
            <w:tcW w:w="780" w:type="dxa"/>
            <w:vAlign w:val="bottom"/>
            <w:shd w:val="clear" w:color="auto" w:fill="E5F1F8"/>
          </w:tcPr>
          <w:p>
            <w:pPr>
              <w:spacing w:after="0"/>
              <w:rPr>
                <w:sz w:val="2"/>
                <w:szCs w:val="2"/>
                <w:color w:val="auto"/>
              </w:rPr>
            </w:pPr>
          </w:p>
        </w:tc>
        <w:tc>
          <w:tcPr>
            <w:tcW w:w="880" w:type="dxa"/>
            <w:vAlign w:val="bottom"/>
            <w:shd w:val="clear" w:color="auto" w:fill="E5F1F8"/>
          </w:tcPr>
          <w:p>
            <w:pPr>
              <w:spacing w:after="0"/>
              <w:rPr>
                <w:sz w:val="2"/>
                <w:szCs w:val="2"/>
                <w:color w:val="auto"/>
              </w:rPr>
            </w:pPr>
          </w:p>
        </w:tc>
        <w:tc>
          <w:tcPr>
            <w:tcW w:w="780" w:type="dxa"/>
            <w:vAlign w:val="bottom"/>
            <w:shd w:val="clear" w:color="auto" w:fill="E5F1F8"/>
          </w:tcPr>
          <w:p>
            <w:pPr>
              <w:spacing w:after="0"/>
              <w:rPr>
                <w:sz w:val="2"/>
                <w:szCs w:val="2"/>
                <w:color w:val="auto"/>
              </w:rPr>
            </w:pPr>
          </w:p>
        </w:tc>
        <w:tc>
          <w:tcPr>
            <w:tcW w:w="640" w:type="dxa"/>
            <w:vAlign w:val="bottom"/>
            <w:shd w:val="clear" w:color="auto" w:fill="E5F1F8"/>
          </w:tcPr>
          <w:p>
            <w:pPr>
              <w:spacing w:after="0"/>
              <w:rPr>
                <w:sz w:val="2"/>
                <w:szCs w:val="2"/>
                <w:color w:val="auto"/>
              </w:rPr>
            </w:pPr>
          </w:p>
        </w:tc>
        <w:tc>
          <w:tcPr>
            <w:tcW w:w="520" w:type="dxa"/>
            <w:vAlign w:val="bottom"/>
            <w:shd w:val="clear" w:color="auto" w:fill="E5F1F8"/>
          </w:tcPr>
          <w:p>
            <w:pPr>
              <w:spacing w:after="0"/>
              <w:rPr>
                <w:sz w:val="2"/>
                <w:szCs w:val="2"/>
                <w:color w:val="auto"/>
              </w:rPr>
            </w:pPr>
          </w:p>
        </w:tc>
        <w:tc>
          <w:tcPr>
            <w:tcW w:w="920" w:type="dxa"/>
            <w:vAlign w:val="bottom"/>
            <w:shd w:val="clear" w:color="auto" w:fill="E5F1F8"/>
          </w:tcPr>
          <w:p>
            <w:pPr>
              <w:spacing w:after="0"/>
              <w:rPr>
                <w:sz w:val="2"/>
                <w:szCs w:val="2"/>
                <w:color w:val="auto"/>
              </w:rPr>
            </w:pPr>
          </w:p>
        </w:tc>
      </w:tr>
    </w:tbl>
    <w:p>
      <w:pPr>
        <w:spacing w:after="0" w:line="207" w:lineRule="exact"/>
        <w:rPr>
          <w:sz w:val="20"/>
          <w:szCs w:val="20"/>
          <w:color w:val="auto"/>
        </w:rPr>
      </w:pPr>
    </w:p>
    <w:p>
      <w:pPr>
        <w:jc w:val="both"/>
        <w:ind w:left="100" w:right="100"/>
        <w:spacing w:after="0" w:line="235" w:lineRule="auto"/>
        <w:rPr>
          <w:sz w:val="20"/>
          <w:szCs w:val="20"/>
          <w:color w:val="auto"/>
        </w:rPr>
      </w:pPr>
      <w:r>
        <w:rPr>
          <w:rFonts w:ascii="Calibri" w:cs="Calibri" w:eastAsia="Calibri" w:hAnsi="Calibri"/>
          <w:sz w:val="18"/>
          <w:szCs w:val="18"/>
          <w:color w:val="auto"/>
        </w:rPr>
        <w:t>*Of the 13 legal actons pending on December 31, 2023, eight were contests of citatons or orders referenced in Subpart B of CFR Part 2700, which include contests of citatons and orders issued under Secton 104 of the Mine Act and contests of imminent danger orders under Secton 107 of the Mine Act, four were contests of proposed penaltes referenced in Subpart C of 29 CFR Part 2700, which are administratve proceedings before the Commission challenging a civil penalty that MSHA has proposed for the violaton contained in a citaton or order, and one was a contest of an order issued under secton 103 (K) of the Mine Act.</w:t>
      </w:r>
    </w:p>
    <w:p>
      <w:pPr>
        <w:spacing w:after="0" w:line="26" w:lineRule="exact"/>
        <w:rPr>
          <w:sz w:val="20"/>
          <w:szCs w:val="20"/>
          <w:color w:val="auto"/>
        </w:rPr>
      </w:pPr>
    </w:p>
    <w:p>
      <w:pPr>
        <w:ind w:left="100"/>
        <w:spacing w:after="0"/>
        <w:rPr>
          <w:sz w:val="20"/>
          <w:szCs w:val="20"/>
          <w:color w:val="auto"/>
        </w:rPr>
      </w:pPr>
      <w:r>
        <w:rPr>
          <w:rFonts w:ascii="Calibri" w:cs="Calibri" w:eastAsia="Calibri" w:hAnsi="Calibri"/>
          <w:sz w:val="18"/>
          <w:szCs w:val="18"/>
          <w:color w:val="auto"/>
        </w:rPr>
        <w:t>** Site sold by the Company on October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53" w:name="page154"/>
    <w:bookmarkEnd w:id="153"/>
    <w:p>
      <w:pPr>
        <w:ind w:left="10120"/>
        <w:spacing w:after="0"/>
        <w:rPr>
          <w:sz w:val="20"/>
          <w:szCs w:val="20"/>
          <w:color w:val="auto"/>
        </w:rPr>
      </w:pPr>
      <w:r>
        <w:rPr>
          <w:rFonts w:ascii="Calibri" w:cs="Calibri" w:eastAsia="Calibri" w:hAnsi="Calibri"/>
          <w:sz w:val="22"/>
          <w:szCs w:val="22"/>
          <w:b w:val="1"/>
          <w:bCs w:val="1"/>
          <w:color w:val="auto"/>
        </w:rPr>
        <w:t>EXHIBIT 97</w:t>
      </w:r>
    </w:p>
    <w:p>
      <w:pPr>
        <w:spacing w:after="0" w:line="379" w:lineRule="exact"/>
        <w:rPr>
          <w:sz w:val="20"/>
          <w:szCs w:val="20"/>
          <w:color w:val="auto"/>
        </w:rPr>
      </w:pPr>
    </w:p>
    <w:p>
      <w:pPr>
        <w:jc w:val="right"/>
        <w:spacing w:after="0"/>
        <w:rPr>
          <w:sz w:val="20"/>
          <w:szCs w:val="20"/>
          <w:color w:val="auto"/>
        </w:rPr>
      </w:pPr>
      <w:r>
        <w:rPr>
          <w:rFonts w:ascii="Calibri" w:cs="Calibri" w:eastAsia="Calibri" w:hAnsi="Calibri"/>
          <w:sz w:val="22"/>
          <w:szCs w:val="22"/>
          <w:i w:val="1"/>
          <w:iCs w:val="1"/>
          <w:color w:val="auto"/>
        </w:rPr>
        <w:t>Efectve November 9, 2023</w:t>
      </w:r>
    </w:p>
    <w:p>
      <w:pPr>
        <w:spacing w:after="0" w:line="1" w:lineRule="exact"/>
        <w:rPr>
          <w:sz w:val="20"/>
          <w:szCs w:val="20"/>
          <w:color w:val="auto"/>
        </w:rPr>
      </w:pPr>
    </w:p>
    <w:p>
      <w:pPr>
        <w:ind w:left="3840"/>
        <w:spacing w:after="0"/>
        <w:rPr>
          <w:sz w:val="20"/>
          <w:szCs w:val="20"/>
          <w:color w:val="auto"/>
        </w:rPr>
      </w:pPr>
      <w:r>
        <w:rPr>
          <w:rFonts w:ascii="Calibri" w:cs="Calibri" w:eastAsia="Calibri" w:hAnsi="Calibri"/>
          <w:sz w:val="22"/>
          <w:szCs w:val="22"/>
          <w:b w:val="1"/>
          <w:bCs w:val="1"/>
          <w:color w:val="auto"/>
        </w:rPr>
        <w:t>MARTIN MARIETTA MATERIALS, INC.</w:t>
      </w:r>
    </w:p>
    <w:p>
      <w:pPr>
        <w:spacing w:after="0" w:line="1" w:lineRule="exact"/>
        <w:rPr>
          <w:sz w:val="20"/>
          <w:szCs w:val="20"/>
          <w:color w:val="auto"/>
        </w:rPr>
      </w:pPr>
    </w:p>
    <w:p>
      <w:pPr>
        <w:ind w:left="4140"/>
        <w:spacing w:after="0"/>
        <w:rPr>
          <w:sz w:val="20"/>
          <w:szCs w:val="20"/>
          <w:color w:val="auto"/>
        </w:rPr>
      </w:pPr>
      <w:r>
        <w:rPr>
          <w:rFonts w:ascii="Calibri" w:cs="Calibri" w:eastAsia="Calibri" w:hAnsi="Calibri"/>
          <w:sz w:val="22"/>
          <w:szCs w:val="22"/>
          <w:b w:val="1"/>
          <w:bCs w:val="1"/>
          <w:color w:val="auto"/>
        </w:rPr>
        <w:t>EXECUTIVE CLAWBACK POLICY</w:t>
      </w:r>
    </w:p>
    <w:p>
      <w:pPr>
        <w:spacing w:after="0" w:line="282" w:lineRule="exact"/>
        <w:rPr>
          <w:sz w:val="20"/>
          <w:szCs w:val="20"/>
          <w:color w:val="auto"/>
        </w:rPr>
      </w:pPr>
    </w:p>
    <w:p>
      <w:pPr>
        <w:jc w:val="both"/>
        <w:ind w:right="120"/>
        <w:spacing w:after="0" w:line="239" w:lineRule="auto"/>
        <w:rPr>
          <w:sz w:val="20"/>
          <w:szCs w:val="20"/>
          <w:color w:val="auto"/>
        </w:rPr>
      </w:pPr>
      <w:r>
        <w:rPr>
          <w:rFonts w:ascii="Calibri" w:cs="Calibri" w:eastAsia="Calibri" w:hAnsi="Calibri"/>
          <w:sz w:val="22"/>
          <w:szCs w:val="22"/>
          <w:color w:val="auto"/>
        </w:rPr>
        <w:t>The Board of Directors (the “</w:t>
      </w:r>
      <w:r>
        <w:rPr>
          <w:rFonts w:ascii="Calibri" w:cs="Calibri" w:eastAsia="Calibri" w:hAnsi="Calibri"/>
          <w:sz w:val="22"/>
          <w:szCs w:val="22"/>
          <w:b w:val="1"/>
          <w:bCs w:val="1"/>
          <w:u w:val="single" w:color="auto"/>
          <w:color w:val="auto"/>
        </w:rPr>
        <w:t>Board</w:t>
      </w:r>
      <w:r>
        <w:rPr>
          <w:rFonts w:ascii="Calibri" w:cs="Calibri" w:eastAsia="Calibri" w:hAnsi="Calibri"/>
          <w:sz w:val="22"/>
          <w:szCs w:val="22"/>
          <w:color w:val="auto"/>
        </w:rPr>
        <w:t>”) of Martn Marieta Materials, Inc. (the “</w:t>
      </w:r>
      <w:r>
        <w:rPr>
          <w:rFonts w:ascii="Calibri" w:cs="Calibri" w:eastAsia="Calibri" w:hAnsi="Calibri"/>
          <w:sz w:val="22"/>
          <w:szCs w:val="22"/>
          <w:b w:val="1"/>
          <w:bCs w:val="1"/>
          <w:u w:val="single" w:color="auto"/>
          <w:color w:val="auto"/>
        </w:rPr>
        <w:t>Company</w:t>
      </w:r>
      <w:r>
        <w:rPr>
          <w:rFonts w:ascii="Calibri" w:cs="Calibri" w:eastAsia="Calibri" w:hAnsi="Calibri"/>
          <w:sz w:val="22"/>
          <w:szCs w:val="22"/>
          <w:color w:val="auto"/>
        </w:rPr>
        <w:t>”) has adopted this Dodd-Frank Executve Clawback Policy (this “</w:t>
      </w:r>
      <w:r>
        <w:rPr>
          <w:rFonts w:ascii="Calibri" w:cs="Calibri" w:eastAsia="Calibri" w:hAnsi="Calibri"/>
          <w:sz w:val="22"/>
          <w:szCs w:val="22"/>
          <w:b w:val="1"/>
          <w:bCs w:val="1"/>
          <w:u w:val="single" w:color="auto"/>
          <w:color w:val="auto"/>
        </w:rPr>
        <w:t>Policy</w:t>
      </w:r>
      <w:r>
        <w:rPr>
          <w:rFonts w:ascii="Calibri" w:cs="Calibri" w:eastAsia="Calibri" w:hAnsi="Calibri"/>
          <w:sz w:val="22"/>
          <w:szCs w:val="22"/>
          <w:color w:val="auto"/>
        </w:rPr>
        <w:t>”), efectve as of November 9, 2023 (the “</w:t>
      </w:r>
      <w:r>
        <w:rPr>
          <w:rFonts w:ascii="Calibri" w:cs="Calibri" w:eastAsia="Calibri" w:hAnsi="Calibri"/>
          <w:sz w:val="22"/>
          <w:szCs w:val="22"/>
          <w:b w:val="1"/>
          <w:bCs w:val="1"/>
          <w:u w:val="single" w:color="auto"/>
          <w:color w:val="auto"/>
        </w:rPr>
        <w:t>Efectve Date</w:t>
      </w:r>
      <w:r>
        <w:rPr>
          <w:rFonts w:ascii="Calibri" w:cs="Calibri" w:eastAsia="Calibri" w:hAnsi="Calibri"/>
          <w:sz w:val="22"/>
          <w:szCs w:val="22"/>
          <w:color w:val="auto"/>
        </w:rPr>
        <w:t>”). The purpose of this Policy is to provide for the recoupment of certain incentve compensaton pursuant to Secton 954 of the Dodd-Frank Wall Street Reform and Consumer Protecton Act of 2010, in the manner required by Secton 10D of the Securites Exchange Act of 1934, as amended (the “</w:t>
      </w:r>
      <w:r>
        <w:rPr>
          <w:rFonts w:ascii="Calibri" w:cs="Calibri" w:eastAsia="Calibri" w:hAnsi="Calibri"/>
          <w:sz w:val="22"/>
          <w:szCs w:val="22"/>
          <w:b w:val="1"/>
          <w:bCs w:val="1"/>
          <w:u w:val="single" w:color="auto"/>
          <w:color w:val="auto"/>
        </w:rPr>
        <w:t>Exchange Act</w:t>
      </w:r>
      <w:r>
        <w:rPr>
          <w:rFonts w:ascii="Calibri" w:cs="Calibri" w:eastAsia="Calibri" w:hAnsi="Calibri"/>
          <w:sz w:val="22"/>
          <w:szCs w:val="22"/>
          <w:color w:val="auto"/>
        </w:rPr>
        <w:t>”), Rule 10D-1 promulgated thereunder, and Secton 303A.14 of the New York Stock Exchange Listed Company Manual (collectvely, the “</w:t>
      </w:r>
      <w:r>
        <w:rPr>
          <w:rFonts w:ascii="Calibri" w:cs="Calibri" w:eastAsia="Calibri" w:hAnsi="Calibri"/>
          <w:sz w:val="22"/>
          <w:szCs w:val="22"/>
          <w:b w:val="1"/>
          <w:bCs w:val="1"/>
          <w:u w:val="single" w:color="auto"/>
          <w:color w:val="auto"/>
        </w:rPr>
        <w:t>Dodd-Frank Rules</w:t>
      </w:r>
      <w:r>
        <w:rPr>
          <w:rFonts w:ascii="Calibri" w:cs="Calibri" w:eastAsia="Calibri" w:hAnsi="Calibri"/>
          <w:sz w:val="22"/>
          <w:szCs w:val="22"/>
          <w:color w:val="auto"/>
        </w:rPr>
        <w:t>”). Accordingly, this Policy shall be interpreted to be consistent with the Dodd-Frank Rules.</w:t>
      </w:r>
    </w:p>
    <w:p>
      <w:pPr>
        <w:spacing w:after="0" w:line="156" w:lineRule="exact"/>
        <w:rPr>
          <w:sz w:val="20"/>
          <w:szCs w:val="20"/>
          <w:color w:val="auto"/>
        </w:rPr>
      </w:pPr>
    </w:p>
    <w:p>
      <w:pPr>
        <w:spacing w:after="0"/>
        <w:rPr>
          <w:sz w:val="20"/>
          <w:szCs w:val="20"/>
          <w:color w:val="auto"/>
        </w:rPr>
      </w:pPr>
      <w:r>
        <w:rPr>
          <w:rFonts w:ascii="Calibri" w:cs="Calibri" w:eastAsia="Calibri" w:hAnsi="Calibri"/>
          <w:sz w:val="22"/>
          <w:szCs w:val="22"/>
          <w:color w:val="auto"/>
        </w:rPr>
        <w:t>The terms of the Policy are as follows:</w:t>
      </w:r>
    </w:p>
    <w:p>
      <w:pPr>
        <w:spacing w:after="0" w:line="174" w:lineRule="exact"/>
        <w:rPr>
          <w:sz w:val="20"/>
          <w:szCs w:val="20"/>
          <w:color w:val="auto"/>
        </w:rPr>
      </w:pPr>
    </w:p>
    <w:p>
      <w:pPr>
        <w:jc w:val="both"/>
        <w:ind w:left="740" w:right="120" w:hanging="478"/>
        <w:spacing w:after="0" w:line="252" w:lineRule="auto"/>
        <w:tabs>
          <w:tab w:leader="none" w:pos="740" w:val="left"/>
        </w:tabs>
        <w:numPr>
          <w:ilvl w:val="0"/>
          <w:numId w:val="38"/>
        </w:numPr>
        <w:rPr>
          <w:rFonts w:ascii="Calibri" w:cs="Calibri" w:eastAsia="Calibri" w:hAnsi="Calibri"/>
          <w:sz w:val="21"/>
          <w:szCs w:val="21"/>
          <w:color w:val="auto"/>
        </w:rPr>
      </w:pPr>
      <w:r>
        <w:rPr>
          <w:rFonts w:ascii="Calibri" w:cs="Calibri" w:eastAsia="Calibri" w:hAnsi="Calibri"/>
          <w:sz w:val="21"/>
          <w:szCs w:val="21"/>
          <w:color w:val="auto"/>
        </w:rPr>
        <w:t>The Policy applies to all current and former executve ofcers of the Company who are or were an “</w:t>
      </w:r>
      <w:r>
        <w:rPr>
          <w:rFonts w:ascii="Calibri" w:cs="Calibri" w:eastAsia="Calibri" w:hAnsi="Calibri"/>
          <w:sz w:val="21"/>
          <w:szCs w:val="21"/>
          <w:b w:val="1"/>
          <w:bCs w:val="1"/>
          <w:u w:val="single" w:color="auto"/>
          <w:color w:val="auto"/>
        </w:rPr>
        <w:t>executve ofcer</w:t>
      </w:r>
      <w:r>
        <w:rPr>
          <w:rFonts w:ascii="Calibri" w:cs="Calibri" w:eastAsia="Calibri" w:hAnsi="Calibri"/>
          <w:sz w:val="21"/>
          <w:szCs w:val="21"/>
          <w:color w:val="auto"/>
        </w:rPr>
        <w:t>” of the Company as defned under the Dodd-Frank Rules, and, for the avoidance of doubt, includes any “</w:t>
      </w:r>
      <w:r>
        <w:rPr>
          <w:rFonts w:ascii="Calibri" w:cs="Calibri" w:eastAsia="Calibri" w:hAnsi="Calibri"/>
          <w:sz w:val="21"/>
          <w:szCs w:val="21"/>
          <w:b w:val="1"/>
          <w:bCs w:val="1"/>
          <w:u w:val="single" w:color="auto"/>
          <w:color w:val="auto"/>
        </w:rPr>
        <w:t>ofcer</w:t>
      </w:r>
      <w:r>
        <w:rPr>
          <w:rFonts w:ascii="Calibri" w:cs="Calibri" w:eastAsia="Calibri" w:hAnsi="Calibri"/>
          <w:sz w:val="21"/>
          <w:szCs w:val="21"/>
          <w:color w:val="auto"/>
        </w:rPr>
        <w:t>” of the Company as defned in Rule 16a-1(f) under the Exchange Act (as designated from tme to tme by the Board or the Management Development and Compensaton Commitee of the Board (the “</w:t>
      </w:r>
      <w:r>
        <w:rPr>
          <w:rFonts w:ascii="Calibri" w:cs="Calibri" w:eastAsia="Calibri" w:hAnsi="Calibri"/>
          <w:sz w:val="21"/>
          <w:szCs w:val="21"/>
          <w:b w:val="1"/>
          <w:bCs w:val="1"/>
          <w:u w:val="single" w:color="auto"/>
          <w:color w:val="auto"/>
        </w:rPr>
        <w:t>Commitee</w:t>
      </w:r>
      <w:r>
        <w:rPr>
          <w:rFonts w:ascii="Calibri" w:cs="Calibri" w:eastAsia="Calibri" w:hAnsi="Calibri"/>
          <w:sz w:val="21"/>
          <w:szCs w:val="21"/>
          <w:color w:val="auto"/>
        </w:rPr>
        <w:t>”)) (each, a "</w:t>
      </w:r>
      <w:r>
        <w:rPr>
          <w:rFonts w:ascii="Calibri" w:cs="Calibri" w:eastAsia="Calibri" w:hAnsi="Calibri"/>
          <w:sz w:val="21"/>
          <w:szCs w:val="21"/>
          <w:b w:val="1"/>
          <w:bCs w:val="1"/>
          <w:u w:val="single" w:color="auto"/>
          <w:color w:val="auto"/>
        </w:rPr>
        <w:t>Covered</w:t>
      </w:r>
      <w:r>
        <w:rPr>
          <w:rFonts w:ascii="Calibri" w:cs="Calibri" w:eastAsia="Calibri" w:hAnsi="Calibri"/>
          <w:sz w:val="21"/>
          <w:szCs w:val="21"/>
          <w:color w:val="auto"/>
        </w:rPr>
        <w:t xml:space="preserve"> </w:t>
      </w:r>
      <w:r>
        <w:rPr>
          <w:rFonts w:ascii="Calibri" w:cs="Calibri" w:eastAsia="Calibri" w:hAnsi="Calibri"/>
          <w:sz w:val="21"/>
          <w:szCs w:val="21"/>
          <w:b w:val="1"/>
          <w:bCs w:val="1"/>
          <w:u w:val="single" w:color="auto"/>
          <w:color w:val="auto"/>
        </w:rPr>
        <w:t>Ofcer</w:t>
      </w:r>
      <w:r>
        <w:rPr>
          <w:rFonts w:ascii="Calibri" w:cs="Calibri" w:eastAsia="Calibri" w:hAnsi="Calibri"/>
          <w:sz w:val="21"/>
          <w:szCs w:val="21"/>
          <w:color w:val="auto"/>
        </w:rPr>
        <w:t>," and collectvely, the "</w:t>
      </w:r>
      <w:r>
        <w:rPr>
          <w:rFonts w:ascii="Calibri" w:cs="Calibri" w:eastAsia="Calibri" w:hAnsi="Calibri"/>
          <w:sz w:val="21"/>
          <w:szCs w:val="21"/>
          <w:b w:val="1"/>
          <w:bCs w:val="1"/>
          <w:u w:val="single" w:color="auto"/>
          <w:color w:val="auto"/>
        </w:rPr>
        <w:t>Covered Ofcers</w:t>
      </w:r>
      <w:r>
        <w:rPr>
          <w:rFonts w:ascii="Calibri" w:cs="Calibri" w:eastAsia="Calibri" w:hAnsi="Calibri"/>
          <w:sz w:val="21"/>
          <w:szCs w:val="21"/>
          <w:color w:val="auto"/>
        </w:rPr>
        <w:t>”). The Policy will be administered by the Commitee, which is</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composed entrely of independent directors, or in the absence of such commitee, a majority of the independent directors serving on the Board (the “</w:t>
      </w:r>
      <w:r>
        <w:rPr>
          <w:rFonts w:ascii="Calibri" w:cs="Calibri" w:eastAsia="Calibri" w:hAnsi="Calibri"/>
          <w:sz w:val="21"/>
          <w:szCs w:val="21"/>
          <w:b w:val="1"/>
          <w:bCs w:val="1"/>
          <w:u w:val="single" w:color="auto"/>
          <w:color w:val="auto"/>
        </w:rPr>
        <w:t>Administrator</w:t>
      </w:r>
      <w:r>
        <w:rPr>
          <w:rFonts w:ascii="Calibri" w:cs="Calibri" w:eastAsia="Calibri" w:hAnsi="Calibri"/>
          <w:sz w:val="21"/>
          <w:szCs w:val="21"/>
          <w:color w:val="auto"/>
        </w:rPr>
        <w:t>”). The Administrator has full and fnal authority to interpret and construe this Policy and to make all determinatons under this Policy, in each case to the extent permited under the Dodd-Frank Rules. All determinatons and decisions made by the Administrator pursuant to the provisions of this Policy shall be fnal, conclusive and binding on all persons, including the Company, its Afliates, its shareholders and all Covered Ofcers. Any acton or inacton by the Administrator with respect to a Covered Ofcer under this Policy in no way limits the Administrator’s actons or decisions not to act with respect to any other Covered Ofcer under this Policy or under any similar policy, agreement or arrangement, nor shall any such acton or inacton serve as a waiver of any rights the Company may have against any Covered Ofcer other than as set forth in this Policy. The Administrator may delegate ministerial administratve dutes to one or more ofcers or employees of the Company (except where any recovery pursuant to this Policy is to be, or may be, carried out with respect to any such ofcer).</w:t>
      </w:r>
    </w:p>
    <w:p>
      <w:pPr>
        <w:spacing w:after="0" w:line="175" w:lineRule="exact"/>
        <w:rPr>
          <w:sz w:val="20"/>
          <w:szCs w:val="20"/>
          <w:color w:val="auto"/>
        </w:rPr>
      </w:pPr>
    </w:p>
    <w:p>
      <w:pPr>
        <w:ind w:left="740" w:right="120" w:hanging="238"/>
        <w:spacing w:after="0" w:line="235" w:lineRule="auto"/>
        <w:tabs>
          <w:tab w:leader="none" w:pos="740" w:val="left"/>
        </w:tabs>
        <w:numPr>
          <w:ilvl w:val="0"/>
          <w:numId w:val="39"/>
        </w:numPr>
        <w:rPr>
          <w:rFonts w:ascii="Calibri" w:cs="Calibri" w:eastAsia="Calibri" w:hAnsi="Calibri"/>
          <w:sz w:val="22"/>
          <w:szCs w:val="22"/>
          <w:color w:val="auto"/>
        </w:rPr>
      </w:pPr>
      <w:r>
        <w:rPr>
          <w:rFonts w:ascii="Calibri" w:cs="Calibri" w:eastAsia="Calibri" w:hAnsi="Calibri"/>
          <w:sz w:val="22"/>
          <w:szCs w:val="22"/>
          <w:color w:val="auto"/>
        </w:rPr>
        <w:t>Following a Restatement Date with respect to an Accountng Restatement, the Company, together with its Afliates (collectvely, the “</w:t>
      </w:r>
      <w:r>
        <w:rPr>
          <w:rFonts w:ascii="Calibri" w:cs="Calibri" w:eastAsia="Calibri" w:hAnsi="Calibri"/>
          <w:sz w:val="22"/>
          <w:szCs w:val="22"/>
          <w:b w:val="1"/>
          <w:bCs w:val="1"/>
          <w:u w:val="single" w:color="auto"/>
          <w:color w:val="auto"/>
        </w:rPr>
        <w:t>Company Group</w:t>
      </w:r>
      <w:r>
        <w:rPr>
          <w:rFonts w:ascii="Calibri" w:cs="Calibri" w:eastAsia="Calibri" w:hAnsi="Calibri"/>
          <w:sz w:val="22"/>
          <w:szCs w:val="22"/>
          <w:color w:val="auto"/>
        </w:rPr>
        <w:t>”), shall recoup reasonably</w:t>
      </w:r>
    </w:p>
    <w:p>
      <w:pPr>
        <w:spacing w:after="0" w:line="4"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947420</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62" w:right="339" w:bottom="1440" w:gutter="0" w:footer="0" w:header="0"/>
        </w:sectPr>
      </w:pPr>
    </w:p>
    <w:bookmarkStart w:id="154" w:name="page155"/>
    <w:bookmarkEnd w:id="154"/>
    <w:p>
      <w:pPr>
        <w:jc w:val="right"/>
        <w:spacing w:after="0"/>
        <w:rPr>
          <w:sz w:val="20"/>
          <w:szCs w:val="20"/>
          <w:color w:val="auto"/>
        </w:rPr>
      </w:pPr>
      <w:r>
        <w:rPr>
          <w:rFonts w:ascii="Calibri" w:cs="Calibri" w:eastAsia="Calibri" w:hAnsi="Calibri"/>
          <w:sz w:val="22"/>
          <w:szCs w:val="22"/>
          <w:b w:val="1"/>
          <w:bCs w:val="1"/>
          <w:color w:val="auto"/>
        </w:rPr>
        <w:t>EXHIBIT 97</w:t>
      </w:r>
    </w:p>
    <w:p>
      <w:pPr>
        <w:spacing w:after="0" w:line="200" w:lineRule="exact"/>
        <w:rPr>
          <w:sz w:val="20"/>
          <w:szCs w:val="20"/>
          <w:color w:val="auto"/>
        </w:rPr>
      </w:pPr>
    </w:p>
    <w:p>
      <w:pPr>
        <w:spacing w:after="0" w:line="352" w:lineRule="exact"/>
        <w:rPr>
          <w:sz w:val="20"/>
          <w:szCs w:val="20"/>
          <w:color w:val="auto"/>
        </w:rPr>
      </w:pPr>
    </w:p>
    <w:p>
      <w:pPr>
        <w:jc w:val="both"/>
        <w:ind w:left="480" w:right="80"/>
        <w:spacing w:after="0"/>
        <w:rPr>
          <w:sz w:val="20"/>
          <w:szCs w:val="20"/>
          <w:color w:val="auto"/>
        </w:rPr>
      </w:pPr>
      <w:r>
        <w:rPr>
          <w:rFonts w:ascii="Calibri" w:cs="Calibri" w:eastAsia="Calibri" w:hAnsi="Calibri"/>
          <w:sz w:val="22"/>
          <w:szCs w:val="22"/>
          <w:color w:val="auto"/>
        </w:rPr>
        <w:t>promptly from each afected Covered Ofcer, and each such Covered Ofcer shall reasonably promptly repay to the Company Group, all Erroneously Awarded Compensaton with respect to such Accountng Restatement that had been Received by such Covered Ofcer, which recoupment and repayment shall be efected in the manner described below and as otherwise provided in this Policy. For the avoidance of doubt, the Company’s obligaton to recover Erroneously Awarded Compensaton under this Policy, and the Covered Ofcer’s obligaton to make the required repayment, is not dependent on if or when restated fnancial statements are fled by the Company following the Restatement Date. The Administrator will provide each afected Covered Ofcer with a writen notce statng the amount of the Erroneously Awarded Compensaton, a demand for recoupment, and the means of recoupment that the Company will accept. The Administrator shall have discreton to determine the appropriate means of recoupment of Erroneously Awarded Compensaton (based on the partcular facts and circumstances, including but not limited to the cost and speed of recovery), which may include without limitaton: (i) recoupment of cash or shares of Company stock, (ii) forfeiture of unvested cash or equity awards (including those subject to service-based and/or performance-based vestng conditons), but only to the extent such unvested awards represent Erroneously Awarded Compensaton, (iii) cancellaton of outstanding vested cash or equity awards (including those for which service-based and/or performance-based vestng conditons have been satsfed), (iv) ofset of other amounts owed to the Covered Ofcer or forfeiture of deferred compensaton, (v) reducton of future compensaton (but only to the extent such future compensaton would have otherwise been earned), and (vi) any other remedial or recovery acton permited by law. The Company Group makes no guarantee as to the treatment of such amounts under Secton 409A of the Internal Revenue Code of 1986, as amended (the “</w:t>
      </w:r>
      <w:r>
        <w:rPr>
          <w:rFonts w:ascii="Calibri" w:cs="Calibri" w:eastAsia="Calibri" w:hAnsi="Calibri"/>
          <w:sz w:val="22"/>
          <w:szCs w:val="22"/>
          <w:b w:val="1"/>
          <w:bCs w:val="1"/>
          <w:u w:val="single" w:color="auto"/>
          <w:color w:val="auto"/>
        </w:rPr>
        <w:t>Code</w:t>
      </w:r>
      <w:r>
        <w:rPr>
          <w:rFonts w:ascii="Calibri" w:cs="Calibri" w:eastAsia="Calibri" w:hAnsi="Calibri"/>
          <w:sz w:val="22"/>
          <w:szCs w:val="22"/>
          <w:color w:val="auto"/>
        </w:rPr>
        <w:t xml:space="preserve">”), and shall have no liability with respect thereto; </w:t>
      </w: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xml:space="preserve"> that the Company Group shall use reasonable eforts to eliminate or mitgate any adverse impact under Secton 409A of the Code as a result of the implementaton of this Policy, consistent with the requirements of the Dodd-Frank Rules. Except to the extent provided in Secton 4 below, in no event may the Company Group accept an amount that is less than the amount of Erroneously Awarded Compensaton in satsfacton of a Covered Ofcer’s obligatons under this Policy; </w:t>
      </w:r>
      <w:r>
        <w:rPr>
          <w:rFonts w:ascii="Calibri" w:cs="Calibri" w:eastAsia="Calibri" w:hAnsi="Calibri"/>
          <w:sz w:val="22"/>
          <w:szCs w:val="22"/>
          <w:u w:val="single" w:color="auto"/>
          <w:color w:val="auto"/>
        </w:rPr>
        <w:t>provided</w:t>
      </w:r>
      <w:r>
        <w:rPr>
          <w:rFonts w:ascii="Calibri" w:cs="Calibri" w:eastAsia="Calibri" w:hAnsi="Calibri"/>
          <w:sz w:val="22"/>
          <w:szCs w:val="22"/>
          <w:color w:val="auto"/>
        </w:rPr>
        <w:t xml:space="preserve"> that, if any porton of the Erroneously Awarded Compensaton was Received in the form of equity awards, and the Covered Ofcer contnues to hold such equity awards or the underlying shares, then the Company Group may accept such equity awards or underlying shares in respect of such porton, regardless of their then-current value.</w:t>
      </w:r>
    </w:p>
    <w:p>
      <w:pPr>
        <w:spacing w:after="0" w:line="215" w:lineRule="exact"/>
        <w:rPr>
          <w:sz w:val="20"/>
          <w:szCs w:val="20"/>
          <w:color w:val="auto"/>
        </w:rPr>
      </w:pPr>
    </w:p>
    <w:p>
      <w:pPr>
        <w:jc w:val="both"/>
        <w:ind w:left="480" w:right="80" w:hanging="478"/>
        <w:spacing w:after="0" w:line="252" w:lineRule="auto"/>
        <w:tabs>
          <w:tab w:leader="none" w:pos="480" w:val="left"/>
        </w:tabs>
        <w:numPr>
          <w:ilvl w:val="0"/>
          <w:numId w:val="40"/>
        </w:numPr>
        <w:rPr>
          <w:rFonts w:ascii="Calibri" w:cs="Calibri" w:eastAsia="Calibri" w:hAnsi="Calibri"/>
          <w:sz w:val="21"/>
          <w:szCs w:val="21"/>
          <w:color w:val="auto"/>
        </w:rPr>
      </w:pPr>
      <w:r>
        <w:rPr>
          <w:rFonts w:ascii="Calibri" w:cs="Calibri" w:eastAsia="Calibri" w:hAnsi="Calibri"/>
          <w:sz w:val="21"/>
          <w:szCs w:val="21"/>
          <w:color w:val="auto"/>
        </w:rPr>
        <w:t>To the extent that a Covered Ofcer fails to repay all Erroneously Awarded Compensaton to the Company Group when due (as determined in accordance with Secton 2 above), the Company shall, or shall cause one or more other members of the Company Group to, take all actons reasonable and appropriate to recoup such Erroneously Awarded Compensaton from the applicable Covered Ofcer. To the extent that a Covered Ofcer fails to comply with the</w:t>
      </w:r>
    </w:p>
    <w:p>
      <w:pPr>
        <w:jc w:val="center"/>
        <w:ind w:right="340"/>
        <w:spacing w:after="0" w:line="233" w:lineRule="auto"/>
        <w:rPr>
          <w:sz w:val="20"/>
          <w:szCs w:val="20"/>
          <w:color w:val="auto"/>
        </w:rPr>
      </w:pPr>
      <w:r>
        <w:rPr>
          <w:rFonts w:ascii="Calibri" w:cs="Calibri" w:eastAsia="Calibri" w:hAnsi="Calibri"/>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948055</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762" w:right="379" w:bottom="1440" w:gutter="0" w:footer="0" w:header="0"/>
        </w:sectPr>
      </w:pPr>
    </w:p>
    <w:bookmarkStart w:id="155" w:name="page156"/>
    <w:bookmarkEnd w:id="155"/>
    <w:p>
      <w:pPr>
        <w:ind w:left="9860"/>
        <w:spacing w:after="0"/>
        <w:rPr>
          <w:sz w:val="20"/>
          <w:szCs w:val="20"/>
          <w:color w:val="auto"/>
        </w:rPr>
      </w:pPr>
      <w:r>
        <w:rPr>
          <w:rFonts w:ascii="Calibri" w:cs="Calibri" w:eastAsia="Calibri" w:hAnsi="Calibri"/>
          <w:sz w:val="22"/>
          <w:szCs w:val="22"/>
          <w:b w:val="1"/>
          <w:bCs w:val="1"/>
          <w:color w:val="auto"/>
        </w:rPr>
        <w:t>EXHIBIT 97</w:t>
      </w:r>
    </w:p>
    <w:p>
      <w:pPr>
        <w:spacing w:after="0" w:line="200" w:lineRule="exact"/>
        <w:rPr>
          <w:sz w:val="20"/>
          <w:szCs w:val="20"/>
          <w:color w:val="auto"/>
        </w:rPr>
      </w:pPr>
    </w:p>
    <w:p>
      <w:pPr>
        <w:spacing w:after="0" w:line="352" w:lineRule="exact"/>
        <w:rPr>
          <w:sz w:val="20"/>
          <w:szCs w:val="20"/>
          <w:color w:val="auto"/>
        </w:rPr>
      </w:pPr>
    </w:p>
    <w:p>
      <w:pPr>
        <w:ind w:left="480" w:right="120"/>
        <w:spacing w:after="0" w:line="235" w:lineRule="auto"/>
        <w:rPr>
          <w:sz w:val="20"/>
          <w:szCs w:val="20"/>
          <w:color w:val="auto"/>
        </w:rPr>
      </w:pPr>
      <w:r>
        <w:rPr>
          <w:rFonts w:ascii="Calibri" w:cs="Calibri" w:eastAsia="Calibri" w:hAnsi="Calibri"/>
          <w:sz w:val="22"/>
          <w:szCs w:val="22"/>
          <w:color w:val="auto"/>
        </w:rPr>
        <w:t>Policy, the Administrator shall take (or direct the Company or one or more other members of the Company Group to take) such other actons as it determines to be appropriate.</w:t>
      </w:r>
    </w:p>
    <w:p>
      <w:pPr>
        <w:spacing w:after="0" w:line="190" w:lineRule="exact"/>
        <w:rPr>
          <w:sz w:val="20"/>
          <w:szCs w:val="20"/>
          <w:color w:val="auto"/>
        </w:rPr>
      </w:pPr>
    </w:p>
    <w:p>
      <w:pPr>
        <w:jc w:val="both"/>
        <w:ind w:left="480" w:right="120" w:hanging="478"/>
        <w:spacing w:after="0" w:line="237" w:lineRule="auto"/>
        <w:tabs>
          <w:tab w:leader="none" w:pos="480" w:val="left"/>
        </w:tabs>
        <w:numPr>
          <w:ilvl w:val="0"/>
          <w:numId w:val="41"/>
        </w:numPr>
        <w:rPr>
          <w:rFonts w:ascii="Calibri" w:cs="Calibri" w:eastAsia="Calibri" w:hAnsi="Calibri"/>
          <w:sz w:val="22"/>
          <w:szCs w:val="22"/>
          <w:color w:val="auto"/>
        </w:rPr>
      </w:pPr>
      <w:r>
        <w:rPr>
          <w:rFonts w:ascii="Calibri" w:cs="Calibri" w:eastAsia="Calibri" w:hAnsi="Calibri"/>
          <w:sz w:val="22"/>
          <w:szCs w:val="22"/>
          <w:color w:val="auto"/>
        </w:rPr>
        <w:t>Notwithstanding anything herein to the contrary, the Company shall not be required to recoup Erroneously Awarded Compensaton if any of the following conditons is met and the Administrator determines that recoupment would be impractcable:</w:t>
      </w:r>
    </w:p>
    <w:p>
      <w:pPr>
        <w:spacing w:after="0" w:line="176" w:lineRule="exact"/>
        <w:rPr>
          <w:rFonts w:ascii="Calibri" w:cs="Calibri" w:eastAsia="Calibri" w:hAnsi="Calibri"/>
          <w:sz w:val="22"/>
          <w:szCs w:val="22"/>
          <w:color w:val="auto"/>
        </w:rPr>
      </w:pPr>
    </w:p>
    <w:p>
      <w:pPr>
        <w:jc w:val="both"/>
        <w:ind w:left="1580" w:hanging="455"/>
        <w:spacing w:after="0" w:line="238" w:lineRule="auto"/>
        <w:tabs>
          <w:tab w:leader="none" w:pos="1580" w:val="left"/>
        </w:tabs>
        <w:numPr>
          <w:ilvl w:val="1"/>
          <w:numId w:val="41"/>
        </w:numPr>
        <w:rPr>
          <w:rFonts w:ascii="Calibri" w:cs="Calibri" w:eastAsia="Calibri" w:hAnsi="Calibri"/>
          <w:sz w:val="22"/>
          <w:szCs w:val="22"/>
          <w:color w:val="auto"/>
        </w:rPr>
      </w:pPr>
      <w:r>
        <w:rPr>
          <w:rFonts w:ascii="Calibri" w:cs="Calibri" w:eastAsia="Calibri" w:hAnsi="Calibri"/>
          <w:sz w:val="22"/>
          <w:szCs w:val="22"/>
          <w:color w:val="auto"/>
        </w:rPr>
        <w:t>The direct expense paid to a third party to assist in enforcing this Policy against a Covered Ofcer would exceed the amount to be recouped, afer the Company has made a reasonable atempt to recoup the applicable Erroneously Awarded Compensaton, documented such atempts, and provided such documentaton to the New York Stock Exchange (the “</w:t>
      </w:r>
      <w:r>
        <w:rPr>
          <w:rFonts w:ascii="Calibri" w:cs="Calibri" w:eastAsia="Calibri" w:hAnsi="Calibri"/>
          <w:sz w:val="22"/>
          <w:szCs w:val="22"/>
          <w:b w:val="1"/>
          <w:bCs w:val="1"/>
          <w:u w:val="single" w:color="auto"/>
          <w:color w:val="auto"/>
        </w:rPr>
        <w:t>NYSE</w:t>
      </w:r>
      <w:r>
        <w:rPr>
          <w:rFonts w:ascii="Calibri" w:cs="Calibri" w:eastAsia="Calibri" w:hAnsi="Calibri"/>
          <w:sz w:val="22"/>
          <w:szCs w:val="22"/>
          <w:color w:val="auto"/>
        </w:rPr>
        <w:t>”); or</w:t>
      </w:r>
    </w:p>
    <w:p>
      <w:pPr>
        <w:spacing w:after="0" w:line="176" w:lineRule="exact"/>
        <w:rPr>
          <w:rFonts w:ascii="Calibri" w:cs="Calibri" w:eastAsia="Calibri" w:hAnsi="Calibri"/>
          <w:sz w:val="22"/>
          <w:szCs w:val="22"/>
          <w:color w:val="auto"/>
        </w:rPr>
      </w:pPr>
    </w:p>
    <w:p>
      <w:pPr>
        <w:jc w:val="both"/>
        <w:ind w:left="1580" w:hanging="455"/>
        <w:spacing w:after="0" w:line="237" w:lineRule="auto"/>
        <w:tabs>
          <w:tab w:leader="none" w:pos="1580" w:val="left"/>
        </w:tabs>
        <w:numPr>
          <w:ilvl w:val="1"/>
          <w:numId w:val="41"/>
        </w:numPr>
        <w:rPr>
          <w:rFonts w:ascii="Calibri" w:cs="Calibri" w:eastAsia="Calibri" w:hAnsi="Calibri"/>
          <w:sz w:val="22"/>
          <w:szCs w:val="22"/>
          <w:color w:val="auto"/>
        </w:rPr>
      </w:pPr>
      <w:r>
        <w:rPr>
          <w:rFonts w:ascii="Calibri" w:cs="Calibri" w:eastAsia="Calibri" w:hAnsi="Calibri"/>
          <w:sz w:val="22"/>
          <w:szCs w:val="22"/>
          <w:color w:val="auto"/>
        </w:rPr>
        <w:t>Recoupment would likely cause an otherwise tax-qualifed retrement plan, under which benefts are broadly available to employees, to fail to meet the requirements of 26 U.S.C. 401(a)(13) or 26 U.S.C. 411(a) and regulatons thereunder.</w:t>
      </w:r>
    </w:p>
    <w:p>
      <w:pPr>
        <w:spacing w:after="0" w:line="176" w:lineRule="exact"/>
        <w:rPr>
          <w:rFonts w:ascii="Calibri" w:cs="Calibri" w:eastAsia="Calibri" w:hAnsi="Calibri"/>
          <w:sz w:val="22"/>
          <w:szCs w:val="22"/>
          <w:color w:val="auto"/>
        </w:rPr>
      </w:pPr>
    </w:p>
    <w:p>
      <w:pPr>
        <w:jc w:val="both"/>
        <w:ind w:left="480" w:right="120" w:hanging="478"/>
        <w:spacing w:after="0"/>
        <w:tabs>
          <w:tab w:leader="none" w:pos="480" w:val="left"/>
        </w:tabs>
        <w:numPr>
          <w:ilvl w:val="0"/>
          <w:numId w:val="41"/>
        </w:numPr>
        <w:rPr>
          <w:rFonts w:ascii="Calibri" w:cs="Calibri" w:eastAsia="Calibri" w:hAnsi="Calibri"/>
          <w:sz w:val="22"/>
          <w:szCs w:val="22"/>
          <w:color w:val="auto"/>
        </w:rPr>
      </w:pPr>
      <w:r>
        <w:rPr>
          <w:rFonts w:ascii="Calibri" w:cs="Calibri" w:eastAsia="Calibri" w:hAnsi="Calibri"/>
          <w:sz w:val="22"/>
          <w:szCs w:val="22"/>
          <w:color w:val="auto"/>
        </w:rPr>
        <w:t>“</w:t>
      </w:r>
      <w:r>
        <w:rPr>
          <w:rFonts w:ascii="Calibri" w:cs="Calibri" w:eastAsia="Calibri" w:hAnsi="Calibri"/>
          <w:sz w:val="22"/>
          <w:szCs w:val="22"/>
          <w:b w:val="1"/>
          <w:bCs w:val="1"/>
          <w:u w:val="single" w:color="auto"/>
          <w:color w:val="auto"/>
        </w:rPr>
        <w:t>Erroneously Awarded Compensaton</w:t>
      </w:r>
      <w:r>
        <w:rPr>
          <w:rFonts w:ascii="Calibri" w:cs="Calibri" w:eastAsia="Calibri" w:hAnsi="Calibri"/>
          <w:sz w:val="22"/>
          <w:szCs w:val="22"/>
          <w:color w:val="auto"/>
        </w:rPr>
        <w:t>” means, with respect to each Covered Ofcer in connecton with an Accountng Restatement, the amount of Clawback Eligible Incentve Compensaton that exceeds the amount of Incentve-Based Compensaton that would have been Received had it been determined based on the restated amounts, plus any other compensaton that is computed based on, or otherwise atributable to, the foregoing amounts, in each case, computed without regard to any taxes paid. For Incentve-Based Compensaton based on (or derived from) the Company’s stock price or total shareholder return, where the amount of Erroneously Awarded Compensaton is not subject to mathematcal recalculaton directly from the informaton in the applicable Accountng Restatement: (i) the amount to be repaid or returned shall be determined by the Administrator based on a reasonable estmate of the efect of the Accountng Restatement on the Company’s stock price or total shareholder return upon which the Incentve-Based Compensaton was Received, and (ii) the Company shall maintain documentaton of the determinaton of such reasonable estmate and provide the relevant documentaton to the NYSE, to the extent required under the Dodd-Frank Rules or other applicable law or listng standard.</w:t>
      </w:r>
    </w:p>
    <w:p>
      <w:pPr>
        <w:spacing w:after="0" w:line="165" w:lineRule="exact"/>
        <w:rPr>
          <w:rFonts w:ascii="Calibri" w:cs="Calibri" w:eastAsia="Calibri" w:hAnsi="Calibri"/>
          <w:sz w:val="22"/>
          <w:szCs w:val="22"/>
          <w:color w:val="auto"/>
        </w:rPr>
      </w:pPr>
    </w:p>
    <w:p>
      <w:pPr>
        <w:jc w:val="both"/>
        <w:ind w:left="480" w:right="120" w:hanging="478"/>
        <w:spacing w:after="0" w:line="239" w:lineRule="auto"/>
        <w:tabs>
          <w:tab w:leader="none" w:pos="480" w:val="left"/>
        </w:tabs>
        <w:numPr>
          <w:ilvl w:val="0"/>
          <w:numId w:val="41"/>
        </w:numPr>
        <w:rPr>
          <w:rFonts w:ascii="Calibri" w:cs="Calibri" w:eastAsia="Calibri" w:hAnsi="Calibri"/>
          <w:sz w:val="22"/>
          <w:szCs w:val="22"/>
          <w:color w:val="auto"/>
        </w:rPr>
      </w:pPr>
      <w:r>
        <w:rPr>
          <w:rFonts w:ascii="Calibri" w:cs="Calibri" w:eastAsia="Calibri" w:hAnsi="Calibri"/>
          <w:sz w:val="22"/>
          <w:szCs w:val="22"/>
          <w:color w:val="auto"/>
        </w:rPr>
        <w:t>“</w:t>
      </w:r>
      <w:r>
        <w:rPr>
          <w:rFonts w:ascii="Calibri" w:cs="Calibri" w:eastAsia="Calibri" w:hAnsi="Calibri"/>
          <w:sz w:val="22"/>
          <w:szCs w:val="22"/>
          <w:b w:val="1"/>
          <w:bCs w:val="1"/>
          <w:u w:val="single" w:color="auto"/>
          <w:color w:val="auto"/>
        </w:rPr>
        <w:t>Accountng Restatement</w:t>
      </w:r>
      <w:r>
        <w:rPr>
          <w:rFonts w:ascii="Calibri" w:cs="Calibri" w:eastAsia="Calibri" w:hAnsi="Calibri"/>
          <w:sz w:val="22"/>
          <w:szCs w:val="22"/>
          <w:color w:val="auto"/>
        </w:rPr>
        <w:t>” means an accountng restatement of the Company’s fnancial statements due to the material noncompliance of the Company with any fnancial reportng requirement under the securites laws, including any required accountng restatement to correct an error in previously issued fnancial statements that is material to the previously issued fnancial statements (i.e., a “Big R” restatement), or that would result in a material misstatement if the error were corrected in the current period or lef uncorrected in the current period (i.e., a “litle r” restatement).</w:t>
      </w:r>
    </w:p>
    <w:p>
      <w:pPr>
        <w:spacing w:after="0" w:line="5" w:lineRule="exact"/>
        <w:rPr>
          <w:sz w:val="20"/>
          <w:szCs w:val="20"/>
          <w:color w:val="auto"/>
        </w:rPr>
      </w:pPr>
    </w:p>
    <w:p>
      <w:pPr>
        <w:jc w:val="center"/>
        <w:ind w:right="380"/>
        <w:spacing w:after="0"/>
        <w:rPr>
          <w:sz w:val="20"/>
          <w:szCs w:val="20"/>
          <w:color w:val="auto"/>
        </w:rPr>
      </w:pPr>
      <w:r>
        <w:rPr>
          <w:rFonts w:ascii="Calibri" w:cs="Calibri" w:eastAsia="Calibri" w:hAnsi="Calibri"/>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947420</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62" w:right="339" w:bottom="1440" w:gutter="0" w:footer="0" w:header="0"/>
        </w:sectPr>
      </w:pPr>
    </w:p>
    <w:bookmarkStart w:id="156" w:name="page157"/>
    <w:bookmarkEnd w:id="156"/>
    <w:p>
      <w:pPr>
        <w:jc w:val="right"/>
        <w:spacing w:after="0"/>
        <w:rPr>
          <w:sz w:val="20"/>
          <w:szCs w:val="20"/>
          <w:color w:val="auto"/>
        </w:rPr>
      </w:pPr>
      <w:r>
        <w:rPr>
          <w:rFonts w:ascii="Calibri" w:cs="Calibri" w:eastAsia="Calibri" w:hAnsi="Calibri"/>
          <w:sz w:val="22"/>
          <w:szCs w:val="22"/>
          <w:b w:val="1"/>
          <w:bCs w:val="1"/>
          <w:color w:val="auto"/>
        </w:rPr>
        <w:t>EXHIBIT 97</w:t>
      </w:r>
    </w:p>
    <w:p>
      <w:pPr>
        <w:spacing w:after="0" w:line="200" w:lineRule="exact"/>
        <w:rPr>
          <w:sz w:val="20"/>
          <w:szCs w:val="20"/>
          <w:color w:val="auto"/>
        </w:rPr>
      </w:pPr>
    </w:p>
    <w:p>
      <w:pPr>
        <w:spacing w:after="0" w:line="328" w:lineRule="exact"/>
        <w:rPr>
          <w:sz w:val="20"/>
          <w:szCs w:val="20"/>
          <w:color w:val="auto"/>
        </w:rPr>
      </w:pPr>
    </w:p>
    <w:p>
      <w:pPr>
        <w:ind w:left="480" w:hanging="478"/>
        <w:spacing w:after="0"/>
        <w:tabs>
          <w:tab w:leader="none" w:pos="480" w:val="left"/>
        </w:tabs>
        <w:numPr>
          <w:ilvl w:val="0"/>
          <w:numId w:val="42"/>
        </w:numPr>
        <w:rPr>
          <w:rFonts w:ascii="Calibri" w:cs="Calibri" w:eastAsia="Calibri" w:hAnsi="Calibri"/>
          <w:sz w:val="22"/>
          <w:szCs w:val="22"/>
          <w:color w:val="auto"/>
        </w:rPr>
      </w:pPr>
      <w:r>
        <w:rPr>
          <w:rFonts w:ascii="Calibri" w:cs="Calibri" w:eastAsia="Calibri" w:hAnsi="Calibri"/>
          <w:sz w:val="22"/>
          <w:szCs w:val="22"/>
          <w:color w:val="auto"/>
        </w:rPr>
        <w:t>“</w:t>
      </w:r>
      <w:r>
        <w:rPr>
          <w:rFonts w:ascii="Calibri" w:cs="Calibri" w:eastAsia="Calibri" w:hAnsi="Calibri"/>
          <w:sz w:val="22"/>
          <w:szCs w:val="22"/>
          <w:b w:val="1"/>
          <w:bCs w:val="1"/>
          <w:u w:val="single" w:color="auto"/>
          <w:color w:val="auto"/>
        </w:rPr>
        <w:t>Clawback Eligible Incentve Compensaton</w:t>
      </w:r>
      <w:r>
        <w:rPr>
          <w:rFonts w:ascii="Calibri" w:cs="Calibri" w:eastAsia="Calibri" w:hAnsi="Calibri"/>
          <w:sz w:val="22"/>
          <w:szCs w:val="22"/>
          <w:color w:val="auto"/>
        </w:rPr>
        <w:t>” means all Incentve-Based Compensaton Received by a Covered Ofcer</w:t>
      </w:r>
    </w:p>
    <w:p>
      <w:pPr>
        <w:spacing w:after="0" w:line="12" w:lineRule="exact"/>
        <w:rPr>
          <w:rFonts w:ascii="Calibri" w:cs="Calibri" w:eastAsia="Calibri" w:hAnsi="Calibri"/>
          <w:sz w:val="22"/>
          <w:szCs w:val="22"/>
          <w:color w:val="auto"/>
        </w:rPr>
      </w:pPr>
    </w:p>
    <w:p>
      <w:pPr>
        <w:jc w:val="both"/>
        <w:ind w:left="480" w:right="80"/>
        <w:spacing w:after="0" w:line="239" w:lineRule="auto"/>
        <w:rPr>
          <w:rFonts w:ascii="Calibri" w:cs="Calibri" w:eastAsia="Calibri" w:hAnsi="Calibri"/>
          <w:sz w:val="22"/>
          <w:szCs w:val="22"/>
          <w:color w:val="auto"/>
        </w:rPr>
      </w:pPr>
      <w:r>
        <w:rPr>
          <w:rFonts w:ascii="Calibri" w:cs="Calibri" w:eastAsia="Calibri" w:hAnsi="Calibri"/>
          <w:sz w:val="22"/>
          <w:szCs w:val="22"/>
          <w:color w:val="auto"/>
        </w:rPr>
        <w:t>(i) on or afer October 2, 2023, (ii) afer beginning service as a Covered Ofcer, (iii) if such individual served as a Covered Ofcer at any tme during the applicable performance period relatng to such Incentve-Based Compensaton (whether or not such Covered Ofcer contnued to serve as a Covered Ofcer upon or following the Restatement Date), (iv) while the Company has a class of securites listed on a natonal securites exchange or a natonal securites associaton and (v) during the Clawback Period.</w:t>
      </w:r>
    </w:p>
    <w:p>
      <w:pPr>
        <w:spacing w:after="0" w:line="147" w:lineRule="exact"/>
        <w:rPr>
          <w:rFonts w:ascii="Calibri" w:cs="Calibri" w:eastAsia="Calibri" w:hAnsi="Calibri"/>
          <w:sz w:val="22"/>
          <w:szCs w:val="22"/>
          <w:color w:val="auto"/>
        </w:rPr>
      </w:pPr>
    </w:p>
    <w:p>
      <w:pPr>
        <w:jc w:val="both"/>
        <w:ind w:left="480" w:right="80" w:hanging="478"/>
        <w:spacing w:after="0" w:line="239" w:lineRule="auto"/>
        <w:tabs>
          <w:tab w:leader="none" w:pos="480" w:val="left"/>
        </w:tabs>
        <w:numPr>
          <w:ilvl w:val="0"/>
          <w:numId w:val="42"/>
        </w:numPr>
        <w:rPr>
          <w:rFonts w:ascii="Calibri" w:cs="Calibri" w:eastAsia="Calibri" w:hAnsi="Calibri"/>
          <w:sz w:val="22"/>
          <w:szCs w:val="22"/>
          <w:color w:val="auto"/>
        </w:rPr>
      </w:pPr>
      <w:r>
        <w:rPr>
          <w:rFonts w:ascii="Calibri" w:cs="Calibri" w:eastAsia="Calibri" w:hAnsi="Calibri"/>
          <w:sz w:val="22"/>
          <w:szCs w:val="22"/>
          <w:color w:val="auto"/>
        </w:rPr>
        <w:t>“</w:t>
      </w:r>
      <w:r>
        <w:rPr>
          <w:rFonts w:ascii="Calibri" w:cs="Calibri" w:eastAsia="Calibri" w:hAnsi="Calibri"/>
          <w:sz w:val="22"/>
          <w:szCs w:val="22"/>
          <w:b w:val="1"/>
          <w:bCs w:val="1"/>
          <w:u w:val="single" w:color="auto"/>
          <w:color w:val="auto"/>
        </w:rPr>
        <w:t>Clawback Period</w:t>
      </w:r>
      <w:r>
        <w:rPr>
          <w:rFonts w:ascii="Calibri" w:cs="Calibri" w:eastAsia="Calibri" w:hAnsi="Calibri"/>
          <w:sz w:val="22"/>
          <w:szCs w:val="22"/>
          <w:color w:val="auto"/>
        </w:rPr>
        <w:t>” means, with respect to any Accountng Restatement, the three completed fscal years of the Company immediately preceding the Restatement Date and any transiton period (that results from a change in the Company’s fscal year) within or immediately following those three completed fscal years (except that a transiton period between the last day of the Company’s previous fscal year end and the frst day of its new fscal year that comprises a period of at least nine months shall count as a completed fscal year).</w:t>
      </w:r>
    </w:p>
    <w:p>
      <w:pPr>
        <w:spacing w:after="0" w:line="161" w:lineRule="exact"/>
        <w:rPr>
          <w:rFonts w:ascii="Calibri" w:cs="Calibri" w:eastAsia="Calibri" w:hAnsi="Calibri"/>
          <w:sz w:val="22"/>
          <w:szCs w:val="22"/>
          <w:color w:val="auto"/>
        </w:rPr>
      </w:pPr>
    </w:p>
    <w:p>
      <w:pPr>
        <w:jc w:val="both"/>
        <w:ind w:left="480" w:right="80" w:hanging="478"/>
        <w:spacing w:after="0" w:line="239" w:lineRule="auto"/>
        <w:tabs>
          <w:tab w:leader="none" w:pos="480" w:val="left"/>
        </w:tabs>
        <w:numPr>
          <w:ilvl w:val="0"/>
          <w:numId w:val="42"/>
        </w:numPr>
        <w:rPr>
          <w:rFonts w:ascii="Calibri" w:cs="Calibri" w:eastAsia="Calibri" w:hAnsi="Calibri"/>
          <w:sz w:val="22"/>
          <w:szCs w:val="22"/>
          <w:color w:val="auto"/>
        </w:rPr>
      </w:pPr>
      <w:r>
        <w:rPr>
          <w:rFonts w:ascii="Calibri" w:cs="Calibri" w:eastAsia="Calibri" w:hAnsi="Calibri"/>
          <w:sz w:val="22"/>
          <w:szCs w:val="22"/>
          <w:color w:val="auto"/>
        </w:rPr>
        <w:t>“</w:t>
      </w:r>
      <w:r>
        <w:rPr>
          <w:rFonts w:ascii="Calibri" w:cs="Calibri" w:eastAsia="Calibri" w:hAnsi="Calibri"/>
          <w:sz w:val="22"/>
          <w:szCs w:val="22"/>
          <w:b w:val="1"/>
          <w:bCs w:val="1"/>
          <w:u w:val="single" w:color="auto"/>
          <w:color w:val="auto"/>
        </w:rPr>
        <w:t>Financial Reportng Measures</w:t>
      </w:r>
      <w:r>
        <w:rPr>
          <w:rFonts w:ascii="Calibri" w:cs="Calibri" w:eastAsia="Calibri" w:hAnsi="Calibri"/>
          <w:sz w:val="22"/>
          <w:szCs w:val="22"/>
          <w:color w:val="auto"/>
        </w:rPr>
        <w:t>” means measures that are determined and presented in accordance with the accountng principles used in preparing the Company’s fnancial statements, and all other measures that are derived wholly or in part from such measures. In additon, stock price and total shareholder return (and any measures that are derived wholly or in part from stock price or total shareholder return), shall for purposes of this Policy, be considered Financial Reportng Measures. For the avoidance of doubt, a measure need not be presented in the Company’s fnancial statements or included in a fling with the U.S. Securites and Exchange Commission (the “</w:t>
      </w:r>
      <w:r>
        <w:rPr>
          <w:rFonts w:ascii="Calibri" w:cs="Calibri" w:eastAsia="Calibri" w:hAnsi="Calibri"/>
          <w:sz w:val="22"/>
          <w:szCs w:val="22"/>
          <w:b w:val="1"/>
          <w:bCs w:val="1"/>
          <w:u w:val="single" w:color="auto"/>
          <w:color w:val="auto"/>
        </w:rPr>
        <w:t>SEC</w:t>
      </w:r>
      <w:r>
        <w:rPr>
          <w:rFonts w:ascii="Calibri" w:cs="Calibri" w:eastAsia="Calibri" w:hAnsi="Calibri"/>
          <w:sz w:val="22"/>
          <w:szCs w:val="22"/>
          <w:color w:val="auto"/>
        </w:rPr>
        <w:t>”) in order to be considered a Financial Reportng Measure.</w:t>
      </w:r>
    </w:p>
    <w:p>
      <w:pPr>
        <w:spacing w:after="0" w:line="152" w:lineRule="exact"/>
        <w:rPr>
          <w:rFonts w:ascii="Calibri" w:cs="Calibri" w:eastAsia="Calibri" w:hAnsi="Calibri"/>
          <w:sz w:val="22"/>
          <w:szCs w:val="22"/>
          <w:color w:val="auto"/>
        </w:rPr>
      </w:pPr>
    </w:p>
    <w:p>
      <w:pPr>
        <w:jc w:val="both"/>
        <w:ind w:left="480" w:right="80" w:hanging="478"/>
        <w:spacing w:after="0" w:line="239" w:lineRule="auto"/>
        <w:tabs>
          <w:tab w:leader="none" w:pos="480" w:val="left"/>
        </w:tabs>
        <w:numPr>
          <w:ilvl w:val="0"/>
          <w:numId w:val="42"/>
        </w:numPr>
        <w:rPr>
          <w:rFonts w:ascii="Calibri" w:cs="Calibri" w:eastAsia="Calibri" w:hAnsi="Calibri"/>
          <w:sz w:val="22"/>
          <w:szCs w:val="22"/>
          <w:color w:val="auto"/>
        </w:rPr>
      </w:pPr>
      <w:r>
        <w:rPr>
          <w:rFonts w:ascii="Calibri" w:cs="Calibri" w:eastAsia="Calibri" w:hAnsi="Calibri"/>
          <w:sz w:val="22"/>
          <w:szCs w:val="22"/>
          <w:color w:val="auto"/>
        </w:rPr>
        <w:t>“</w:t>
      </w:r>
      <w:r>
        <w:rPr>
          <w:rFonts w:ascii="Calibri" w:cs="Calibri" w:eastAsia="Calibri" w:hAnsi="Calibri"/>
          <w:sz w:val="22"/>
          <w:szCs w:val="22"/>
          <w:b w:val="1"/>
          <w:bCs w:val="1"/>
          <w:u w:val="single" w:color="auto"/>
          <w:color w:val="auto"/>
        </w:rPr>
        <w:t>Incentve-Based Compensaton</w:t>
      </w:r>
      <w:r>
        <w:rPr>
          <w:rFonts w:ascii="Calibri" w:cs="Calibri" w:eastAsia="Calibri" w:hAnsi="Calibri"/>
          <w:sz w:val="22"/>
          <w:szCs w:val="22"/>
          <w:color w:val="auto"/>
        </w:rPr>
        <w:t>” means any compensaton that is granted, earned or vested based wholly or in part upon the atainment of a Financial Reportng Measure. Incentve-Based Compensaton does not include compensaton that is not incentve based such as (i) base salary, (ii) discretonary bonuses not ted to any Financial Reportng Measure, (iii) cash awards ted solely to strategic measures or operatonal measures, and (iv) tme-based equity awards not ted to any Financial Reportng Measure.</w:t>
      </w:r>
    </w:p>
    <w:p>
      <w:pPr>
        <w:spacing w:after="0" w:line="161" w:lineRule="exact"/>
        <w:rPr>
          <w:rFonts w:ascii="Calibri" w:cs="Calibri" w:eastAsia="Calibri" w:hAnsi="Calibri"/>
          <w:sz w:val="22"/>
          <w:szCs w:val="22"/>
          <w:color w:val="auto"/>
        </w:rPr>
      </w:pPr>
    </w:p>
    <w:p>
      <w:pPr>
        <w:jc w:val="both"/>
        <w:ind w:left="480" w:right="80" w:hanging="478"/>
        <w:spacing w:after="0" w:line="238" w:lineRule="auto"/>
        <w:tabs>
          <w:tab w:leader="none" w:pos="480" w:val="left"/>
        </w:tabs>
        <w:numPr>
          <w:ilvl w:val="0"/>
          <w:numId w:val="42"/>
        </w:numPr>
        <w:rPr>
          <w:rFonts w:ascii="Calibri" w:cs="Calibri" w:eastAsia="Calibri" w:hAnsi="Calibri"/>
          <w:sz w:val="22"/>
          <w:szCs w:val="22"/>
          <w:color w:val="auto"/>
        </w:rPr>
      </w:pPr>
      <w:r>
        <w:rPr>
          <w:rFonts w:ascii="Calibri" w:cs="Calibri" w:eastAsia="Calibri" w:hAnsi="Calibri"/>
          <w:sz w:val="22"/>
          <w:szCs w:val="22"/>
          <w:color w:val="auto"/>
        </w:rPr>
        <w:t>“</w:t>
      </w:r>
      <w:r>
        <w:rPr>
          <w:rFonts w:ascii="Calibri" w:cs="Calibri" w:eastAsia="Calibri" w:hAnsi="Calibri"/>
          <w:sz w:val="22"/>
          <w:szCs w:val="22"/>
          <w:b w:val="1"/>
          <w:bCs w:val="1"/>
          <w:u w:val="single" w:color="auto"/>
          <w:color w:val="auto"/>
        </w:rPr>
        <w:t>Received</w:t>
      </w:r>
      <w:r>
        <w:rPr>
          <w:rFonts w:ascii="Calibri" w:cs="Calibri" w:eastAsia="Calibri" w:hAnsi="Calibri"/>
          <w:sz w:val="22"/>
          <w:szCs w:val="22"/>
          <w:color w:val="auto"/>
        </w:rPr>
        <w:t>” means, with respect to any Incentve-Based Compensaton, actual or deemed receipt, and Incentve-Based Compensaton shall be deemed received in the Company’s fscal period during which the Financial Reportng Measure specifed in the Incentve-Based Compensaton award is atained, even if the payment or grant of the Incentve-Based Compensaton to the Covered Ofcer occurs afer the end of that period. For the avoidance of doubt, Incentve-Based Compensaton that is subject to both a Financial Reportng Measure vestng conditon and a</w:t>
      </w:r>
    </w:p>
    <w:p>
      <w:pPr>
        <w:spacing w:after="0" w:line="18" w:lineRule="exact"/>
        <w:rPr>
          <w:sz w:val="20"/>
          <w:szCs w:val="20"/>
          <w:color w:val="auto"/>
        </w:rPr>
      </w:pPr>
    </w:p>
    <w:p>
      <w:pPr>
        <w:ind w:left="480" w:right="100"/>
        <w:spacing w:after="0" w:line="235" w:lineRule="auto"/>
        <w:rPr>
          <w:sz w:val="20"/>
          <w:szCs w:val="20"/>
          <w:color w:val="auto"/>
        </w:rPr>
      </w:pPr>
      <w:r>
        <w:rPr>
          <w:rFonts w:ascii="Calibri" w:cs="Calibri" w:eastAsia="Calibri" w:hAnsi="Calibri"/>
          <w:sz w:val="22"/>
          <w:szCs w:val="22"/>
          <w:color w:val="auto"/>
        </w:rPr>
        <w:t>service-based vestng conditon shall be considered received when the relevant Financial Reportng Measure is achieved, even if the Incentve-Based Compensaton contnues to be subject to the service-based vestng conditon.</w:t>
      </w:r>
    </w:p>
    <w:p>
      <w:pPr>
        <w:spacing w:after="0" w:line="4" w:lineRule="exact"/>
        <w:rPr>
          <w:sz w:val="20"/>
          <w:szCs w:val="20"/>
          <w:color w:val="auto"/>
        </w:rPr>
      </w:pPr>
    </w:p>
    <w:p>
      <w:pPr>
        <w:jc w:val="center"/>
        <w:ind w:right="340"/>
        <w:spacing w:after="0"/>
        <w:rPr>
          <w:sz w:val="20"/>
          <w:szCs w:val="20"/>
          <w:color w:val="auto"/>
        </w:rPr>
      </w:pPr>
      <w:r>
        <w:rPr>
          <w:rFonts w:ascii="Calibri" w:cs="Calibri" w:eastAsia="Calibri" w:hAnsi="Calibri"/>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947420</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762" w:right="379" w:bottom="1440" w:gutter="0" w:footer="0" w:header="0"/>
        </w:sectPr>
      </w:pPr>
    </w:p>
    <w:bookmarkStart w:id="157" w:name="page158"/>
    <w:bookmarkEnd w:id="157"/>
    <w:p>
      <w:pPr>
        <w:jc w:val="right"/>
        <w:spacing w:after="0"/>
        <w:rPr>
          <w:sz w:val="20"/>
          <w:szCs w:val="20"/>
          <w:color w:val="auto"/>
        </w:rPr>
      </w:pPr>
      <w:r>
        <w:rPr>
          <w:rFonts w:ascii="Calibri" w:cs="Calibri" w:eastAsia="Calibri" w:hAnsi="Calibri"/>
          <w:sz w:val="22"/>
          <w:szCs w:val="22"/>
          <w:b w:val="1"/>
          <w:bCs w:val="1"/>
          <w:color w:val="auto"/>
        </w:rPr>
        <w:t>EXHIBIT 97</w:t>
      </w:r>
    </w:p>
    <w:p>
      <w:pPr>
        <w:spacing w:after="0" w:line="200" w:lineRule="exact"/>
        <w:rPr>
          <w:sz w:val="20"/>
          <w:szCs w:val="20"/>
          <w:color w:val="auto"/>
        </w:rPr>
      </w:pPr>
    </w:p>
    <w:p>
      <w:pPr>
        <w:spacing w:after="0" w:line="339" w:lineRule="exact"/>
        <w:rPr>
          <w:sz w:val="20"/>
          <w:szCs w:val="20"/>
          <w:color w:val="auto"/>
        </w:rPr>
      </w:pPr>
    </w:p>
    <w:p>
      <w:pPr>
        <w:jc w:val="both"/>
        <w:ind w:left="480" w:right="80" w:hanging="478"/>
        <w:spacing w:after="0" w:line="238" w:lineRule="auto"/>
        <w:tabs>
          <w:tab w:leader="none" w:pos="480" w:val="left"/>
        </w:tabs>
        <w:numPr>
          <w:ilvl w:val="0"/>
          <w:numId w:val="43"/>
        </w:numPr>
        <w:rPr>
          <w:rFonts w:ascii="Calibri" w:cs="Calibri" w:eastAsia="Calibri" w:hAnsi="Calibri"/>
          <w:sz w:val="22"/>
          <w:szCs w:val="22"/>
          <w:color w:val="auto"/>
        </w:rPr>
      </w:pPr>
      <w:r>
        <w:rPr>
          <w:rFonts w:ascii="Calibri" w:cs="Calibri" w:eastAsia="Calibri" w:hAnsi="Calibri"/>
          <w:sz w:val="22"/>
          <w:szCs w:val="22"/>
          <w:color w:val="auto"/>
        </w:rPr>
        <w:t>“</w:t>
      </w:r>
      <w:r>
        <w:rPr>
          <w:rFonts w:ascii="Calibri" w:cs="Calibri" w:eastAsia="Calibri" w:hAnsi="Calibri"/>
          <w:sz w:val="22"/>
          <w:szCs w:val="22"/>
          <w:b w:val="1"/>
          <w:bCs w:val="1"/>
          <w:u w:val="single" w:color="auto"/>
          <w:color w:val="auto"/>
        </w:rPr>
        <w:t>Restatement Date</w:t>
      </w:r>
      <w:r>
        <w:rPr>
          <w:rFonts w:ascii="Calibri" w:cs="Calibri" w:eastAsia="Calibri" w:hAnsi="Calibri"/>
          <w:sz w:val="22"/>
          <w:szCs w:val="22"/>
          <w:color w:val="auto"/>
        </w:rPr>
        <w:t>” means the earlier to occur of (i) the date the Board, a commitee of the Board or the ofcers of the Company authorized to take such acton if Board acton is not required, concludes, or reasonably should have concluded, that the Company is required to prepare an Accountng Restatement, or (ii) the date a court, regulator or other legally authorized body directs the Company to prepare an Accountng Restatement.</w:t>
      </w:r>
    </w:p>
    <w:p>
      <w:pPr>
        <w:spacing w:after="0" w:line="149" w:lineRule="exact"/>
        <w:rPr>
          <w:rFonts w:ascii="Calibri" w:cs="Calibri" w:eastAsia="Calibri" w:hAnsi="Calibri"/>
          <w:sz w:val="22"/>
          <w:szCs w:val="22"/>
          <w:color w:val="auto"/>
        </w:rPr>
      </w:pPr>
    </w:p>
    <w:p>
      <w:pPr>
        <w:ind w:left="480" w:right="100" w:hanging="478"/>
        <w:spacing w:after="0" w:line="235" w:lineRule="auto"/>
        <w:tabs>
          <w:tab w:leader="none" w:pos="480" w:val="left"/>
        </w:tabs>
        <w:numPr>
          <w:ilvl w:val="0"/>
          <w:numId w:val="43"/>
        </w:numPr>
        <w:rPr>
          <w:rFonts w:ascii="Calibri" w:cs="Calibri" w:eastAsia="Calibri" w:hAnsi="Calibri"/>
          <w:sz w:val="22"/>
          <w:szCs w:val="22"/>
          <w:color w:val="auto"/>
        </w:rPr>
      </w:pPr>
      <w:r>
        <w:rPr>
          <w:rFonts w:ascii="Calibri" w:cs="Calibri" w:eastAsia="Calibri" w:hAnsi="Calibri"/>
          <w:sz w:val="22"/>
          <w:szCs w:val="22"/>
          <w:color w:val="auto"/>
        </w:rPr>
        <w:t>“</w:t>
      </w:r>
      <w:r>
        <w:rPr>
          <w:rFonts w:ascii="Calibri" w:cs="Calibri" w:eastAsia="Calibri" w:hAnsi="Calibri"/>
          <w:sz w:val="22"/>
          <w:szCs w:val="22"/>
          <w:b w:val="1"/>
          <w:bCs w:val="1"/>
          <w:u w:val="single" w:color="auto"/>
          <w:color w:val="auto"/>
        </w:rPr>
        <w:t>Afliate</w:t>
      </w:r>
      <w:r>
        <w:rPr>
          <w:rFonts w:ascii="Calibri" w:cs="Calibri" w:eastAsia="Calibri" w:hAnsi="Calibri"/>
          <w:sz w:val="22"/>
          <w:szCs w:val="22"/>
          <w:color w:val="auto"/>
        </w:rPr>
        <w:t>” means each entty that directly or indirectly controls, is controlled by, or is under common control with the Company.</w:t>
      </w:r>
    </w:p>
    <w:p>
      <w:pPr>
        <w:spacing w:after="0" w:line="162" w:lineRule="exact"/>
        <w:rPr>
          <w:rFonts w:ascii="Calibri" w:cs="Calibri" w:eastAsia="Calibri" w:hAnsi="Calibri"/>
          <w:sz w:val="22"/>
          <w:szCs w:val="22"/>
          <w:color w:val="auto"/>
        </w:rPr>
      </w:pPr>
    </w:p>
    <w:p>
      <w:pPr>
        <w:jc w:val="both"/>
        <w:ind w:left="480" w:right="80" w:hanging="478"/>
        <w:spacing w:after="0" w:line="239" w:lineRule="auto"/>
        <w:tabs>
          <w:tab w:leader="none" w:pos="480" w:val="left"/>
        </w:tabs>
        <w:numPr>
          <w:ilvl w:val="0"/>
          <w:numId w:val="43"/>
        </w:numPr>
        <w:rPr>
          <w:rFonts w:ascii="Calibri" w:cs="Calibri" w:eastAsia="Calibri" w:hAnsi="Calibri"/>
          <w:sz w:val="22"/>
          <w:szCs w:val="22"/>
          <w:color w:val="auto"/>
        </w:rPr>
      </w:pPr>
      <w:r>
        <w:rPr>
          <w:rFonts w:ascii="Calibri" w:cs="Calibri" w:eastAsia="Calibri" w:hAnsi="Calibri"/>
          <w:sz w:val="22"/>
          <w:szCs w:val="22"/>
          <w:color w:val="auto"/>
        </w:rPr>
        <w:t>This Policy will be applied in accordance with applicable laws, rules and regulatons and will also require (and will not be deemed to limit) the recoupment of any compensaton as mandated by applicable laws, rules and regulatons, even if not expressly otherwise required herein. For the avoidance of doubt, any Erroneously Awarded Compensaton Received by a Covered Ofcer that has subsequently been forfeited prior to payment thereof (including as a result of terminaton of employment or breach of contract) shall be deemed to have been repaid in accordance with this Policy.</w:t>
      </w:r>
    </w:p>
    <w:p>
      <w:pPr>
        <w:spacing w:after="0" w:line="150" w:lineRule="exact"/>
        <w:rPr>
          <w:rFonts w:ascii="Calibri" w:cs="Calibri" w:eastAsia="Calibri" w:hAnsi="Calibri"/>
          <w:sz w:val="22"/>
          <w:szCs w:val="22"/>
          <w:color w:val="auto"/>
        </w:rPr>
      </w:pPr>
    </w:p>
    <w:p>
      <w:pPr>
        <w:jc w:val="both"/>
        <w:ind w:left="480" w:right="80" w:hanging="478"/>
        <w:spacing w:after="0" w:line="239" w:lineRule="auto"/>
        <w:tabs>
          <w:tab w:leader="none" w:pos="480" w:val="left"/>
        </w:tabs>
        <w:numPr>
          <w:ilvl w:val="0"/>
          <w:numId w:val="43"/>
        </w:numPr>
        <w:rPr>
          <w:rFonts w:ascii="Calibri" w:cs="Calibri" w:eastAsia="Calibri" w:hAnsi="Calibri"/>
          <w:sz w:val="22"/>
          <w:szCs w:val="22"/>
          <w:color w:val="auto"/>
        </w:rPr>
      </w:pPr>
      <w:r>
        <w:rPr>
          <w:rFonts w:ascii="Calibri" w:cs="Calibri" w:eastAsia="Calibri" w:hAnsi="Calibri"/>
          <w:sz w:val="22"/>
          <w:szCs w:val="22"/>
          <w:color w:val="auto"/>
        </w:rPr>
        <w:t>For the avoidance of doubt, any acton by the Company to recover Erroneously Awarded Compensaton from a Covered Ofcer shall not, whether alone or in combinaton with any other acton, event or conditon, be deemed (i) “good reason” or term of similar import or to serve as a basis for a claim of constructve terminaton under any beneft or compensaton arrangement applicable to such Covered Ofcer, or (ii) to consttute a breach of a contract or other arrangement to which such Covered Ofcer is party.</w:t>
      </w:r>
    </w:p>
    <w:p>
      <w:pPr>
        <w:spacing w:after="0" w:line="161" w:lineRule="exact"/>
        <w:rPr>
          <w:rFonts w:ascii="Calibri" w:cs="Calibri" w:eastAsia="Calibri" w:hAnsi="Calibri"/>
          <w:sz w:val="22"/>
          <w:szCs w:val="22"/>
          <w:color w:val="auto"/>
        </w:rPr>
      </w:pPr>
    </w:p>
    <w:p>
      <w:pPr>
        <w:jc w:val="both"/>
        <w:ind w:left="480" w:right="80" w:hanging="478"/>
        <w:spacing w:after="0" w:line="238" w:lineRule="auto"/>
        <w:tabs>
          <w:tab w:leader="none" w:pos="480" w:val="left"/>
        </w:tabs>
        <w:numPr>
          <w:ilvl w:val="0"/>
          <w:numId w:val="43"/>
        </w:numPr>
        <w:rPr>
          <w:rFonts w:ascii="Calibri" w:cs="Calibri" w:eastAsia="Calibri" w:hAnsi="Calibri"/>
          <w:sz w:val="22"/>
          <w:szCs w:val="22"/>
          <w:color w:val="auto"/>
        </w:rPr>
      </w:pPr>
      <w:r>
        <w:rPr>
          <w:rFonts w:ascii="Calibri" w:cs="Calibri" w:eastAsia="Calibri" w:hAnsi="Calibri"/>
          <w:sz w:val="22"/>
          <w:szCs w:val="22"/>
          <w:color w:val="auto"/>
        </w:rPr>
        <w:t>The Commitee is delegated the authority to, and may from tme to tme, amend this Policy in its discreton, including to comply with (or maintain an exempton from the applicaton of) Secton 409A of the Code or as and when it determines that it is legally required to do so by any federal securites laws, SEC rule or the rules of any natonal securites exchange or natonal securites associaton on which the Company’s securites are listed.</w:t>
      </w:r>
    </w:p>
    <w:p>
      <w:pPr>
        <w:spacing w:after="0" w:line="163" w:lineRule="exact"/>
        <w:rPr>
          <w:rFonts w:ascii="Calibri" w:cs="Calibri" w:eastAsia="Calibri" w:hAnsi="Calibri"/>
          <w:sz w:val="22"/>
          <w:szCs w:val="22"/>
          <w:color w:val="auto"/>
        </w:rPr>
      </w:pPr>
    </w:p>
    <w:p>
      <w:pPr>
        <w:jc w:val="both"/>
        <w:ind w:left="480" w:right="80" w:hanging="478"/>
        <w:spacing w:after="0"/>
        <w:tabs>
          <w:tab w:leader="none" w:pos="480" w:val="left"/>
        </w:tabs>
        <w:numPr>
          <w:ilvl w:val="0"/>
          <w:numId w:val="43"/>
        </w:numPr>
        <w:rPr>
          <w:rFonts w:ascii="Calibri" w:cs="Calibri" w:eastAsia="Calibri" w:hAnsi="Calibri"/>
          <w:sz w:val="22"/>
          <w:szCs w:val="22"/>
          <w:color w:val="auto"/>
        </w:rPr>
      </w:pPr>
      <w:r>
        <w:rPr>
          <w:rFonts w:ascii="Calibri" w:cs="Calibri" w:eastAsia="Calibri" w:hAnsi="Calibri"/>
          <w:sz w:val="22"/>
          <w:szCs w:val="22"/>
          <w:color w:val="auto"/>
        </w:rPr>
        <w:t>This Policy shall be binding and enforceable against all Covered Ofcers and, to the extent required by applicable law or guidance from the SEC or NYSE, their benefciaries, heirs, executors, administrators or other legal representatves. The Board intends that this Policy will be applied to the fullest extent required by applicable law and the Dodd-Frank Rules. Any employment agreement, equity award agreement, compensatory plan or any other agreement or arrangement with a Covered Ofcer shall be deemed to include, as a conditon to the grant of any beneft thereunder, an agreement by the Covered Ofcer to abide by the terms of this Policy. Any right of recovery under this Policy is in additon to, and not in lieu of, any other remedies or rights of recovery that may be available to the Company under applicable law, regulaton or rule or pursuant to the terms of any policy of the Company or any provision in any employment agreement, equity award agreement, compensatory plan, agreement or other arrangement (the “</w:t>
      </w:r>
      <w:r>
        <w:rPr>
          <w:rFonts w:ascii="Calibri" w:cs="Calibri" w:eastAsia="Calibri" w:hAnsi="Calibri"/>
          <w:sz w:val="22"/>
          <w:szCs w:val="22"/>
          <w:b w:val="1"/>
          <w:bCs w:val="1"/>
          <w:u w:val="single" w:color="auto"/>
          <w:color w:val="auto"/>
        </w:rPr>
        <w:t>Separate Clawback Rights</w:t>
      </w:r>
      <w:r>
        <w:rPr>
          <w:rFonts w:ascii="Calibri" w:cs="Calibri" w:eastAsia="Calibri" w:hAnsi="Calibri"/>
          <w:sz w:val="22"/>
          <w:szCs w:val="22"/>
          <w:color w:val="auto"/>
        </w:rPr>
        <w:t>”). Notwithstanding the foregoing, there</w:t>
      </w:r>
    </w:p>
    <w:p>
      <w:pPr>
        <w:spacing w:after="0" w:line="2" w:lineRule="exact"/>
        <w:rPr>
          <w:sz w:val="20"/>
          <w:szCs w:val="20"/>
          <w:color w:val="auto"/>
        </w:rPr>
      </w:pPr>
    </w:p>
    <w:p>
      <w:pPr>
        <w:jc w:val="center"/>
        <w:ind w:right="340"/>
        <w:spacing w:after="0"/>
        <w:rPr>
          <w:sz w:val="20"/>
          <w:szCs w:val="20"/>
          <w:color w:val="auto"/>
        </w:rPr>
      </w:pPr>
      <w:r>
        <w:rPr>
          <w:rFonts w:ascii="Calibri" w:cs="Calibri" w:eastAsia="Calibri" w:hAnsi="Calibri"/>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948690</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700" w:top="762" w:right="379" w:bottom="1440" w:gutter="0" w:footer="0" w:header="0"/>
        </w:sectPr>
      </w:pPr>
    </w:p>
    <w:bookmarkStart w:id="158" w:name="page159"/>
    <w:bookmarkEnd w:id="158"/>
    <w:p>
      <w:pPr>
        <w:jc w:val="right"/>
        <w:spacing w:after="0"/>
        <w:rPr>
          <w:sz w:val="20"/>
          <w:szCs w:val="20"/>
          <w:color w:val="auto"/>
        </w:rPr>
      </w:pPr>
      <w:r>
        <w:rPr>
          <w:rFonts w:ascii="Calibri" w:cs="Calibri" w:eastAsia="Calibri" w:hAnsi="Calibri"/>
          <w:sz w:val="22"/>
          <w:szCs w:val="22"/>
          <w:b w:val="1"/>
          <w:bCs w:val="1"/>
          <w:color w:val="auto"/>
        </w:rPr>
        <w:t>EXHIBIT 97</w:t>
      </w:r>
    </w:p>
    <w:p>
      <w:pPr>
        <w:spacing w:after="0" w:line="200" w:lineRule="exact"/>
        <w:rPr>
          <w:sz w:val="20"/>
          <w:szCs w:val="20"/>
          <w:color w:val="auto"/>
        </w:rPr>
      </w:pPr>
    </w:p>
    <w:p>
      <w:pPr>
        <w:spacing w:after="0" w:line="339" w:lineRule="exact"/>
        <w:rPr>
          <w:sz w:val="20"/>
          <w:szCs w:val="20"/>
          <w:color w:val="auto"/>
        </w:rPr>
      </w:pPr>
    </w:p>
    <w:p>
      <w:pPr>
        <w:ind w:left="568" w:right="80"/>
        <w:spacing w:after="0" w:line="235" w:lineRule="auto"/>
        <w:rPr>
          <w:sz w:val="20"/>
          <w:szCs w:val="20"/>
          <w:color w:val="auto"/>
        </w:rPr>
      </w:pPr>
      <w:r>
        <w:rPr>
          <w:rFonts w:ascii="Calibri" w:cs="Calibri" w:eastAsia="Calibri" w:hAnsi="Calibri"/>
          <w:sz w:val="22"/>
          <w:szCs w:val="22"/>
          <w:color w:val="auto"/>
        </w:rPr>
        <w:t>shall be no duplicaton of recovery of the same Erroneously Awarded Compensaton under this Policy and the Separate Clawback Rights, unless required by applicable law.</w:t>
      </w:r>
    </w:p>
    <w:p>
      <w:pPr>
        <w:spacing w:after="0" w:line="149" w:lineRule="exact"/>
        <w:rPr>
          <w:sz w:val="20"/>
          <w:szCs w:val="20"/>
          <w:color w:val="auto"/>
        </w:rPr>
      </w:pPr>
    </w:p>
    <w:p>
      <w:pPr>
        <w:jc w:val="both"/>
        <w:ind w:left="548" w:right="80" w:hanging="458"/>
        <w:spacing w:after="0" w:line="239" w:lineRule="auto"/>
        <w:tabs>
          <w:tab w:leader="none" w:pos="548" w:val="left"/>
        </w:tabs>
        <w:numPr>
          <w:ilvl w:val="1"/>
          <w:numId w:val="44"/>
        </w:numPr>
        <w:rPr>
          <w:rFonts w:ascii="Calibri" w:cs="Calibri" w:eastAsia="Calibri" w:hAnsi="Calibri"/>
          <w:sz w:val="22"/>
          <w:szCs w:val="22"/>
          <w:color w:val="auto"/>
        </w:rPr>
      </w:pPr>
      <w:r>
        <w:rPr>
          <w:rFonts w:ascii="Calibri" w:cs="Calibri" w:eastAsia="Calibri" w:hAnsi="Calibri"/>
          <w:sz w:val="22"/>
          <w:szCs w:val="22"/>
          <w:color w:val="auto"/>
        </w:rPr>
        <w:t>The Company shall not be permited to insure or indemnify any Covered Ofcer against (i) the loss of any Erroneously Awarded Compensaton that is repaid, returned or recovered pursuant to the terms of this Policy, or (ii) any claims relatng to the Company’s enforcement of its rights under this Policy. Further, the Company shall not enter into any agreement that exempts any Incentve-Based Compensaton that is granted, paid or awarded to a Covered Ofcer from the applicaton of this Policy or that waives the Company’s right to recovery of any Erroneously Awarded Compensaton, and this Policy shall supersede any such agreement (whether entered into before, on or afer the Efectve Date).</w:t>
      </w:r>
    </w:p>
    <w:p>
      <w:pPr>
        <w:spacing w:after="0" w:line="166" w:lineRule="exact"/>
        <w:rPr>
          <w:rFonts w:ascii="Calibri" w:cs="Calibri" w:eastAsia="Calibri" w:hAnsi="Calibri"/>
          <w:sz w:val="22"/>
          <w:szCs w:val="22"/>
          <w:color w:val="auto"/>
        </w:rPr>
      </w:pPr>
    </w:p>
    <w:p>
      <w:pPr>
        <w:jc w:val="both"/>
        <w:ind w:left="568" w:right="80" w:hanging="478"/>
        <w:spacing w:after="0"/>
        <w:tabs>
          <w:tab w:leader="none" w:pos="568" w:val="left"/>
        </w:tabs>
        <w:numPr>
          <w:ilvl w:val="1"/>
          <w:numId w:val="44"/>
        </w:numPr>
        <w:rPr>
          <w:rFonts w:ascii="Calibri" w:cs="Calibri" w:eastAsia="Calibri" w:hAnsi="Calibri"/>
          <w:sz w:val="22"/>
          <w:szCs w:val="22"/>
          <w:color w:val="auto"/>
        </w:rPr>
      </w:pPr>
      <w:r>
        <w:rPr>
          <w:rFonts w:ascii="Calibri" w:cs="Calibri" w:eastAsia="Calibri" w:hAnsi="Calibri"/>
          <w:sz w:val="22"/>
          <w:szCs w:val="22"/>
          <w:color w:val="auto"/>
        </w:rPr>
        <w:t>This Policy and all rights and obligatons hereunder are governed by and construed in accordance with the internal laws of the State of North Carolina, excluding any choice of law rules or principles that may direct the applicaton of the laws of another jurisdicton. All actons arising out of or relatng to this Policy shall be heard and determined in the state and federal courts located in Wake County, North Carolina and each Covered Ofcer irrevocably consents and submits to the personal jurisdicton of any such court and waives any objecton to personal jurisdicton or to the laying of venue of any such suit, acton or proceeding brought in Wake County, North Carolina, including any claims relatng to the alleged inconvenience of such forum, and further agrees that the Company Group has the right to bring a legal acton against the Covered Ofcer in a state or federal court that has jurisdicton over such Covered Ofcer. The foregoing shall not limit the rights of the Company Group to obtain executon of judgment in any other jurisdicton.</w:t>
      </w:r>
    </w:p>
    <w:p>
      <w:pPr>
        <w:spacing w:after="0" w:line="149" w:lineRule="exact"/>
        <w:rPr>
          <w:rFonts w:ascii="Calibri" w:cs="Calibri" w:eastAsia="Calibri" w:hAnsi="Calibri"/>
          <w:sz w:val="22"/>
          <w:szCs w:val="22"/>
          <w:color w:val="auto"/>
        </w:rPr>
      </w:pPr>
    </w:p>
    <w:p>
      <w:pPr>
        <w:jc w:val="both"/>
        <w:ind w:left="568" w:right="80" w:hanging="478"/>
        <w:spacing w:after="0" w:line="238" w:lineRule="auto"/>
        <w:tabs>
          <w:tab w:leader="none" w:pos="568" w:val="left"/>
        </w:tabs>
        <w:numPr>
          <w:ilvl w:val="1"/>
          <w:numId w:val="44"/>
        </w:numPr>
        <w:rPr>
          <w:rFonts w:ascii="Calibri" w:cs="Calibri" w:eastAsia="Calibri" w:hAnsi="Calibri"/>
          <w:sz w:val="22"/>
          <w:szCs w:val="22"/>
          <w:color w:val="auto"/>
        </w:rPr>
      </w:pPr>
      <w:r>
        <w:rPr>
          <w:rFonts w:ascii="Calibri" w:cs="Calibri" w:eastAsia="Calibri" w:hAnsi="Calibri"/>
          <w:sz w:val="22"/>
          <w:szCs w:val="22"/>
          <w:color w:val="auto"/>
        </w:rPr>
        <w:t>The provisions in this Policy are intended to be applied to the fullest extent of the law. To the extent that any provision of this Policy is found to be unenforceable or invalid under any applicable law, such provision shall be applied to the maximum extent permited, and shall automatcally be deemed amended in a manner consistent with its objectves to the extent necessary to conform to any limitatons required under applicable law.</w:t>
      </w:r>
    </w:p>
    <w:p>
      <w:pPr>
        <w:spacing w:after="0" w:line="149" w:lineRule="exact"/>
        <w:rPr>
          <w:rFonts w:ascii="Calibri" w:cs="Calibri" w:eastAsia="Calibri" w:hAnsi="Calibri"/>
          <w:sz w:val="22"/>
          <w:szCs w:val="22"/>
          <w:color w:val="auto"/>
        </w:rPr>
      </w:pPr>
    </w:p>
    <w:p>
      <w:pPr>
        <w:jc w:val="both"/>
        <w:ind w:left="548" w:right="80" w:hanging="548"/>
        <w:spacing w:after="0" w:line="253" w:lineRule="auto"/>
        <w:tabs>
          <w:tab w:leader="none" w:pos="548" w:val="left"/>
        </w:tabs>
        <w:numPr>
          <w:ilvl w:val="0"/>
          <w:numId w:val="45"/>
        </w:numPr>
        <w:rPr>
          <w:rFonts w:ascii="Calibri" w:cs="Calibri" w:eastAsia="Calibri" w:hAnsi="Calibri"/>
          <w:sz w:val="21"/>
          <w:szCs w:val="21"/>
          <w:color w:val="auto"/>
        </w:rPr>
      </w:pPr>
      <w:r>
        <w:rPr>
          <w:rFonts w:ascii="Calibri" w:cs="Calibri" w:eastAsia="Calibri" w:hAnsi="Calibri"/>
          <w:sz w:val="21"/>
          <w:szCs w:val="21"/>
          <w:color w:val="auto"/>
        </w:rPr>
        <w:t>Except as provided by the Dodd-Frank Rules or other applicable SEC or NYSE regulatons or rules, and in additon to any other changes to the Company’s fnancial statements that, to the extent permited by this Policy, are determined by the Administrator not to be an Accountng Restatement, none of the following types of changes to the Company’s fnancial statements shall, in and of itself, consttute an Accountng Restatement for purposes of this Policy:</w:t>
      </w:r>
    </w:p>
    <w:p>
      <w:pPr>
        <w:spacing w:after="0" w:line="135" w:lineRule="exact"/>
        <w:rPr>
          <w:sz w:val="20"/>
          <w:szCs w:val="20"/>
          <w:color w:val="auto"/>
        </w:rPr>
      </w:pPr>
    </w:p>
    <w:p>
      <w:pPr>
        <w:ind w:left="1488" w:hanging="244"/>
        <w:spacing w:after="0"/>
        <w:tabs>
          <w:tab w:leader="none" w:pos="1488" w:val="left"/>
        </w:tabs>
        <w:numPr>
          <w:ilvl w:val="0"/>
          <w:numId w:val="46"/>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Retrospectve applicaton of a change in accountng principle;</w:t>
      </w:r>
    </w:p>
    <w:p>
      <w:pPr>
        <w:spacing w:after="0" w:line="148" w:lineRule="exact"/>
        <w:rPr>
          <w:rFonts w:ascii="Times New Roman" w:cs="Times New Roman" w:eastAsia="Times New Roman" w:hAnsi="Times New Roman"/>
          <w:sz w:val="22"/>
          <w:szCs w:val="22"/>
          <w:color w:val="auto"/>
        </w:rPr>
      </w:pPr>
    </w:p>
    <w:p>
      <w:pPr>
        <w:ind w:left="1488" w:right="80" w:hanging="244"/>
        <w:spacing w:after="0" w:line="235" w:lineRule="auto"/>
        <w:tabs>
          <w:tab w:leader="none" w:pos="1488" w:val="left"/>
        </w:tabs>
        <w:numPr>
          <w:ilvl w:val="0"/>
          <w:numId w:val="46"/>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Retrospectve revision to reportable segment informaton due to a change in the structure of an issuer’s internal organizaton;</w:t>
      </w:r>
    </w:p>
    <w:p>
      <w:pPr>
        <w:spacing w:after="0" w:line="150" w:lineRule="exact"/>
        <w:rPr>
          <w:rFonts w:ascii="Times New Roman" w:cs="Times New Roman" w:eastAsia="Times New Roman" w:hAnsi="Times New Roman"/>
          <w:sz w:val="22"/>
          <w:szCs w:val="22"/>
          <w:color w:val="auto"/>
        </w:rPr>
      </w:pPr>
    </w:p>
    <w:p>
      <w:pPr>
        <w:ind w:left="1488" w:hanging="244"/>
        <w:spacing w:after="0"/>
        <w:tabs>
          <w:tab w:leader="none" w:pos="1488" w:val="left"/>
        </w:tabs>
        <w:numPr>
          <w:ilvl w:val="0"/>
          <w:numId w:val="46"/>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Retrospectve reclassifcaton due to a discontnued operaton;</w:t>
      </w:r>
    </w:p>
    <w:p>
      <w:pPr>
        <w:spacing w:after="0" w:line="1" w:lineRule="exact"/>
        <w:rPr>
          <w:sz w:val="20"/>
          <w:szCs w:val="20"/>
          <w:color w:val="auto"/>
        </w:rPr>
      </w:pPr>
    </w:p>
    <w:p>
      <w:pPr>
        <w:jc w:val="center"/>
        <w:ind w:right="232"/>
        <w:spacing w:after="0"/>
        <w:rPr>
          <w:sz w:val="20"/>
          <w:szCs w:val="20"/>
          <w:color w:val="auto"/>
        </w:rPr>
      </w:pPr>
      <w:r>
        <w:rPr>
          <w:rFonts w:ascii="Calibri" w:cs="Calibri" w:eastAsia="Calibri" w:hAnsi="Calibri"/>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-192405</wp:posOffset>
            </wp:positionH>
            <wp:positionV relativeFrom="paragraph">
              <wp:posOffset>948690</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12" w:top="762" w:right="379" w:bottom="1440" w:gutter="0" w:footer="0" w:header="0"/>
        </w:sectPr>
      </w:pPr>
    </w:p>
    <w:bookmarkStart w:id="159" w:name="page160"/>
    <w:bookmarkEnd w:id="159"/>
    <w:p>
      <w:pPr>
        <w:jc w:val="right"/>
        <w:spacing w:after="0"/>
        <w:rPr>
          <w:sz w:val="20"/>
          <w:szCs w:val="20"/>
          <w:color w:val="auto"/>
        </w:rPr>
      </w:pPr>
      <w:r>
        <w:rPr>
          <w:rFonts w:ascii="Calibri" w:cs="Calibri" w:eastAsia="Calibri" w:hAnsi="Calibri"/>
          <w:sz w:val="22"/>
          <w:szCs w:val="22"/>
          <w:b w:val="1"/>
          <w:bCs w:val="1"/>
          <w:color w:val="auto"/>
        </w:rPr>
        <w:t>EXHIBIT 97</w:t>
      </w:r>
    </w:p>
    <w:p>
      <w:pPr>
        <w:spacing w:after="0" w:line="200" w:lineRule="exact"/>
        <w:rPr>
          <w:sz w:val="20"/>
          <w:szCs w:val="20"/>
          <w:color w:val="auto"/>
        </w:rPr>
      </w:pPr>
    </w:p>
    <w:p>
      <w:pPr>
        <w:spacing w:after="0" w:line="325" w:lineRule="exact"/>
        <w:rPr>
          <w:sz w:val="20"/>
          <w:szCs w:val="20"/>
          <w:color w:val="auto"/>
        </w:rPr>
      </w:pPr>
    </w:p>
    <w:p>
      <w:pPr>
        <w:ind w:left="660" w:right="80" w:hanging="244"/>
        <w:spacing w:after="0" w:line="235" w:lineRule="auto"/>
        <w:tabs>
          <w:tab w:leader="none" w:pos="660" w:val="left"/>
        </w:tabs>
        <w:numPr>
          <w:ilvl w:val="0"/>
          <w:numId w:val="47"/>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Retrospectve applicaton of a change in reportng entty, such as from a reorganizaton of enttes under common control;</w:t>
      </w:r>
    </w:p>
    <w:p>
      <w:pPr>
        <w:spacing w:after="0" w:line="162" w:lineRule="exact"/>
        <w:rPr>
          <w:rFonts w:ascii="Times New Roman" w:cs="Times New Roman" w:eastAsia="Times New Roman" w:hAnsi="Times New Roman"/>
          <w:sz w:val="22"/>
          <w:szCs w:val="22"/>
          <w:color w:val="auto"/>
        </w:rPr>
      </w:pPr>
    </w:p>
    <w:p>
      <w:pPr>
        <w:ind w:left="660" w:right="80" w:hanging="244"/>
        <w:spacing w:after="0" w:line="235" w:lineRule="auto"/>
        <w:tabs>
          <w:tab w:leader="none" w:pos="660" w:val="left"/>
        </w:tabs>
        <w:numPr>
          <w:ilvl w:val="0"/>
          <w:numId w:val="47"/>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Retrospectve adjustment to provisional amounts in connecton with a prior business combinaton if the Company applies Internatonal Financial Reportng Standards; or</w:t>
      </w:r>
    </w:p>
    <w:p>
      <w:pPr>
        <w:spacing w:after="0" w:line="149" w:lineRule="exact"/>
        <w:rPr>
          <w:rFonts w:ascii="Times New Roman" w:cs="Times New Roman" w:eastAsia="Times New Roman" w:hAnsi="Times New Roman"/>
          <w:sz w:val="22"/>
          <w:szCs w:val="22"/>
          <w:color w:val="auto"/>
        </w:rPr>
      </w:pPr>
    </w:p>
    <w:p>
      <w:pPr>
        <w:ind w:left="660" w:right="80" w:hanging="244"/>
        <w:spacing w:after="0" w:line="235" w:lineRule="auto"/>
        <w:tabs>
          <w:tab w:leader="none" w:pos="740" w:val="left"/>
        </w:tabs>
        <w:numPr>
          <w:ilvl w:val="0"/>
          <w:numId w:val="47"/>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Retrospectve revision for stock splits, reverse stock splits, stock dividends or other changes in capital structure.</w:t>
      </w:r>
    </w:p>
    <w:p>
      <w:pPr>
        <w:spacing w:after="0" w:line="200" w:lineRule="exact"/>
        <w:rPr>
          <w:sz w:val="20"/>
          <w:szCs w:val="20"/>
          <w:color w:val="auto"/>
        </w:rPr>
      </w:pPr>
    </w:p>
    <w:p>
      <w:pPr>
        <w:spacing w:after="0" w:line="236" w:lineRule="exact"/>
        <w:rPr>
          <w:sz w:val="20"/>
          <w:szCs w:val="20"/>
          <w:color w:val="auto"/>
        </w:rPr>
      </w:pPr>
    </w:p>
    <w:p>
      <w:pPr>
        <w:ind w:left="4440"/>
        <w:spacing w:after="0"/>
        <w:rPr>
          <w:sz w:val="20"/>
          <w:szCs w:val="20"/>
          <w:color w:val="auto"/>
        </w:rPr>
      </w:pPr>
      <w:r>
        <w:rPr>
          <w:rFonts w:ascii="Calibri" w:cs="Calibri" w:eastAsia="Calibri" w:hAnsi="Calibri"/>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947420</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762" w:right="379" w:bottom="1440" w:gutter="0" w:footer="0" w:header="0"/>
        </w:sectPr>
      </w:pPr>
    </w:p>
    <w:bookmarkStart w:id="160" w:name="page161"/>
    <w:bookmarkEnd w:id="1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
      <w:numFmt w:val="bullet"/>
      <w:start w:val="1"/>
    </w:lvl>
    <w:lvl w:ilvl="1">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lvl w:ilvl="1">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upperLetter"/>
      <w:start w:val="65"/>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22"/>
    </w:lvl>
  </w:abstractNum>
  <w:abstractNum w:abstractNumId="28">
    <w:nsid w:val="5C482A97"/>
    <w:multiLevelType w:val="hybridMultilevel"/>
    <w:lvl w:ilvl="0">
      <w:lvlJc w:val="left"/>
      <w:lvlText w:val="[%1]"/>
      <w:numFmt w:val="decimal"/>
      <w:start w:val="44"/>
    </w:lvl>
  </w:abstractNum>
  <w:abstractNum w:abstractNumId="29">
    <w:nsid w:val="2463B9EA"/>
    <w:multiLevelType w:val="hybridMultilevel"/>
    <w:lvl w:ilvl="0">
      <w:lvlJc w:val="left"/>
      <w:lvlText w:val="%1."/>
      <w:numFmt w:val="decimal"/>
      <w:start w:val="1"/>
    </w:lvl>
    <w:lvl w:ilvl="1">
      <w:lvlJc w:val="left"/>
      <w:lvlText w:val="(%2)"/>
      <w:numFmt w:val="lowerLetter"/>
      <w:start w:val="1"/>
    </w:lvl>
  </w:abstractNum>
  <w:abstractNum w:abstractNumId="30">
    <w:nsid w:val="5E884ADC"/>
    <w:multiLevelType w:val="hybridMultilevel"/>
    <w:lvl w:ilvl="0">
      <w:lvlJc w:val="left"/>
      <w:lvlText w:val="%1."/>
      <w:numFmt w:val="decimal"/>
      <w:start w:val="5"/>
    </w:lvl>
    <w:lvl w:ilvl="1">
      <w:lvlJc w:val="left"/>
      <w:lvlText w:val="(%2)"/>
      <w:numFmt w:val="lowerLetter"/>
      <w:start w:val="1"/>
    </w:lvl>
  </w:abstractNum>
  <w:abstractNum w:abstractNumId="31">
    <w:nsid w:val="51EAD36B"/>
    <w:multiLevelType w:val="hybridMultilevel"/>
    <w:lvl w:ilvl="0">
      <w:lvlJc w:val="left"/>
      <w:lvlText w:val="%1."/>
      <w:numFmt w:val="decimal"/>
      <w:start w:val="1"/>
    </w:lvl>
    <w:lvl w:ilvl="1">
      <w:lvlJc w:val="left"/>
      <w:lvlText w:val="(%2)"/>
      <w:numFmt w:val="lowerLetter"/>
      <w:start w:val="1"/>
    </w:lvl>
  </w:abstractNum>
  <w:abstractNum w:abstractNumId="32">
    <w:nsid w:val="2D517796"/>
    <w:multiLevelType w:val="hybridMultilevel"/>
    <w:lvl w:ilvl="0">
      <w:lvlJc w:val="left"/>
      <w:lvlText w:val="%1."/>
      <w:numFmt w:val="decimal"/>
      <w:start w:val="5"/>
    </w:lvl>
    <w:lvl w:ilvl="1">
      <w:lvlJc w:val="left"/>
      <w:lvlText w:val="(%2)"/>
      <w:numFmt w:val="lowerLetter"/>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2"/>
    </w:lvl>
  </w:abstractNum>
  <w:abstractNum w:abstractNumId="39">
    <w:nsid w:val="1D4ED43B"/>
    <w:multiLevelType w:val="hybridMultilevel"/>
    <w:lvl w:ilvl="0">
      <w:lvlJc w:val="left"/>
      <w:lvlText w:val="%1."/>
      <w:numFmt w:val="decimal"/>
      <w:start w:val="3"/>
    </w:lvl>
  </w:abstractNum>
  <w:abstractNum w:abstractNumId="40">
    <w:nsid w:val="725A06FB"/>
    <w:multiLevelType w:val="hybridMultilevel"/>
    <w:lvl w:ilvl="0">
      <w:lvlJc w:val="left"/>
      <w:lvlText w:val="%1."/>
      <w:numFmt w:val="decimal"/>
      <w:start w:val="4"/>
    </w:lvl>
    <w:lvl w:ilvl="1">
      <w:lvlJc w:val="left"/>
      <w:lvlText w:val="(%2)"/>
      <w:numFmt w:val="lowerRoman"/>
      <w:start w:val="1"/>
    </w:lvl>
  </w:abstractNum>
  <w:abstractNum w:abstractNumId="41">
    <w:nsid w:val="2CD89A32"/>
    <w:multiLevelType w:val="hybridMultilevel"/>
    <w:lvl w:ilvl="0">
      <w:lvlJc w:val="left"/>
      <w:lvlText w:val="%1."/>
      <w:numFmt w:val="decimal"/>
      <w:start w:val="7"/>
    </w:lvl>
  </w:abstractNum>
  <w:abstractNum w:abstractNumId="42">
    <w:nsid w:val="57E4CCAF"/>
    <w:multiLevelType w:val="hybridMultilevel"/>
    <w:lvl w:ilvl="0">
      <w:lvlJc w:val="left"/>
      <w:lvlText w:val="%1."/>
      <w:numFmt w:val="decimal"/>
      <w:start w:val="12"/>
    </w:lvl>
  </w:abstractNum>
  <w:abstractNum w:abstractNumId="43">
    <w:nsid w:val="7A6D8D3C"/>
    <w:multiLevelType w:val="hybridMultilevel"/>
    <w:lvl w:ilvl="0">
      <w:lvlJc w:val="left"/>
      <w:lvlText w:val="%1"/>
      <w:numFmt w:val="decimal"/>
      <w:start w:val="1"/>
    </w:lvl>
    <w:lvl w:ilvl="1">
      <w:lvlJc w:val="left"/>
      <w:lvlText w:val="%2."/>
      <w:numFmt w:val="decimal"/>
      <w:start w:val="18"/>
    </w:lvl>
  </w:abstractNum>
  <w:abstractNum w:abstractNumId="44">
    <w:nsid w:val="4B588F54"/>
    <w:multiLevelType w:val="hybridMultilevel"/>
    <w:lvl w:ilvl="0">
      <w:lvlJc w:val="left"/>
      <w:lvlText w:val="%1."/>
      <w:numFmt w:val="decimal"/>
      <w:start w:val="21"/>
    </w:lvl>
    <w:lvl w:ilvl="1">
      <w:lvlJc w:val="left"/>
      <w:lvlText w:val="%2"/>
      <w:numFmt w:val="decimal"/>
      <w:start w:val="1"/>
    </w:lvl>
  </w:abstractNum>
  <w:abstractNum w:abstractNumId="45">
    <w:nsid w:val="542289EC"/>
    <w:multiLevelType w:val="hybridMultilevel"/>
    <w:lvl w:ilvl="0">
      <w:lvlJc w:val="left"/>
      <w:lvlText w:val="o"/>
      <w:numFmt w:val="bullet"/>
      <w:start w:val="1"/>
    </w:lvl>
  </w:abstractNum>
  <w:abstractNum w:abstractNumId="46">
    <w:nsid w:val="6DE91B18"/>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jpe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jpe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jpeg"/><Relationship Id="rId260" Type="http://schemas.openxmlformats.org/officeDocument/2006/relationships/image" Target="media/image252.png"/><Relationship Id="rId261" Type="http://schemas.openxmlformats.org/officeDocument/2006/relationships/image" Target="media/image253.jpeg"/><Relationship Id="rId262" Type="http://schemas.openxmlformats.org/officeDocument/2006/relationships/image" Target="media/image254.png"/><Relationship Id="rId263" Type="http://schemas.openxmlformats.org/officeDocument/2006/relationships/image" Target="media/image255.jpeg"/><Relationship Id="rId264" Type="http://schemas.openxmlformats.org/officeDocument/2006/relationships/image" Target="media/image256.jpeg"/><Relationship Id="rId265" Type="http://schemas.openxmlformats.org/officeDocument/2006/relationships/image" Target="media/image257.png"/><Relationship Id="rId266" Type="http://schemas.openxmlformats.org/officeDocument/2006/relationships/image" Target="media/image258.jpeg"/><Relationship Id="rId267" Type="http://schemas.openxmlformats.org/officeDocument/2006/relationships/image" Target="media/image259.png"/><Relationship Id="rId268" Type="http://schemas.openxmlformats.org/officeDocument/2006/relationships/image" Target="media/image260.jpeg"/><Relationship Id="rId269" Type="http://schemas.openxmlformats.org/officeDocument/2006/relationships/image" Target="media/image261.png"/><Relationship Id="rId270" Type="http://schemas.openxmlformats.org/officeDocument/2006/relationships/image" Target="media/image262.jpeg"/><Relationship Id="rId271" Type="http://schemas.openxmlformats.org/officeDocument/2006/relationships/image" Target="media/image263.png"/><Relationship Id="rId272" Type="http://schemas.openxmlformats.org/officeDocument/2006/relationships/image" Target="media/image264.jpeg"/><Relationship Id="rId273" Type="http://schemas.openxmlformats.org/officeDocument/2006/relationships/image" Target="media/image265.png"/><Relationship Id="rId274" Type="http://schemas.openxmlformats.org/officeDocument/2006/relationships/image" Target="media/image266.jpeg"/><Relationship Id="rId275" Type="http://schemas.openxmlformats.org/officeDocument/2006/relationships/image" Target="media/image267.png"/><Relationship Id="rId276" Type="http://schemas.openxmlformats.org/officeDocument/2006/relationships/image" Target="media/image268.jpeg"/><Relationship Id="rId277" Type="http://schemas.openxmlformats.org/officeDocument/2006/relationships/image" Target="media/image269.png"/><Relationship Id="rId278" Type="http://schemas.openxmlformats.org/officeDocument/2006/relationships/image" Target="media/image270.jpeg"/><Relationship Id="rId279" Type="http://schemas.openxmlformats.org/officeDocument/2006/relationships/image" Target="media/image271.png"/><Relationship Id="rId280" Type="http://schemas.openxmlformats.org/officeDocument/2006/relationships/image" Target="media/image272.jpeg"/><Relationship Id="rId281" Type="http://schemas.openxmlformats.org/officeDocument/2006/relationships/image" Target="media/image273.png"/><Relationship Id="rId282" Type="http://schemas.openxmlformats.org/officeDocument/2006/relationships/image" Target="media/image274.jpe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jpeg"/><Relationship Id="rId288" Type="http://schemas.openxmlformats.org/officeDocument/2006/relationships/image" Target="media/image280.png"/><Relationship Id="rId289" Type="http://schemas.openxmlformats.org/officeDocument/2006/relationships/image" Target="media/image281.jpeg"/><Relationship Id="rId290" Type="http://schemas.openxmlformats.org/officeDocument/2006/relationships/image" Target="media/image282.png"/><Relationship Id="rId291" Type="http://schemas.openxmlformats.org/officeDocument/2006/relationships/image" Target="media/image283.jpeg"/><Relationship Id="rId292" Type="http://schemas.openxmlformats.org/officeDocument/2006/relationships/image" Target="media/image284.png"/><Relationship Id="rId293" Type="http://schemas.openxmlformats.org/officeDocument/2006/relationships/image" Target="media/image285.jpeg"/><Relationship Id="rId294" Type="http://schemas.openxmlformats.org/officeDocument/2006/relationships/image" Target="media/image286.png"/><Relationship Id="rId295" Type="http://schemas.openxmlformats.org/officeDocument/2006/relationships/image" Target="media/image287.jpeg"/><Relationship Id="rId296" Type="http://schemas.openxmlformats.org/officeDocument/2006/relationships/image" Target="media/image288.jpeg"/><Relationship Id="rId297" Type="http://schemas.openxmlformats.org/officeDocument/2006/relationships/image" Target="media/image289.jpeg"/><Relationship Id="rId298" Type="http://schemas.openxmlformats.org/officeDocument/2006/relationships/image" Target="media/image290.png"/><Relationship Id="rId299" Type="http://schemas.openxmlformats.org/officeDocument/2006/relationships/image" Target="media/image291.jpeg"/><Relationship Id="rId300" Type="http://schemas.openxmlformats.org/officeDocument/2006/relationships/image" Target="media/image292.png"/><Relationship Id="rId301" Type="http://schemas.openxmlformats.org/officeDocument/2006/relationships/image" Target="media/image293.jpeg"/><Relationship Id="rId302" Type="http://schemas.openxmlformats.org/officeDocument/2006/relationships/image" Target="media/image294.png"/><Relationship Id="rId303" Type="http://schemas.openxmlformats.org/officeDocument/2006/relationships/image" Target="media/image295.jpeg"/><Relationship Id="rId304" Type="http://schemas.openxmlformats.org/officeDocument/2006/relationships/image" Target="media/image296.png"/><Relationship Id="rId305" Type="http://schemas.openxmlformats.org/officeDocument/2006/relationships/image" Target="media/image297.jpeg"/><Relationship Id="rId306" Type="http://schemas.openxmlformats.org/officeDocument/2006/relationships/image" Target="media/image298.png"/><Relationship Id="rId307" Type="http://schemas.openxmlformats.org/officeDocument/2006/relationships/image" Target="media/image299.jpeg"/><Relationship Id="rId308" Type="http://schemas.openxmlformats.org/officeDocument/2006/relationships/image" Target="media/image300.png"/><Relationship Id="rId309" Type="http://schemas.openxmlformats.org/officeDocument/2006/relationships/image" Target="media/image301.jpe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jpeg"/><Relationship Id="rId313" Type="http://schemas.openxmlformats.org/officeDocument/2006/relationships/image" Target="media/image305.png"/><Relationship Id="rId314" Type="http://schemas.openxmlformats.org/officeDocument/2006/relationships/image" Target="media/image306.jpe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jpe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jpeg"/><Relationship Id="rId323" Type="http://schemas.openxmlformats.org/officeDocument/2006/relationships/image" Target="media/image315.png"/><Relationship Id="rId324" Type="http://schemas.openxmlformats.org/officeDocument/2006/relationships/image" Target="media/image316.jpeg"/><Relationship Id="rId325" Type="http://schemas.openxmlformats.org/officeDocument/2006/relationships/image" Target="media/image317.png"/><Relationship Id="rId326" Type="http://schemas.openxmlformats.org/officeDocument/2006/relationships/image" Target="media/image318.jpe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jpe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jpeg"/><Relationship Id="rId364" Type="http://schemas.openxmlformats.org/officeDocument/2006/relationships/image" Target="media/image356.png"/><Relationship Id="rId365" Type="http://schemas.openxmlformats.org/officeDocument/2006/relationships/image" Target="media/image357.jpe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jpe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jpe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jpe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jpe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jpe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jpe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jpe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jpe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jpe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jpe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jpe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jpe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jpe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jpe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jpe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jpe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jpe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jpe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jpe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jpe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jpeg"/><Relationship Id="rId611"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4" Type="http://schemas.openxmlformats.org/officeDocument/2006/relationships/image" Target="media/image606.pn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3" Type="http://schemas.openxmlformats.org/officeDocument/2006/relationships/image" Target="media/image615.png"/><Relationship Id="rId624" Type="http://schemas.openxmlformats.org/officeDocument/2006/relationships/image" Target="media/image616.png"/><Relationship Id="rId625" Type="http://schemas.openxmlformats.org/officeDocument/2006/relationships/image" Target="media/image617.png"/><Relationship Id="rId626" Type="http://schemas.openxmlformats.org/officeDocument/2006/relationships/image" Target="media/image618.png"/><Relationship Id="rId627" Type="http://schemas.openxmlformats.org/officeDocument/2006/relationships/image" Target="media/image619.png"/><Relationship Id="rId628" Type="http://schemas.openxmlformats.org/officeDocument/2006/relationships/image" Target="media/image620.png"/><Relationship Id="rId629" Type="http://schemas.openxmlformats.org/officeDocument/2006/relationships/image" Target="media/image621.png"/><Relationship Id="rId630" Type="http://schemas.openxmlformats.org/officeDocument/2006/relationships/image" Target="media/image622.png"/><Relationship Id="rId631" Type="http://schemas.openxmlformats.org/officeDocument/2006/relationships/image" Target="media/image623.png"/><Relationship Id="rId632" Type="http://schemas.openxmlformats.org/officeDocument/2006/relationships/image" Target="media/image624.png"/><Relationship Id="rId633" Type="http://schemas.openxmlformats.org/officeDocument/2006/relationships/image" Target="media/image625.png"/><Relationship Id="rId634" Type="http://schemas.openxmlformats.org/officeDocument/2006/relationships/image" Target="media/image626.png"/><Relationship Id="rId635" Type="http://schemas.openxmlformats.org/officeDocument/2006/relationships/image" Target="media/image627.png"/><Relationship Id="rId636" Type="http://schemas.openxmlformats.org/officeDocument/2006/relationships/image" Target="media/image628.png"/><Relationship Id="rId637" Type="http://schemas.openxmlformats.org/officeDocument/2006/relationships/image" Target="media/image629.png"/><Relationship Id="rId638" Type="http://schemas.openxmlformats.org/officeDocument/2006/relationships/image" Target="media/image630.png"/><Relationship Id="rId639" Type="http://schemas.openxmlformats.org/officeDocument/2006/relationships/image" Target="media/image631.jpeg"/><Relationship Id="rId640" Type="http://schemas.openxmlformats.org/officeDocument/2006/relationships/image" Target="media/image632.png"/><Relationship Id="rId641" Type="http://schemas.openxmlformats.org/officeDocument/2006/relationships/image" Target="media/image633.png"/><Relationship Id="rId642" Type="http://schemas.openxmlformats.org/officeDocument/2006/relationships/image" Target="media/image634.png"/><Relationship Id="rId643" Type="http://schemas.openxmlformats.org/officeDocument/2006/relationships/image" Target="media/image635.png"/><Relationship Id="rId644" Type="http://schemas.openxmlformats.org/officeDocument/2006/relationships/image" Target="media/image636.png"/><Relationship Id="rId645" Type="http://schemas.openxmlformats.org/officeDocument/2006/relationships/image" Target="media/image637.png"/><Relationship Id="rId646" Type="http://schemas.openxmlformats.org/officeDocument/2006/relationships/image" Target="media/image638.png"/><Relationship Id="rId647" Type="http://schemas.openxmlformats.org/officeDocument/2006/relationships/image" Target="media/image639.png"/><Relationship Id="rId648" Type="http://schemas.openxmlformats.org/officeDocument/2006/relationships/image" Target="media/image640.png"/><Relationship Id="rId649" Type="http://schemas.openxmlformats.org/officeDocument/2006/relationships/image" Target="media/image641.png"/><Relationship Id="rId650" Type="http://schemas.openxmlformats.org/officeDocument/2006/relationships/image" Target="media/image642.png"/><Relationship Id="rId651" Type="http://schemas.openxmlformats.org/officeDocument/2006/relationships/image" Target="media/image643.png"/><Relationship Id="rId652" Type="http://schemas.openxmlformats.org/officeDocument/2006/relationships/image" Target="media/image644.png"/><Relationship Id="rId653" Type="http://schemas.openxmlformats.org/officeDocument/2006/relationships/image" Target="media/image645.png"/><Relationship Id="rId654" Type="http://schemas.openxmlformats.org/officeDocument/2006/relationships/image" Target="media/image646.png"/><Relationship Id="rId655" Type="http://schemas.openxmlformats.org/officeDocument/2006/relationships/image" Target="media/image647.png"/><Relationship Id="rId656" Type="http://schemas.openxmlformats.org/officeDocument/2006/relationships/image" Target="media/image648.png"/><Relationship Id="rId657" Type="http://schemas.openxmlformats.org/officeDocument/2006/relationships/image" Target="media/image649.png"/><Relationship Id="rId658" Type="http://schemas.openxmlformats.org/officeDocument/2006/relationships/image" Target="media/image650.png"/><Relationship Id="rId659" Type="http://schemas.openxmlformats.org/officeDocument/2006/relationships/image" Target="media/image651.png"/><Relationship Id="rId660" Type="http://schemas.openxmlformats.org/officeDocument/2006/relationships/image" Target="media/image652.png"/><Relationship Id="rId661" Type="http://schemas.openxmlformats.org/officeDocument/2006/relationships/image" Target="media/image653.png"/><Relationship Id="rId662" Type="http://schemas.openxmlformats.org/officeDocument/2006/relationships/image" Target="media/image654.png"/><Relationship Id="rId663" Type="http://schemas.openxmlformats.org/officeDocument/2006/relationships/image" Target="media/image655.png"/><Relationship Id="rId664" Type="http://schemas.openxmlformats.org/officeDocument/2006/relationships/image" Target="media/image656.png"/><Relationship Id="rId665" Type="http://schemas.openxmlformats.org/officeDocument/2006/relationships/image" Target="media/image657.png"/><Relationship Id="rId666" Type="http://schemas.openxmlformats.org/officeDocument/2006/relationships/image" Target="media/image658.png"/><Relationship Id="rId667" Type="http://schemas.openxmlformats.org/officeDocument/2006/relationships/image" Target="media/image659.png"/><Relationship Id="rId668" Type="http://schemas.openxmlformats.org/officeDocument/2006/relationships/image" Target="media/image660.jpeg"/><Relationship Id="rId669" Type="http://schemas.openxmlformats.org/officeDocument/2006/relationships/image" Target="media/image661.png"/><Relationship Id="rId670" Type="http://schemas.openxmlformats.org/officeDocument/2006/relationships/image" Target="media/image662.png"/><Relationship Id="rId671" Type="http://schemas.openxmlformats.org/officeDocument/2006/relationships/image" Target="media/image663.png"/><Relationship Id="rId672" Type="http://schemas.openxmlformats.org/officeDocument/2006/relationships/image" Target="media/image664.png"/><Relationship Id="rId673" Type="http://schemas.openxmlformats.org/officeDocument/2006/relationships/image" Target="media/image665.png"/><Relationship Id="rId674" Type="http://schemas.openxmlformats.org/officeDocument/2006/relationships/image" Target="media/image666.png"/><Relationship Id="rId675" Type="http://schemas.openxmlformats.org/officeDocument/2006/relationships/image" Target="media/image667.png"/><Relationship Id="rId676" Type="http://schemas.openxmlformats.org/officeDocument/2006/relationships/image" Target="media/image668.png"/><Relationship Id="rId677" Type="http://schemas.openxmlformats.org/officeDocument/2006/relationships/image" Target="media/image669.png"/><Relationship Id="rId678" Type="http://schemas.openxmlformats.org/officeDocument/2006/relationships/image" Target="media/image670.png"/><Relationship Id="rId679" Type="http://schemas.openxmlformats.org/officeDocument/2006/relationships/image" Target="media/image671.png"/><Relationship Id="rId680" Type="http://schemas.openxmlformats.org/officeDocument/2006/relationships/image" Target="media/image672.png"/><Relationship Id="rId681" Type="http://schemas.openxmlformats.org/officeDocument/2006/relationships/image" Target="media/image673.png"/><Relationship Id="rId682" Type="http://schemas.openxmlformats.org/officeDocument/2006/relationships/image" Target="media/image674.png"/><Relationship Id="rId683" Type="http://schemas.openxmlformats.org/officeDocument/2006/relationships/image" Target="media/image675.png"/><Relationship Id="rId684" Type="http://schemas.openxmlformats.org/officeDocument/2006/relationships/image" Target="media/image676.png"/><Relationship Id="rId685" Type="http://schemas.openxmlformats.org/officeDocument/2006/relationships/image" Target="media/image677.jpeg"/><Relationship Id="rId686" Type="http://schemas.openxmlformats.org/officeDocument/2006/relationships/image" Target="media/image678.png"/><Relationship Id="rId687" Type="http://schemas.openxmlformats.org/officeDocument/2006/relationships/image" Target="media/image679.png"/><Relationship Id="rId688" Type="http://schemas.openxmlformats.org/officeDocument/2006/relationships/image" Target="media/image680.png"/><Relationship Id="rId689" Type="http://schemas.openxmlformats.org/officeDocument/2006/relationships/image" Target="media/image681.png"/><Relationship Id="rId690" Type="http://schemas.openxmlformats.org/officeDocument/2006/relationships/image" Target="media/image682.png"/><Relationship Id="rId691" Type="http://schemas.openxmlformats.org/officeDocument/2006/relationships/image" Target="media/image683.png"/><Relationship Id="rId692" Type="http://schemas.openxmlformats.org/officeDocument/2006/relationships/image" Target="media/image684.png"/><Relationship Id="rId693" Type="http://schemas.openxmlformats.org/officeDocument/2006/relationships/image" Target="media/image685.png"/><Relationship Id="rId694" Type="http://schemas.openxmlformats.org/officeDocument/2006/relationships/image" Target="media/image686.png"/><Relationship Id="rId695" Type="http://schemas.openxmlformats.org/officeDocument/2006/relationships/image" Target="media/image687.jpeg"/><Relationship Id="rId696" Type="http://schemas.openxmlformats.org/officeDocument/2006/relationships/image" Target="media/image688.png"/><Relationship Id="rId697" Type="http://schemas.openxmlformats.org/officeDocument/2006/relationships/image" Target="media/image689.jpeg"/><Relationship Id="rId698" Type="http://schemas.openxmlformats.org/officeDocument/2006/relationships/image" Target="media/image690.png"/><Relationship Id="rId699" Type="http://schemas.openxmlformats.org/officeDocument/2006/relationships/image" Target="media/image691.png"/><Relationship Id="rId700" Type="http://schemas.openxmlformats.org/officeDocument/2006/relationships/image" Target="media/image692.png"/><Relationship Id="rId701" Type="http://schemas.openxmlformats.org/officeDocument/2006/relationships/image" Target="media/image693.png"/><Relationship Id="rId702" Type="http://schemas.openxmlformats.org/officeDocument/2006/relationships/image" Target="media/image694.jpeg"/><Relationship Id="rId703" Type="http://schemas.openxmlformats.org/officeDocument/2006/relationships/image" Target="media/image695.png"/><Relationship Id="rId704" Type="http://schemas.openxmlformats.org/officeDocument/2006/relationships/image" Target="media/image696.jpeg"/><Relationship Id="rId705" Type="http://schemas.openxmlformats.org/officeDocument/2006/relationships/image" Target="media/image697.png"/><Relationship Id="rId706" Type="http://schemas.openxmlformats.org/officeDocument/2006/relationships/image" Target="media/image698.png"/><Relationship Id="rId707" Type="http://schemas.openxmlformats.org/officeDocument/2006/relationships/image" Target="media/image699.png"/><Relationship Id="rId708" Type="http://schemas.openxmlformats.org/officeDocument/2006/relationships/image" Target="media/image700.png"/><Relationship Id="rId709" Type="http://schemas.openxmlformats.org/officeDocument/2006/relationships/image" Target="media/image701.jpeg"/><Relationship Id="rId710" Type="http://schemas.openxmlformats.org/officeDocument/2006/relationships/image" Target="media/image702.png"/><Relationship Id="rId711" Type="http://schemas.openxmlformats.org/officeDocument/2006/relationships/image" Target="media/image703.png"/><Relationship Id="rId712" Type="http://schemas.openxmlformats.org/officeDocument/2006/relationships/image" Target="media/image704.png"/><Relationship Id="rId713" Type="http://schemas.openxmlformats.org/officeDocument/2006/relationships/image" Target="media/image705.png"/><Relationship Id="rId714" Type="http://schemas.openxmlformats.org/officeDocument/2006/relationships/image" Target="media/image706.png"/><Relationship Id="rId718" Type="http://schemas.openxmlformats.org/officeDocument/2006/relationships/image" Target="media/image707.png"/><Relationship Id="rId719" Type="http://schemas.openxmlformats.org/officeDocument/2006/relationships/image" Target="media/image708.png"/><Relationship Id="rId720" Type="http://schemas.openxmlformats.org/officeDocument/2006/relationships/image" Target="media/image709.jpeg"/><Relationship Id="rId730" Type="http://schemas.openxmlformats.org/officeDocument/2006/relationships/image" Target="media/image710.jpeg"/><Relationship Id="rId731" Type="http://schemas.openxmlformats.org/officeDocument/2006/relationships/image" Target="media/image711.png"/><Relationship Id="rId742" Type="http://schemas.openxmlformats.org/officeDocument/2006/relationships/image" Target="media/image712.png"/><Relationship Id="rId743" Type="http://schemas.openxmlformats.org/officeDocument/2006/relationships/image" Target="media/image713.png"/><Relationship Id="rId744" Type="http://schemas.openxmlformats.org/officeDocument/2006/relationships/image" Target="media/image714.jpeg"/><Relationship Id="rId755" Type="http://schemas.openxmlformats.org/officeDocument/2006/relationships/image" Target="media/image715.png"/><Relationship Id="rId756" Type="http://schemas.openxmlformats.org/officeDocument/2006/relationships/image" Target="media/image716.png"/><Relationship Id="rId757" Type="http://schemas.openxmlformats.org/officeDocument/2006/relationships/image" Target="media/image717.jpeg"/><Relationship Id="rId772" Type="http://schemas.openxmlformats.org/officeDocument/2006/relationships/image" Target="media/image718.png"/><Relationship Id="rId773" Type="http://schemas.openxmlformats.org/officeDocument/2006/relationships/image" Target="media/image719.png"/><Relationship Id="rId774" Type="http://schemas.openxmlformats.org/officeDocument/2006/relationships/image" Target="media/image720.jpeg"/><Relationship Id="rId779" Type="http://schemas.openxmlformats.org/officeDocument/2006/relationships/image" Target="media/image721.jpeg"/><Relationship Id="rId780" Type="http://schemas.openxmlformats.org/officeDocument/2006/relationships/image" Target="media/image722.png"/><Relationship Id="rId781" Type="http://schemas.openxmlformats.org/officeDocument/2006/relationships/image" Target="media/image723.png"/><Relationship Id="rId782" Type="http://schemas.openxmlformats.org/officeDocument/2006/relationships/image" Target="media/image724.png"/><Relationship Id="rId783" Type="http://schemas.openxmlformats.org/officeDocument/2006/relationships/image" Target="media/image725.png"/><Relationship Id="rId784" Type="http://schemas.openxmlformats.org/officeDocument/2006/relationships/image" Target="media/image726.jpeg"/><Relationship Id="rId785" Type="http://schemas.openxmlformats.org/officeDocument/2006/relationships/image" Target="media/image727.png"/><Relationship Id="rId786" Type="http://schemas.openxmlformats.org/officeDocument/2006/relationships/image" Target="media/image728.png"/><Relationship Id="rId787" Type="http://schemas.openxmlformats.org/officeDocument/2006/relationships/image" Target="media/image729.jpeg"/><Relationship Id="rId788" Type="http://schemas.openxmlformats.org/officeDocument/2006/relationships/image" Target="media/image730.png"/><Relationship Id="rId789" Type="http://schemas.openxmlformats.org/officeDocument/2006/relationships/image" Target="media/image731.png"/><Relationship Id="rId790" Type="http://schemas.openxmlformats.org/officeDocument/2006/relationships/image" Target="media/image732.png"/><Relationship Id="rId791" Type="http://schemas.openxmlformats.org/officeDocument/2006/relationships/image" Target="media/image733.jpeg"/><Relationship Id="rId792" Type="http://schemas.openxmlformats.org/officeDocument/2006/relationships/image" Target="media/image734.png"/><Relationship Id="rId793" Type="http://schemas.openxmlformats.org/officeDocument/2006/relationships/image" Target="media/image735.png"/><Relationship Id="rId794" Type="http://schemas.openxmlformats.org/officeDocument/2006/relationships/image" Target="media/image736.png"/><Relationship Id="rId795" Type="http://schemas.openxmlformats.org/officeDocument/2006/relationships/image" Target="media/image737.png"/><Relationship Id="rId796" Type="http://schemas.openxmlformats.org/officeDocument/2006/relationships/image" Target="media/image738.png"/><Relationship Id="rId797" Type="http://schemas.openxmlformats.org/officeDocument/2006/relationships/image" Target="media/image739.png"/><Relationship Id="rId798" Type="http://schemas.openxmlformats.org/officeDocument/2006/relationships/image" Target="media/image740.png"/><Relationship Id="rId799" Type="http://schemas.openxmlformats.org/officeDocument/2006/relationships/image" Target="media/image741.png"/><Relationship Id="rId800" Type="http://schemas.openxmlformats.org/officeDocument/2006/relationships/image" Target="media/image742.png"/><Relationship Id="rId801" Type="http://schemas.openxmlformats.org/officeDocument/2006/relationships/image" Target="media/image743.png"/><Relationship Id="rId802" Type="http://schemas.openxmlformats.org/officeDocument/2006/relationships/image" Target="media/image744.png"/><Relationship Id="rId803" Type="http://schemas.openxmlformats.org/officeDocument/2006/relationships/image" Target="media/image745.png"/><Relationship Id="rId804" Type="http://schemas.openxmlformats.org/officeDocument/2006/relationships/image" Target="media/image746.png"/><Relationship Id="rId805" Type="http://schemas.openxmlformats.org/officeDocument/2006/relationships/image" Target="media/image747.png"/><Relationship Id="rId806" Type="http://schemas.openxmlformats.org/officeDocument/2006/relationships/image" Target="media/image748.png"/><Relationship Id="rId807" Type="http://schemas.openxmlformats.org/officeDocument/2006/relationships/image" Target="media/image749.png"/><Relationship Id="rId808" Type="http://schemas.openxmlformats.org/officeDocument/2006/relationships/image" Target="media/image750.png"/><Relationship Id="rId809" Type="http://schemas.openxmlformats.org/officeDocument/2006/relationships/image" Target="media/image751.png"/><Relationship Id="rId810" Type="http://schemas.openxmlformats.org/officeDocument/2006/relationships/image" Target="media/image752.png"/><Relationship Id="rId811" Type="http://schemas.openxmlformats.org/officeDocument/2006/relationships/image" Target="media/image753.png"/><Relationship Id="rId812" Type="http://schemas.openxmlformats.org/officeDocument/2006/relationships/image" Target="media/image754.png"/><Relationship Id="rId813" Type="http://schemas.openxmlformats.org/officeDocument/2006/relationships/image" Target="media/image755.png"/><Relationship Id="rId814" Type="http://schemas.openxmlformats.org/officeDocument/2006/relationships/image" Target="media/image756.png"/><Relationship Id="rId815" Type="http://schemas.openxmlformats.org/officeDocument/2006/relationships/image" Target="media/image757.png"/><Relationship Id="rId816" Type="http://schemas.openxmlformats.org/officeDocument/2006/relationships/image" Target="media/image758.png"/><Relationship Id="rId817" Type="http://schemas.openxmlformats.org/officeDocument/2006/relationships/image" Target="media/image759.png"/><Relationship Id="rId818" Type="http://schemas.openxmlformats.org/officeDocument/2006/relationships/image" Target="media/image760.png"/><Relationship Id="rId819" Type="http://schemas.openxmlformats.org/officeDocument/2006/relationships/image" Target="media/image761.png"/><Relationship Id="rId820" Type="http://schemas.openxmlformats.org/officeDocument/2006/relationships/image" Target="media/image762.png"/><Relationship Id="rId821" Type="http://schemas.openxmlformats.org/officeDocument/2006/relationships/image" Target="media/image763.png"/><Relationship Id="rId822" Type="http://schemas.openxmlformats.org/officeDocument/2006/relationships/image" Target="media/image764.png"/><Relationship Id="rId823" Type="http://schemas.openxmlformats.org/officeDocument/2006/relationships/image" Target="media/image765.png"/><Relationship Id="rId824" Type="http://schemas.openxmlformats.org/officeDocument/2006/relationships/image" Target="media/image766.png"/><Relationship Id="rId825" Type="http://schemas.openxmlformats.org/officeDocument/2006/relationships/image" Target="media/image767.png"/><Relationship Id="rId826" Type="http://schemas.openxmlformats.org/officeDocument/2006/relationships/image" Target="media/image768.png"/><Relationship Id="rId827" Type="http://schemas.openxmlformats.org/officeDocument/2006/relationships/image" Target="media/image769.png"/><Relationship Id="rId828" Type="http://schemas.openxmlformats.org/officeDocument/2006/relationships/image" Target="media/image770.png"/><Relationship Id="rId829" Type="http://schemas.openxmlformats.org/officeDocument/2006/relationships/image" Target="media/image771.png"/><Relationship Id="rId830" Type="http://schemas.openxmlformats.org/officeDocument/2006/relationships/image" Target="media/image772.png"/><Relationship Id="rId831" Type="http://schemas.openxmlformats.org/officeDocument/2006/relationships/image" Target="media/image773.png"/><Relationship Id="rId832" Type="http://schemas.openxmlformats.org/officeDocument/2006/relationships/image" Target="media/image774.png"/><Relationship Id="rId833" Type="http://schemas.openxmlformats.org/officeDocument/2006/relationships/image" Target="media/image775.png"/><Relationship Id="rId834" Type="http://schemas.openxmlformats.org/officeDocument/2006/relationships/image" Target="media/image776.png"/><Relationship Id="rId835" Type="http://schemas.openxmlformats.org/officeDocument/2006/relationships/image" Target="media/image777.png"/><Relationship Id="rId836" Type="http://schemas.openxmlformats.org/officeDocument/2006/relationships/image" Target="media/image778.png"/><Relationship Id="rId837" Type="http://schemas.openxmlformats.org/officeDocument/2006/relationships/image" Target="media/image779.png"/><Relationship Id="rId838" Type="http://schemas.openxmlformats.org/officeDocument/2006/relationships/image" Target="media/image780.png"/><Relationship Id="rId201" Type="http://schemas.openxmlformats.org/officeDocument/2006/relationships/hyperlink" Target="https://www.sec.gov/Archives/edgar/data/916076/000095017023004361/mlm-20221231.htm#item_7_managements_discussion_analysis_f" TargetMode="External"/><Relationship Id="rId715" Type="http://schemas.openxmlformats.org/officeDocument/2006/relationships/hyperlink" Target="https://www.sec.gov/Archives/edgar/data/916076/000095015723001164/ex2-1.htm" TargetMode="External"/><Relationship Id="rId716" Type="http://schemas.openxmlformats.org/officeDocument/2006/relationships/hyperlink" Target="https://www.sec.gov/Archives/edgar/data/916076/000119312517056282/d344578dex301.htm" TargetMode="External"/><Relationship Id="rId717" Type="http://schemas.openxmlformats.org/officeDocument/2006/relationships/hyperlink" Target="https://www.sec.gov/Archives/edgar/data/916076/000095017022025069/mlm-ex3_1.htm" TargetMode="External"/><Relationship Id="rId721" Type="http://schemas.openxmlformats.org/officeDocument/2006/relationships/hyperlink" Target="https://www.sec.gov/Archives/edgar/data/916076/000095014407003966/g07010exv4w1.htm" TargetMode="External"/><Relationship Id="rId722" Type="http://schemas.openxmlformats.org/officeDocument/2006/relationships/hyperlink" Target="https://www.sec.gov/Archives/edgar/data/916076/000095014407003966/g07010exv4w3.htm" TargetMode="External"/><Relationship Id="rId723" Type="http://schemas.openxmlformats.org/officeDocument/2006/relationships/hyperlink" Target="https://www.sec.gov/Archives/edgar/data/916076/000095015714000679/ex10-1.htm" TargetMode="External"/><Relationship Id="rId724" Type="http://schemas.openxmlformats.org/officeDocument/2006/relationships/hyperlink" Target="https://www.sec.gov/Archives/edgar/data/916076/000095015714000736/ex4-1.htm" TargetMode="External"/><Relationship Id="rId725" Type="http://schemas.openxmlformats.org/officeDocument/2006/relationships/hyperlink" Target="https://www.sec.gov/Archives/edgar/data/916076/000119312517178064/d401743dex41.htm" TargetMode="External"/><Relationship Id="rId726" Type="http://schemas.openxmlformats.org/officeDocument/2006/relationships/hyperlink" Target="https://www.sec.gov/Archives/edgar/data/916076/000119312517178064/d401743dex42.htm" TargetMode="External"/><Relationship Id="rId727" Type="http://schemas.openxmlformats.org/officeDocument/2006/relationships/hyperlink" Target="https://www.sec.gov/Archives/edgar/data/916076/000119312517374738/d499713dex42.htm" TargetMode="External"/><Relationship Id="rId728" Type="http://schemas.openxmlformats.org/officeDocument/2006/relationships/hyperlink" Target="https://www.sec.gov/Archives/edgar/data/916076/000095015720000377/ex4-2.htm" TargetMode="External"/><Relationship Id="rId729" Type="http://schemas.openxmlformats.org/officeDocument/2006/relationships/hyperlink" Target="https://www.sec.gov/Archives/edgar/data/916076/000095015721000738/ex4-2.htm" TargetMode="External"/><Relationship Id="rId732" Type="http://schemas.openxmlformats.org/officeDocument/2006/relationships/hyperlink" Target="https://www.sec.gov/Archives/edgar/data/916076/000156459020005784/mlm-ex417_265.htm" TargetMode="External"/><Relationship Id="rId733" Type="http://schemas.openxmlformats.org/officeDocument/2006/relationships/hyperlink" Target="https://www.sec.gov/Archives/edgar/data/916076/000095015721001282/ex10-1.htm" TargetMode="External"/><Relationship Id="rId734" Type="http://schemas.openxmlformats.org/officeDocument/2006/relationships/hyperlink" Target="https://www.sec.gov/Archives/edgar/data/916076/000095015722001348/ex10-1.htm" TargetMode="External"/><Relationship Id="rId735" Type="http://schemas.openxmlformats.org/officeDocument/2006/relationships/hyperlink" Target="https://www.sec.gov/Archives/edgar/data/916076/000095015723001269/ex10-1.htm" TargetMode="External"/><Relationship Id="rId736" Type="http://schemas.openxmlformats.org/officeDocument/2006/relationships/hyperlink" Target="https://www.sec.gov/Archives/edgar/data/916076/000119312513169367/d524115dex1001.htm" TargetMode="External"/><Relationship Id="rId737" Type="http://schemas.openxmlformats.org/officeDocument/2006/relationships/hyperlink" Target="https://www.sec.gov/Archives/edgar/data/916076/000095015714000705/ex10-1.htm" TargetMode="External"/><Relationship Id="rId738" Type="http://schemas.openxmlformats.org/officeDocument/2006/relationships/hyperlink" Target="https://www.sec.gov/Archives/edgar/data/916076/000119312514156286/d714228dex1001.htm" TargetMode="External"/><Relationship Id="rId739" Type="http://schemas.openxmlformats.org/officeDocument/2006/relationships/hyperlink" Target="https://www.sec.gov/Archives/edgar/data/916076/000119312514363178/d799882dex1001.htm" TargetMode="External"/><Relationship Id="rId740" Type="http://schemas.openxmlformats.org/officeDocument/2006/relationships/hyperlink" Target="https://www.sec.gov/Archives/edgar/data/916076/000156459016025538/mlm-ex1001_6.htm" TargetMode="External"/><Relationship Id="rId741" Type="http://schemas.openxmlformats.org/officeDocument/2006/relationships/hyperlink" Target="https://www.sec.gov/Archives/edgar/data/916076/000095015718000431/ex10-1.htm" TargetMode="External"/><Relationship Id="rId745" Type="http://schemas.openxmlformats.org/officeDocument/2006/relationships/hyperlink" Target="https://www.sec.gov/Archives/edgar/data/916076/000095015718001002/ex10-1.htm" TargetMode="External"/><Relationship Id="rId746" Type="http://schemas.openxmlformats.org/officeDocument/2006/relationships/hyperlink" Target="https://www.sec.gov/Archives/edgar/data/916076/000095015719001073/ex10-01.htm" TargetMode="External"/><Relationship Id="rId747" Type="http://schemas.openxmlformats.org/officeDocument/2006/relationships/hyperlink" Target="https://www.sec.gov/Archives/edgar/data/916076/000095015720001165/ex10-1.htm" TargetMode="External"/><Relationship Id="rId748" Type="http://schemas.openxmlformats.org/officeDocument/2006/relationships/hyperlink" Target="https://www.sec.gov/Archives/edgar/data/916076/000095015721001045/ex10-01.htm" TargetMode="External"/><Relationship Id="rId749" Type="http://schemas.openxmlformats.org/officeDocument/2006/relationships/hyperlink" Target="https://www.sec.gov/Archives/edgar/data/916076/000095015722001037/ex10-01.htm" TargetMode="External"/><Relationship Id="rId750" Type="http://schemas.openxmlformats.org/officeDocument/2006/relationships/hyperlink" Target="https://www.sec.gov/Archives/edgar/data/916076/000095015723000976/ex10-1.htm" TargetMode="External"/><Relationship Id="rId751" Type="http://schemas.openxmlformats.org/officeDocument/2006/relationships/hyperlink" Target="https://www.sec.gov/Archives/edgar/data/916076/000119312513169367/d524115dex1002.htm" TargetMode="External"/><Relationship Id="rId752" Type="http://schemas.openxmlformats.org/officeDocument/2006/relationships/hyperlink" Target="https://www.sec.gov/Archives/edgar/data/916076/000095014408006590/g14828k1exv10w1.htm" TargetMode="External"/><Relationship Id="rId753" Type="http://schemas.openxmlformats.org/officeDocument/2006/relationships/hyperlink" Target="https://www.sec.gov/Archives/edgar/data/916076/000119312514064999/d654417dex1005.htm" TargetMode="External"/><Relationship Id="rId754" Type="http://schemas.openxmlformats.org/officeDocument/2006/relationships/hyperlink" Target="https://www.sec.gov/Archives/edgar/data/916076/000095014409001377/g17638exv10w05.htm" TargetMode="External"/><Relationship Id="rId758" Type="http://schemas.openxmlformats.org/officeDocument/2006/relationships/hyperlink" Target="https://www.sec.gov/Archives/edgar/data/916076/000095014409001377/g17638exv10w06.htm" TargetMode="External"/><Relationship Id="rId759" Type="http://schemas.openxmlformats.org/officeDocument/2006/relationships/hyperlink" Target="https://www.sec.gov/Archives/edgar/data/916076/000156459016022616/mlm-ex1001_10.htm" TargetMode="External"/><Relationship Id="rId760" Type="http://schemas.openxmlformats.org/officeDocument/2006/relationships/hyperlink" Target="https://www.sec.gov/Archives/edgar/data/916076/000156459016022616/mlm-ex1002_8.htm" TargetMode="External"/><Relationship Id="rId761" Type="http://schemas.openxmlformats.org/officeDocument/2006/relationships/hyperlink" Target="https://www.sec.gov/Archives/edgar/data/916076/000095014401003808/g67160ex10-16.txt" TargetMode="External"/><Relationship Id="rId762" Type="http://schemas.openxmlformats.org/officeDocument/2006/relationships/hyperlink" Target="https://www.sec.gov/Archives/edgar/data/916076/000119312512337410/d367571dex10.htm" TargetMode="External"/><Relationship Id="rId763" Type="http://schemas.openxmlformats.org/officeDocument/2006/relationships/hyperlink" Target="https://www.sec.gov/Archives/edgar/data/916076/000095014409001377/g17638exv10w11.htm" TargetMode="External"/><Relationship Id="rId764" Type="http://schemas.openxmlformats.org/officeDocument/2006/relationships/hyperlink" Target="https://www.sec.gov/Archives/edgar/data/916076/000095014409001377/g17638exv10w13.htm" TargetMode="External"/><Relationship Id="rId765" Type="http://schemas.openxmlformats.org/officeDocument/2006/relationships/hyperlink" Target="https://www.sec.gov/Archives/edgar/data/916076/000119312514064999/d654417dex1014.htm" TargetMode="External"/><Relationship Id="rId766" Type="http://schemas.openxmlformats.org/officeDocument/2006/relationships/hyperlink" Target="https://www.sec.gov/Archives/edgar/data/916076/000119312515060008/d877241dex1019.htm" TargetMode="External"/><Relationship Id="rId767" Type="http://schemas.openxmlformats.org/officeDocument/2006/relationships/hyperlink" Target="https://www.sec.gov/Archives/edgar/data/916076/000156459017010260/mlm-ex1002_99.htm" TargetMode="External"/><Relationship Id="rId768" Type="http://schemas.openxmlformats.org/officeDocument/2006/relationships/hyperlink" Target="https://www.sec.gov/Archives/edgar/data/916076/000156459017014636/mlm-ex1001_243.htm" TargetMode="External"/><Relationship Id="rId769" Type="http://schemas.openxmlformats.org/officeDocument/2006/relationships/hyperlink" Target="https://www.sec.gov/Archives/edgar/data/916076/000095015718001227/ex10_1.htm" TargetMode="External"/><Relationship Id="rId770" Type="http://schemas.openxmlformats.org/officeDocument/2006/relationships/hyperlink" Target="https://www.sec.gov/Archives/edgar/data/916076/000095015718001227/ex10_2.htm" TargetMode="External"/><Relationship Id="rId771" Type="http://schemas.openxmlformats.org/officeDocument/2006/relationships/hyperlink" Target="https://www.sec.gov/Archives/edgar/data/916076/000095015718001227/ex10_3.htm" TargetMode="External"/><Relationship Id="rId775" Type="http://schemas.openxmlformats.org/officeDocument/2006/relationships/hyperlink" Target="https://www.sec.gov/Archives/edgar/data/916076/000119312519049961/d640896dex1027.htm" TargetMode="External"/><Relationship Id="rId776" Type="http://schemas.openxmlformats.org/officeDocument/2006/relationships/hyperlink" Target="https://www.sec.gov/Archives/edgar/data/916076/000119312520182492/d708540dex101.htm" TargetMode="External"/><Relationship Id="rId777" Type="http://schemas.openxmlformats.org/officeDocument/2006/relationships/hyperlink" Target="https://www.sec.gov/Archives/edgar/data/916076/000119312520182492/d708540dex102.htm" TargetMode="External"/><Relationship Id="rId778" Type="http://schemas.openxmlformats.org/officeDocument/2006/relationships/hyperlink" Target="https://www.sec.gov/Archives/edgar/data/916076/000156459019027408/mlm-ex1001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2024-02-23T13:47:43Z</dcterms:created>
  <dcterms:modified xsi:type="dcterms:W3CDTF">2024-02-23T13:47:43Z</dcterms:modified>
</cp:coreProperties>
</file>