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form8-k.htm"/>
      <w:bookmarkStart w:id="1" w:name="ksform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21__20"/>
      <w:bookmarkEnd w:id="2"/>
      <w:r>
        <w:rPr>
          <w:rFonts w:ascii="Times New Roman;Times;Serif" w:hAnsi="Times New Roman;Times;Serif"/>
          <w:b/>
          <w:i w:val="false"/>
          <w:caps w:val="false"/>
          <w:smallCaps w:val="false"/>
          <w:sz w:val="36"/>
        </w:rPr>
        <w:t>8-K</w:t>
      </w:r>
    </w:p>
    <w:p>
      <w:pPr>
        <w:pStyle w:val="TextBody"/>
        <w:bidi w:val="0"/>
        <w:spacing w:before="0" w:after="0"/>
        <w:ind w:left="24" w:right="24"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24" w:right="24" w:hanging="0"/>
        <w:jc w:val="center"/>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24" w:right="24" w:hanging="0"/>
        <w:jc w:val="center"/>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Pursuant to Section 13 or 15(d) of the Securities Exchange Act of 1934</w:t>
      </w:r>
    </w:p>
    <w:p>
      <w:pPr>
        <w:pStyle w:val="TextBody"/>
        <w:bidi w:val="0"/>
        <w:spacing w:before="0" w:after="0"/>
        <w:ind w:left="24" w:right="2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635"/>
        <w:gridCol w:w="2300"/>
        <w:gridCol w:w="3020"/>
      </w:tblGrid>
      <w:tr>
        <w:trPr/>
        <w:tc>
          <w:tcPr>
            <w:tcW w:w="3635" w:type="dxa"/>
            <w:tcBorders/>
            <w:vAlign w:val="center"/>
          </w:tcPr>
          <w:p>
            <w:pPr>
              <w:pStyle w:val="TableContents"/>
              <w:bidi w:val="0"/>
              <w:spacing w:before="0" w:after="283"/>
              <w:jc w:val="center"/>
              <w:rPr>
                <w:sz w:val="20"/>
              </w:rPr>
            </w:pPr>
            <w:bookmarkStart w:id="5" w:name="xdx_900_edei--EntityIncorporationStateCo"/>
            <w:bookmarkEnd w:id="5"/>
            <w:r>
              <w:rPr>
                <w:b/>
                <w:sz w:val="20"/>
              </w:rPr>
              <w:t>North Carolina</w:t>
            </w:r>
            <w:r>
              <w:rPr>
                <w:sz w:val="20"/>
              </w:rPr>
              <w:br/>
              <w:t>(State or Other Jurisdiction of Incorporation)</w:t>
            </w:r>
          </w:p>
        </w:tc>
        <w:tc>
          <w:tcPr>
            <w:tcW w:w="2300" w:type="dxa"/>
            <w:tcBorders/>
            <w:vAlign w:val="center"/>
          </w:tcPr>
          <w:p>
            <w:pPr>
              <w:pStyle w:val="TableContents"/>
              <w:bidi w:val="0"/>
              <w:spacing w:before="0" w:after="283"/>
              <w:jc w:val="center"/>
              <w:rPr>
                <w:b/>
                <w:sz w:val="20"/>
              </w:rPr>
            </w:pPr>
            <w:bookmarkStart w:id="6" w:name="xdx_90B_edei--EntityFileNumber_c20260821"/>
            <w:bookmarkEnd w:id="6"/>
            <w:r>
              <w:rPr>
                <w:b/>
                <w:sz w:val="20"/>
              </w:rPr>
              <w:t>1-12744</w:t>
              <w:br/>
              <w:t>(Commission File Number)</w:t>
            </w:r>
          </w:p>
        </w:tc>
        <w:tc>
          <w:tcPr>
            <w:tcW w:w="3020" w:type="dxa"/>
            <w:tcBorders/>
            <w:vAlign w:val="center"/>
          </w:tcPr>
          <w:p>
            <w:pPr>
              <w:pStyle w:val="TableContents"/>
              <w:bidi w:val="0"/>
              <w:spacing w:before="0" w:after="283"/>
              <w:jc w:val="center"/>
              <w:rPr>
                <w:b/>
                <w:sz w:val="20"/>
              </w:rPr>
            </w:pPr>
            <w:bookmarkStart w:id="7" w:name="xdx_909_edei--EntityTaxIdentificationNum"/>
            <w:bookmarkEnd w:id="7"/>
            <w:r>
              <w:rPr>
                <w:b/>
                <w:sz w:val="20"/>
              </w:rPr>
              <w:t>56-1848578</w:t>
              <w:br/>
              <w:t>(I.R.S. Employer Identification No.)</w:t>
            </w:r>
          </w:p>
        </w:tc>
      </w:tr>
    </w:tbl>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4527"/>
        <w:gridCol w:w="80"/>
        <w:gridCol w:w="1247"/>
      </w:tblGrid>
      <w:tr>
        <w:trPr/>
        <w:tc>
          <w:tcPr>
            <w:tcW w:w="452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Start w:id="9" w:name="xdx_900_edei--EntityAddressAddressLine1_"/>
            <w:bookmarkEnd w:id="8"/>
            <w:bookmarkEnd w:id="9"/>
            <w:r>
              <w:rPr>
                <w:rFonts w:ascii="Times New Roman;Times;Serif" w:hAnsi="Times New Roman;Times;Serif"/>
                <w:b/>
                <w:i w:val="false"/>
                <w:caps w:val="false"/>
                <w:smallCaps w:val="false"/>
                <w:sz w:val="20"/>
              </w:rPr>
              <w:t>4123 Parklake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Start w:id="11" w:name="xdx_90D_edei--EntityAddressCityOrTown_c2"/>
            <w:bookmarkEnd w:id="10"/>
            <w:bookmarkEnd w:id="11"/>
            <w:r>
              <w:rPr>
                <w:rFonts w:ascii="Times New Roman;Times;Serif" w:hAnsi="Times New Roman;Times;Serif"/>
                <w:b/>
                <w:i w:val="false"/>
                <w:caps w:val="false"/>
                <w:smallCaps w:val="false"/>
                <w:sz w:val="20"/>
              </w:rPr>
              <w:t xml:space="preserve">Raleigh, </w:t>
            </w:r>
            <w:bookmarkStart w:id="12" w:name="xdx_902_edei--EntityAddressStateOrProvin"/>
            <w:bookmarkStart w:id="13" w:name="xdx_90A_edei--EntityAddressStateOrProvin"/>
            <w:bookmarkEnd w:id="12"/>
            <w:bookmarkEnd w:id="13"/>
            <w:r>
              <w:rPr>
                <w:rFonts w:ascii="Times New Roman;Times;Serif" w:hAnsi="Times New Roman;Times;Serif"/>
                <w:b/>
                <w:i w:val="false"/>
                <w:caps w:val="false"/>
                <w:smallCaps w:val="false"/>
                <w:sz w:val="20"/>
              </w:rPr>
              <w:t>North Carolina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both"/>
              <w:rPr/>
            </w:pPr>
            <w:r>
              <w:rPr/>
              <w:t> </w:t>
            </w:r>
          </w:p>
        </w:tc>
        <w:tc>
          <w:tcPr>
            <w:tcW w:w="124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4" w:name="xdx_90C_edei--EntityAddressPostalZipCode"/>
            <w:bookmarkStart w:id="15" w:name="xdx_905_edei--EntityAddressPostalZipCode"/>
            <w:bookmarkEnd w:id="14"/>
            <w:bookmarkEnd w:id="15"/>
            <w:r>
              <w:rPr>
                <w:rFonts w:ascii="Times New Roman;Times;Serif" w:hAnsi="Times New Roman;Times;Serif"/>
                <w:b/>
                <w:i w:val="false"/>
                <w:caps w:val="false"/>
                <w:smallCaps w:val="false"/>
                <w:sz w:val="20"/>
              </w:rPr>
              <w:t>27612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r>
        <w:trPr/>
        <w:tc>
          <w:tcPr>
            <w:tcW w:w="5854"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9_edei--CityAreaCode_c20260821__20"/>
            <w:bookmarkEnd w:id="16"/>
            <w:r>
              <w:rPr>
                <w:rFonts w:ascii="Times New Roman;Times;Serif" w:hAnsi="Times New Roman;Times;Serif"/>
                <w:b/>
                <w:i w:val="false"/>
                <w:caps w:val="false"/>
                <w:smallCaps w:val="false"/>
                <w:sz w:val="20"/>
              </w:rPr>
              <w:t>919-</w:t>
            </w:r>
            <w:bookmarkStart w:id="17" w:name="xdx_90D_edei--LocalPhoneNumber_c20260821"/>
            <w:bookmarkEnd w:id="17"/>
            <w:r>
              <w:rPr>
                <w:rFonts w:ascii="Times New Roman;Times;Serif" w:hAnsi="Times New Roman;Times;Serif"/>
                <w:b/>
                <w:i w:val="false"/>
                <w:caps w:val="false"/>
                <w:smallCaps w:val="false"/>
                <w:sz w:val="20"/>
              </w:rPr>
              <w:t>781-4550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8" w:name="xdx_90A_edei--WrittenCommunications_c202"/>
            <w:bookmarkEnd w:id="18"/>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9" w:name="xdx_909_edei--SolicitingMaterial_c202608"/>
            <w:bookmarkEnd w:id="19"/>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20" w:name="xdx_901_edei--PreCommencementTenderOffer"/>
            <w:bookmarkEnd w:id="20"/>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21" w:name="xdx_907_edei--PreCommencementIssuerTende"/>
            <w:bookmarkEnd w:id="21"/>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3410"/>
        <w:gridCol w:w="60"/>
        <w:gridCol w:w="1535"/>
        <w:gridCol w:w="60"/>
        <w:gridCol w:w="3590"/>
      </w:tblGrid>
      <w:tr>
        <w:trPr/>
        <w:tc>
          <w:tcPr>
            <w:tcW w:w="341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both"/>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both"/>
              <w:rPr/>
            </w:pPr>
            <w:r>
              <w:rPr/>
              <w:t> </w:t>
            </w:r>
          </w:p>
        </w:tc>
        <w:tc>
          <w:tcPr>
            <w:tcW w:w="359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410" w:type="dxa"/>
            <w:tcBorders/>
            <w:vAlign w:val="center"/>
          </w:tcPr>
          <w:p>
            <w:pPr>
              <w:pStyle w:val="TableContents"/>
              <w:bidi w:val="0"/>
              <w:spacing w:before="0" w:after="283"/>
              <w:jc w:val="center"/>
              <w:rPr>
                <w:sz w:val="20"/>
              </w:rPr>
            </w:pPr>
            <w:bookmarkStart w:id="22" w:name="xdx_90A_edei--Security12bTitle_c20260821"/>
            <w:bookmarkEnd w:id="22"/>
            <w:r>
              <w:rPr>
                <w:sz w:val="20"/>
              </w:rPr>
              <w:t>Common Stock, $0.01 par value per share</w:t>
            </w:r>
          </w:p>
        </w:tc>
        <w:tc>
          <w:tcPr>
            <w:tcW w:w="60" w:type="dxa"/>
            <w:tcBorders/>
            <w:vAlign w:val="center"/>
          </w:tcPr>
          <w:p>
            <w:pPr>
              <w:pStyle w:val="TableContents"/>
              <w:bidi w:val="0"/>
              <w:spacing w:before="0" w:after="283"/>
              <w:jc w:val="both"/>
              <w:rPr/>
            </w:pPr>
            <w:r>
              <w:rPr/>
              <w:t> </w:t>
            </w:r>
          </w:p>
        </w:tc>
        <w:tc>
          <w:tcPr>
            <w:tcW w:w="1535" w:type="dxa"/>
            <w:tcBorders/>
            <w:vAlign w:val="center"/>
          </w:tcPr>
          <w:p>
            <w:pPr>
              <w:pStyle w:val="TableContents"/>
              <w:bidi w:val="0"/>
              <w:spacing w:before="0" w:after="283"/>
              <w:jc w:val="center"/>
              <w:rPr>
                <w:sz w:val="20"/>
              </w:rPr>
            </w:pPr>
            <w:bookmarkStart w:id="23" w:name="xdx_901_edei--TradingSymbol_c20260821__2"/>
            <w:bookmarkEnd w:id="23"/>
            <w:r>
              <w:rPr>
                <w:sz w:val="20"/>
              </w:rPr>
              <w:t>MLM</w:t>
            </w:r>
          </w:p>
        </w:tc>
        <w:tc>
          <w:tcPr>
            <w:tcW w:w="60" w:type="dxa"/>
            <w:tcBorders/>
            <w:vAlign w:val="center"/>
          </w:tcPr>
          <w:p>
            <w:pPr>
              <w:pStyle w:val="TableContents"/>
              <w:bidi w:val="0"/>
              <w:spacing w:before="0" w:after="283"/>
              <w:jc w:val="both"/>
              <w:rPr/>
            </w:pPr>
            <w:r>
              <w:rPr/>
              <w:t> </w:t>
            </w:r>
          </w:p>
        </w:tc>
        <w:tc>
          <w:tcPr>
            <w:tcW w:w="3590" w:type="dxa"/>
            <w:tcBorders/>
            <w:vAlign w:val="center"/>
          </w:tcPr>
          <w:p>
            <w:pPr>
              <w:pStyle w:val="TableContents"/>
              <w:bidi w:val="0"/>
              <w:spacing w:before="0" w:after="283"/>
              <w:jc w:val="center"/>
              <w:rPr>
                <w:sz w:val="20"/>
              </w:rPr>
            </w:pPr>
            <w:bookmarkStart w:id="24" w:name="xdx_901_edei--SecurityExchangeName_c2026"/>
            <w:bookmarkEnd w:id="24"/>
            <w:r>
              <w:rPr>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u w:val="single"/>
        </w:rPr>
        <w:t>Introductory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Martin Marietta Materials, Inc. (“</w:t>
      </w:r>
      <w:r>
        <w:rPr>
          <w:rFonts w:ascii="Times New Roman;Times;Serif" w:hAnsi="Times New Roman;Times;Serif"/>
          <w:b w:val="false"/>
          <w:i w:val="false"/>
          <w:caps w:val="false"/>
          <w:smallCaps w:val="false"/>
          <w:sz w:val="20"/>
          <w:u w:val="single"/>
        </w:rPr>
        <w:t>Martin Marietta</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consummated the previously announced acquisition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of Lhoist North America, Inc. (“</w:t>
      </w:r>
      <w:r>
        <w:rPr>
          <w:rFonts w:ascii="Times New Roman;Times;Serif" w:hAnsi="Times New Roman;Times;Serif"/>
          <w:b w:val="false"/>
          <w:i w:val="false"/>
          <w:caps w:val="false"/>
          <w:smallCaps w:val="false"/>
          <w:sz w:val="20"/>
          <w:u w:val="single"/>
        </w:rPr>
        <w:t>LNA</w:t>
      </w:r>
      <w:r>
        <w:rPr>
          <w:rFonts w:ascii="Times New Roman;Times;Serif" w:hAnsi="Times New Roman;Times;Serif"/>
          <w:b w:val="false"/>
          <w:i w:val="false"/>
          <w:caps w:val="false"/>
          <w:smallCaps w:val="false"/>
          <w:sz w:val="20"/>
        </w:rPr>
        <w:t>”) from LNA Holding SRL (“</w:t>
      </w:r>
      <w:r>
        <w:rPr>
          <w:rFonts w:ascii="Times New Roman;Times;Serif" w:hAnsi="Times New Roman;Times;Serif"/>
          <w:b w:val="false"/>
          <w:i w:val="false"/>
          <w:caps w:val="false"/>
          <w:smallCaps w:val="false"/>
          <w:sz w:val="20"/>
          <w:u w:val="single"/>
        </w:rPr>
        <w:t>LNA Holding</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organized under the laws of Belgium, pursuant to the terms of that certain Securities Sale Agreement, dated June 27, 2026 (the “</w:t>
      </w:r>
      <w:r>
        <w:rPr>
          <w:rFonts w:ascii="Times New Roman;Times;Serif" w:hAnsi="Times New Roman;Times;Serif"/>
          <w:b w:val="false"/>
          <w:i w:val="false"/>
          <w:caps w:val="false"/>
          <w:smallCaps w:val="false"/>
          <w:sz w:val="20"/>
          <w:u w:val="single"/>
        </w:rPr>
        <w:t>SSA</w:t>
      </w:r>
      <w:r>
        <w:rPr>
          <w:rFonts w:ascii="Times New Roman;Times;Serif" w:hAnsi="Times New Roman;Times;Serif"/>
          <w:b w:val="false"/>
          <w:i w:val="false"/>
          <w:caps w:val="false"/>
          <w:smallCaps w:val="false"/>
          <w:sz w:val="20"/>
        </w:rPr>
        <w:t>”), by and between the Company and LNA Holding. The events described in this Current Report on Form 8-K took place in connection with 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SSA, Martin Marietta acquired all of the outstanding equity interests in LNA in exchange for (i) approximately $7 billion in cash (as adjusted in accordance with the SSA) and (ii) 10,953,543 newly-issued shares of Martin Marietta common stock, par value $0.01 per share (the “</w:t>
      </w:r>
      <w:r>
        <w:rPr>
          <w:rFonts w:ascii="Times New Roman;Times;Serif" w:hAnsi="Times New Roman;Times;Serif"/>
          <w:b w:val="false"/>
          <w:i w:val="false"/>
          <w:caps w:val="false"/>
          <w:smallCaps w:val="false"/>
          <w:sz w:val="20"/>
          <w:u w:val="single"/>
        </w:rPr>
        <w:t>Consideration Shares</w:t>
      </w:r>
      <w:r>
        <w:rPr>
          <w:rFonts w:ascii="Times New Roman;Times;Serif" w:hAnsi="Times New Roman;Times;Serif"/>
          <w:b w:val="false"/>
          <w:i w:val="false"/>
          <w:caps w:val="false"/>
          <w:smallCaps w:val="false"/>
          <w:sz w:val="20"/>
        </w:rPr>
        <w:t>”), with a value of $6.5 billion based on the volume-weighted average trading price of Martin Marietta common stock for the 15 trading days ended on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SSA is not complete and is qualified in its entirety by reference to the SSA, a copy of which was filed as Exhibit 2.1 to the Current Report on Form 8-K filed by Martin Marietta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June 29, 2026,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Item</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1.01 Entry into a Material Definitive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Agreement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by the SSA, at the Closing, Martin Marietta entered into a shareholders agreement (the “</w:t>
      </w:r>
      <w:r>
        <w:rPr>
          <w:rFonts w:ascii="Times New Roman;Times;Serif" w:hAnsi="Times New Roman;Times;Serif"/>
          <w:b w:val="false"/>
          <w:i w:val="false"/>
          <w:caps w:val="false"/>
          <w:smallCaps w:val="false"/>
          <w:sz w:val="20"/>
          <w:u w:val="single"/>
        </w:rPr>
        <w:t>Shareholders Agreement</w:t>
      </w:r>
      <w:r>
        <w:rPr>
          <w:rFonts w:ascii="Times New Roman;Times;Serif" w:hAnsi="Times New Roman;Times;Serif"/>
          <w:b w:val="false"/>
          <w:i w:val="false"/>
          <w:caps w:val="false"/>
          <w:smallCaps w:val="false"/>
          <w:sz w:val="20"/>
        </w:rPr>
        <w:t xml:space="preserve">”) with LNA Holding and, solely for the purposes of the standstill provisions set forth therein, Financière de Gestions Internationales, a </w:t>
      </w:r>
      <w:r>
        <w:rPr>
          <w:rFonts w:ascii="Times New Roman;Times;Serif" w:hAnsi="Times New Roman;Times;Serif"/>
          <w:b w:val="false"/>
          <w:i/>
          <w:caps w:val="false"/>
          <w:smallCaps w:val="false"/>
          <w:sz w:val="20"/>
        </w:rPr>
        <w:t>société en commandite par actions</w:t>
      </w:r>
      <w:r>
        <w:rPr>
          <w:rFonts w:ascii="Times New Roman;Times;Serif" w:hAnsi="Times New Roman;Times;Serif"/>
          <w:b w:val="false"/>
          <w:i w:val="false"/>
          <w:caps w:val="false"/>
          <w:smallCaps w:val="false"/>
          <w:sz w:val="20"/>
        </w:rPr>
        <w:t xml:space="preserve"> organized under the laws of Luxembourg (“</w:t>
      </w:r>
      <w:r>
        <w:rPr>
          <w:rFonts w:ascii="Times New Roman;Times;Serif" w:hAnsi="Times New Roman;Times;Serif"/>
          <w:b w:val="false"/>
          <w:i w:val="false"/>
          <w:caps w:val="false"/>
          <w:smallCaps w:val="false"/>
          <w:sz w:val="20"/>
          <w:u w:val="single"/>
        </w:rPr>
        <w:t>FGI</w:t>
      </w:r>
      <w:r>
        <w:rPr>
          <w:rFonts w:ascii="Times New Roman;Times;Serif" w:hAnsi="Times New Roman;Times;Serif"/>
          <w:b w:val="false"/>
          <w:i w:val="false"/>
          <w:caps w:val="false"/>
          <w:smallCaps w:val="false"/>
          <w:sz w:val="20"/>
        </w:rPr>
        <w:t>”). Under the Shareholders Agreement, LNA Holding and its affiliates will be subject to a lock-up period with respect to the Consideration Shares, with 50% of such shares released from the lock-up on the 12-month anniversary of the Closing and the remaining 50% of such shares released from the lock-up on the 24-month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Agreement also provides that the Board of Directors of Martin Marietta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will take such actions as are necessary to increase the size of the Board from ten to eleven directors and LNA Holding will have the right to designate one director to the Board and to appoint one non-voting Board observer. These designation rights are subject to graduated reduction and termination based on LNA Holding’s beneficial ownership of Martin Marietta common stock: LNA Holding may designate one director and one observer for so long as it beneficially owns at least 7,102,033 number of shares of Martin Marietta common stock (equal to 10% of the issued and outstanding Martin Marietta common stock as of the Closing); this right is reduced to one director if such ownership falls below 10% but remains at or above 5,326,525 shares of Martin Marietta common stock (equal to 7.5% of the issued and outstanding Martin Marietta common stock as of the Closing); and all designation and observer rights terminate if such ownership falls below 5,326,525 shares of Martin Marietta common stock (equal to 7.5% of the issued and outstanding Martin Marietta common stock as of the Closing). Furthermore, subject to certain exceptions, in the event LNA Holding and its affiliates fail to vote all shares of Martin Marietta common stock beneficially owned by them in accordance with the recommendation of the Board and in favor of persons nominated and recommended to serve as directors by the Board, all of LNA Holding’s designation rights will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FGI and LNA Holding and their affiliates have agreed to be subject to a customary standstill obligation, including a restriction on acquiring shares in excess of 12,783,660 shares of Martin Marietta common stock (equal to 18% of the issued and outstanding Martin Marietta common stock as of the Closing), which will be effective until the earlier of (a) 15 months after the date on which both (i) no LNA Holding designee sits on the Board and (ii) LNA Holding has irrevocably waived or no longer has any right to designate a director or observer and (b) the date on which LNA Holding holds fewer than 5,326,525 shares of Martin Marietta common stock (equal to 7.5% of the issued and outstanding Martin Marietta common stock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Shareholders Agreement does not purport to be complete and is qualified in its entirety by reference to the full text of the Shareholders Agreement,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by the SSA, at the Closing, Martin Marietta entered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with LNA Holding in respect of the Consideration Shares. Pursuant to the Registration Rights Agreement, Martin Marietta agreed to file, no later than 60 days prior to the first anniversary of the Closing (and subject to the lock-up restrictions in the Shareholders Agreement), a shelf registration statement covering the resale of the Consideration Shares. The Registration Rights Agreement also provides for certain demand and piggyback registration rights for LNA Holding, subject to minimum offering sizes in certain cases, customary underwriter cutbacks, Martin Marietta blackout/suspension rights, and provides for mutual indemnification rights and other customary requirements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Registration Rights Agreement does not purport to be complete and is qualified in its entirety by reference to the full text of the Registration Rights Agreement, which is attached hereto as Exhibit 10.2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Item</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 1.01 of this Current Report on Form 8-K is incorporated by reference into this Item 3.02. The Consideration Shares were issued in reliance upon the exemption from the registration requirements of the Securities Act of 1933, as amended, provided by Section 4(a)(2) thereof as a transaction by an issuer not involving any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Shareholders Agreement, on August 21, 2026, the Board increased its size from ten to eleven directors and appointed Mr. Philipp Niemann, effective as of August 21, 2026, to fill the newly-created directorship. Mr. Niemann will serve until Martin Marietta’s 2027 Annual Meeting of Shareholders. Mr. Niemann will serve on the Finance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Niemann currently serves as the Chief Executive Officer of Lhoist S.A. (“</w:t>
      </w:r>
      <w:r>
        <w:rPr>
          <w:rFonts w:ascii="Times New Roman;Times;Serif" w:hAnsi="Times New Roman;Times;Serif"/>
          <w:b w:val="false"/>
          <w:i w:val="false"/>
          <w:caps w:val="false"/>
          <w:smallCaps w:val="false"/>
          <w:sz w:val="20"/>
          <w:u w:val="single"/>
        </w:rPr>
        <w:t>Lhoist</w:t>
      </w:r>
      <w:r>
        <w:rPr>
          <w:rFonts w:ascii="Times New Roman;Times;Serif" w:hAnsi="Times New Roman;Times;Serif"/>
          <w:b w:val="false"/>
          <w:i w:val="false"/>
          <w:caps w:val="false"/>
          <w:smallCaps w:val="false"/>
          <w:sz w:val="20"/>
        </w:rPr>
        <w:t>”). From April 2022 to October 2025, Mr. Niemann served as President and Chief Executive Officer of LNA and as a member of Lhoist Executive Committee. Prior to April 2022, Mr. Niemann held several other positions at Lhoist, which he joined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Niemann will participate in Martin Marietta’s non-employee director compensation program, which currently provides all non-employee directors with an annual cash retainer of $135,000 and an annual award of restricted stock units with a grant date value of $180,000. Mr. Niemann’s first award of restricted stock units under the non-employee director compensation program was effective upon his appointment to the Board. The terms and conditions of the award of restricted stock units, as well as the other terms and conditions of the non-employee director compensation program, are consistent with those described in Martin Marietta’s proxy statement for its 2026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“Shareholders Agreement” section of Item 1.01 of this Current Report on Form 8-K is incorporated herein by reference. Mr. Niemann does not have a direct or indirect material interest in any transaction required to be disclosed pursuant to Item 404(a)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Martin Marietta issued a press release announcing the Closing of the Transaction. A copy of the press release is attached hereto as Exhibit 99.1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and the Exhibits incorporated by reference herein shall not be deemed “filed” for purposes of Section 18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Item</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Financial statements of businesses or funds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LNA as of and for the years ended December 31, 2025 and 2024 and the related notes thereto are incorporated by reference in this Current Report on Form 8-K from Martin Marietta’s Current Report on Form 8-K, filed with the SEC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of LNA as of June 30, 2026 and for the six months ended June 30, 2026 and 2025 and the related notes thereto are incorporated by reference in this Current Report on Form 8-K from Martin Marietta’s Current Report on Form 8-K, filed with the SEC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this Item 9.01(b) for the year ended December 31, 2025 and the six months ended June 30, 2026 was previously filed in Martin Marietta’s Current Report on Form 8-K, filed with the SEC on August 10, 2026,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9426"/>
      </w:tblGrid>
      <w:tr>
        <w:trPr/>
        <w:tc>
          <w:tcPr>
            <w:tcW w:w="779"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9426" w:type="dxa"/>
            <w:tcBorders>
              <w:bottom w:val="single" w:sz="8" w:space="0" w:color="000000"/>
            </w:tcBorders>
            <w:vAlign w:val="center"/>
          </w:tcPr>
          <w:p>
            <w:pPr>
              <w:pStyle w:val="TableContents"/>
              <w:bidi w:val="0"/>
              <w:spacing w:before="0" w:after="283"/>
              <w:jc w:val="both"/>
              <w:rPr>
                <w:b/>
                <w:sz w:val="20"/>
              </w:rPr>
            </w:pPr>
            <w:r>
              <w:rPr>
                <w:b/>
                <w:sz w:val="20"/>
              </w:rPr>
              <w:t>Description of Exhibit</w:t>
            </w:r>
          </w:p>
        </w:tc>
      </w:tr>
      <w:tr>
        <w:trPr/>
        <w:tc>
          <w:tcPr>
            <w:tcW w:w="779"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ind w:left="0" w:right="0" w:firstLine="600"/>
              <w:jc w:val="both"/>
              <w:rPr/>
            </w:pPr>
            <w:r>
              <w:rPr/>
              <w:t> </w:t>
            </w:r>
          </w:p>
        </w:tc>
      </w:tr>
      <w:tr>
        <w:trPr/>
        <w:tc>
          <w:tcPr>
            <w:tcW w:w="779" w:type="dxa"/>
            <w:tcBorders/>
            <w:tcMar>
              <w:bottom w:w="0" w:type="dxa"/>
            </w:tcMar>
            <w:vAlign w:val="center"/>
          </w:tcPr>
          <w:p>
            <w:pPr>
              <w:pStyle w:val="TableContents"/>
              <w:bidi w:val="0"/>
              <w:spacing w:before="0" w:after="283"/>
              <w:jc w:val="left"/>
              <w:rPr/>
            </w:pPr>
            <w:hyperlink w:anchor="ex10-1.htm">
              <w:r>
                <w:rPr>
                  <w:rStyle w:val="InternetLink"/>
                  <w:sz w:val="20"/>
                </w:rPr>
                <w:t>10.1</w:t>
              </w:r>
            </w:hyperlink>
            <w:r>
              <w:rPr>
                <w:position w:val="7"/>
                <w:sz w:val="16"/>
                <w:sz w:val="20"/>
              </w:rPr>
              <w:t>*</w:t>
            </w:r>
          </w:p>
        </w:tc>
        <w:tc>
          <w:tcPr>
            <w:tcW w:w="9426" w:type="dxa"/>
            <w:tcBorders/>
            <w:tcMar>
              <w:bottom w:w="0" w:type="dxa"/>
            </w:tcMar>
            <w:vAlign w:val="center"/>
          </w:tcPr>
          <w:p>
            <w:pPr>
              <w:pStyle w:val="TableContents"/>
              <w:bidi w:val="0"/>
              <w:spacing w:before="0" w:after="283"/>
              <w:jc w:val="both"/>
              <w:rPr/>
            </w:pPr>
            <w:hyperlink w:anchor="ex10-1.htm">
              <w:r>
                <w:rPr>
                  <w:rStyle w:val="InternetLink"/>
                  <w:sz w:val="20"/>
                </w:rPr>
                <w:t xml:space="preserve">Shareholders Agreement, dated August 21, 2026, by and among Martin Marietta Materials, Inc., LNA Holding SRL and, solely for the purposes of the standstill provisions set forth therein, Financière de Gestions Internationales, a </w:t>
              </w:r>
            </w:hyperlink>
            <w:hyperlink w:anchor="ex10-1.htm">
              <w:r>
                <w:rPr>
                  <w:rStyle w:val="InternetLink"/>
                  <w:i/>
                  <w:sz w:val="20"/>
                </w:rPr>
                <w:t>société en commandite par actions</w:t>
              </w:r>
            </w:hyperlink>
            <w:hyperlink w:anchor="ex10-1.htm">
              <w:r>
                <w:rPr>
                  <w:rStyle w:val="InternetLink"/>
                  <w:sz w:val="20"/>
                </w:rPr>
                <w:t xml:space="preserve"> organized under the laws of Luxembourg.</w:t>
              </w:r>
            </w:hyperlink>
          </w:p>
        </w:tc>
      </w:tr>
      <w:tr>
        <w:trPr/>
        <w:tc>
          <w:tcPr>
            <w:tcW w:w="779" w:type="dxa"/>
            <w:tcBorders/>
            <w:tcMar>
              <w:bottom w:w="0" w:type="dxa"/>
            </w:tcMar>
            <w:vAlign w:val="center"/>
          </w:tcPr>
          <w:p>
            <w:pPr>
              <w:pStyle w:val="TableContents"/>
              <w:bidi w:val="0"/>
              <w:spacing w:before="0" w:after="283"/>
              <w:jc w:val="center"/>
              <w:rPr/>
            </w:pPr>
            <w:r>
              <w:rPr/>
              <w:t> </w:t>
            </w:r>
          </w:p>
        </w:tc>
        <w:tc>
          <w:tcPr>
            <w:tcW w:w="9426" w:type="dxa"/>
            <w:tcBorders/>
            <w:tcMar>
              <w:bottom w:w="0" w:type="dxa"/>
            </w:tcMar>
            <w:vAlign w:val="center"/>
          </w:tcPr>
          <w:p>
            <w:pPr>
              <w:pStyle w:val="TableContents"/>
              <w:bidi w:val="0"/>
              <w:spacing w:before="0" w:after="283"/>
              <w:ind w:left="0" w:right="0" w:firstLine="600"/>
              <w:jc w:val="both"/>
              <w:rPr/>
            </w:pPr>
            <w:r>
              <w:rPr/>
              <w:t> </w:t>
            </w:r>
          </w:p>
        </w:tc>
      </w:tr>
      <w:tr>
        <w:trPr/>
        <w:tc>
          <w:tcPr>
            <w:tcW w:w="779" w:type="dxa"/>
            <w:tcBorders/>
            <w:tcMar>
              <w:bottom w:w="0" w:type="dxa"/>
            </w:tcMar>
            <w:vAlign w:val="center"/>
          </w:tcPr>
          <w:p>
            <w:pPr>
              <w:pStyle w:val="TableContents"/>
              <w:bidi w:val="0"/>
              <w:spacing w:before="0" w:after="283"/>
              <w:jc w:val="left"/>
              <w:rPr/>
            </w:pPr>
            <w:hyperlink w:anchor="ex10-2.htm">
              <w:r>
                <w:rPr>
                  <w:rStyle w:val="InternetLink"/>
                  <w:sz w:val="20"/>
                </w:rPr>
                <w:t>10.2</w:t>
              </w:r>
            </w:hyperlink>
          </w:p>
        </w:tc>
        <w:tc>
          <w:tcPr>
            <w:tcW w:w="9426" w:type="dxa"/>
            <w:tcBorders/>
            <w:tcMar>
              <w:bottom w:w="0" w:type="dxa"/>
            </w:tcMar>
            <w:vAlign w:val="center"/>
          </w:tcPr>
          <w:p>
            <w:pPr>
              <w:pStyle w:val="TableContents"/>
              <w:bidi w:val="0"/>
              <w:spacing w:before="0" w:after="283"/>
              <w:jc w:val="both"/>
              <w:rPr/>
            </w:pPr>
            <w:hyperlink w:anchor="ex10-2.htm">
              <w:r>
                <w:rPr>
                  <w:rStyle w:val="InternetLink"/>
                  <w:sz w:val="20"/>
                </w:rPr>
                <w:t>Registration Rights Agreement, dated August 21, 2026, by and between Martin Marietta Materials, Inc. and LNA Holding SRL.</w:t>
              </w:r>
            </w:hyperlink>
          </w:p>
        </w:tc>
      </w:tr>
      <w:tr>
        <w:trPr/>
        <w:tc>
          <w:tcPr>
            <w:tcW w:w="779" w:type="dxa"/>
            <w:tcBorders/>
            <w:tcMar>
              <w:bottom w:w="0" w:type="dxa"/>
            </w:tcMar>
            <w:vAlign w:val="center"/>
          </w:tcPr>
          <w:p>
            <w:pPr>
              <w:pStyle w:val="TableContents"/>
              <w:bidi w:val="0"/>
              <w:spacing w:before="0" w:after="283"/>
              <w:jc w:val="left"/>
              <w:rPr/>
            </w:pPr>
            <w:r>
              <w:rPr/>
              <w:t> </w:t>
            </w:r>
          </w:p>
        </w:tc>
        <w:tc>
          <w:tcPr>
            <w:tcW w:w="9426" w:type="dxa"/>
            <w:tcBorders/>
            <w:tcMar>
              <w:bottom w:w="0" w:type="dxa"/>
            </w:tcMar>
            <w:vAlign w:val="center"/>
          </w:tcPr>
          <w:p>
            <w:pPr>
              <w:pStyle w:val="TableContents"/>
              <w:bidi w:val="0"/>
              <w:spacing w:before="0" w:after="283"/>
              <w:ind w:left="0" w:right="0" w:firstLine="600"/>
              <w:jc w:val="both"/>
              <w:rPr/>
            </w:pPr>
            <w:r>
              <w:rPr/>
              <w:t> </w:t>
            </w:r>
          </w:p>
        </w:tc>
      </w:tr>
      <w:tr>
        <w:trPr/>
        <w:tc>
          <w:tcPr>
            <w:tcW w:w="779" w:type="dxa"/>
            <w:tcBorders/>
            <w:tcMar>
              <w:bottom w:w="0" w:type="dxa"/>
            </w:tcMar>
            <w:vAlign w:val="center"/>
          </w:tcPr>
          <w:p>
            <w:pPr>
              <w:pStyle w:val="TableContents"/>
              <w:bidi w:val="0"/>
              <w:spacing w:before="0" w:after="283"/>
              <w:jc w:val="left"/>
              <w:rPr/>
            </w:pPr>
            <w:hyperlink w:anchor="ex10-1.htm">
              <w:r>
                <w:rPr>
                  <w:rStyle w:val="InternetLink"/>
                </w:rPr>
                <w:t>99.1</w:t>
              </w:r>
            </w:hyperlink>
          </w:p>
        </w:tc>
        <w:tc>
          <w:tcPr>
            <w:tcW w:w="9426" w:type="dxa"/>
            <w:tcBorders/>
            <w:tcMar>
              <w:bottom w:w="0" w:type="dxa"/>
            </w:tcMar>
            <w:vAlign w:val="center"/>
          </w:tcPr>
          <w:p>
            <w:pPr>
              <w:pStyle w:val="TableContents"/>
              <w:bidi w:val="0"/>
              <w:spacing w:before="0" w:after="283"/>
              <w:jc w:val="both"/>
              <w:rPr/>
            </w:pPr>
            <w:hyperlink w:anchor="ex99-1.htm">
              <w:r>
                <w:rPr>
                  <w:rStyle w:val="InternetLink"/>
                </w:rPr>
                <w:t>Press Release, dated August 24, 2026, issued by Martin Marietta Materials, Inc.</w:t>
              </w:r>
            </w:hyperlink>
          </w:p>
        </w:tc>
      </w:tr>
      <w:tr>
        <w:trPr/>
        <w:tc>
          <w:tcPr>
            <w:tcW w:w="779" w:type="dxa"/>
            <w:tcBorders/>
            <w:tcMar>
              <w:bottom w:w="0" w:type="dxa"/>
            </w:tcMar>
            <w:vAlign w:val="center"/>
          </w:tcPr>
          <w:p>
            <w:pPr>
              <w:pStyle w:val="TableContents"/>
              <w:bidi w:val="0"/>
              <w:spacing w:before="0" w:after="283"/>
              <w:jc w:val="left"/>
              <w:rPr/>
            </w:pPr>
            <w:r>
              <w:rPr/>
              <w:t> </w:t>
            </w:r>
          </w:p>
        </w:tc>
        <w:tc>
          <w:tcPr>
            <w:tcW w:w="9426" w:type="dxa"/>
            <w:tcBorders/>
            <w:tcMar>
              <w:bottom w:w="0" w:type="dxa"/>
            </w:tcMar>
            <w:vAlign w:val="center"/>
          </w:tcPr>
          <w:p>
            <w:pPr>
              <w:pStyle w:val="TableContents"/>
              <w:bidi w:val="0"/>
              <w:spacing w:before="0" w:after="283"/>
              <w:ind w:left="0" w:right="0" w:firstLine="600"/>
              <w:jc w:val="both"/>
              <w:rPr/>
            </w:pPr>
            <w:r>
              <w:rPr/>
              <w:t> </w:t>
            </w:r>
          </w:p>
        </w:tc>
      </w:tr>
      <w:tr>
        <w:trPr/>
        <w:tc>
          <w:tcPr>
            <w:tcW w:w="779" w:type="dxa"/>
            <w:tcBorders/>
            <w:tcMar>
              <w:bottom w:w="0" w:type="dxa"/>
            </w:tcMar>
            <w:vAlign w:val="center"/>
          </w:tcPr>
          <w:p>
            <w:pPr>
              <w:pStyle w:val="TableContents"/>
              <w:bidi w:val="0"/>
              <w:spacing w:before="0" w:after="283"/>
              <w:jc w:val="left"/>
              <w:rPr>
                <w:sz w:val="20"/>
              </w:rPr>
            </w:pPr>
            <w:r>
              <w:rPr>
                <w:sz w:val="20"/>
              </w:rPr>
              <w:t>104</w:t>
            </w:r>
          </w:p>
        </w:tc>
        <w:tc>
          <w:tcPr>
            <w:tcW w:w="9426"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notice information contained in this exhibit and certain schedules to this exhibit have been omitted pursuant to Item 601(a)(5) of Regulation S-K. Martin Marietta hereby undertakes to furnish copies of any of the omitted schedules to the SEC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9245" w:type="dxa"/>
        <w:jc w:val="left"/>
        <w:tblInd w:w="0" w:type="dxa"/>
        <w:tblLayout w:type="fixed"/>
        <w:tblCellMar>
          <w:top w:w="0" w:type="dxa"/>
          <w:left w:w="0" w:type="dxa"/>
          <w:bottom w:w="0" w:type="dxa"/>
          <w:right w:w="0" w:type="dxa"/>
        </w:tblCellMar>
      </w:tblPr>
      <w:tblGrid>
        <w:gridCol w:w="1850"/>
        <w:gridCol w:w="320"/>
        <w:gridCol w:w="545"/>
        <w:gridCol w:w="6470"/>
        <w:gridCol w:w="60"/>
      </w:tblGrid>
      <w:tr>
        <w:trPr/>
        <w:tc>
          <w:tcPr>
            <w:tcW w:w="1850" w:type="dxa"/>
            <w:tcBorders/>
            <w:vAlign w:val="center"/>
          </w:tcPr>
          <w:p>
            <w:pPr>
              <w:pStyle w:val="TableContents"/>
              <w:bidi w:val="0"/>
              <w:spacing w:before="0" w:after="283"/>
              <w:jc w:val="left"/>
              <w:rPr/>
            </w:pPr>
            <w:r>
              <w:rPr/>
              <w:t> </w:t>
            </w:r>
          </w:p>
        </w:tc>
        <w:tc>
          <w:tcPr>
            <w:tcW w:w="7395" w:type="dxa"/>
            <w:gridSpan w:val="4"/>
            <w:tcBorders/>
            <w:vAlign w:val="center"/>
          </w:tcPr>
          <w:p>
            <w:pPr>
              <w:pStyle w:val="TableContents"/>
              <w:bidi w:val="0"/>
              <w:spacing w:before="0" w:after="283"/>
              <w:jc w:val="left"/>
              <w:rPr>
                <w:b/>
              </w:rPr>
            </w:pPr>
            <w:r>
              <w:rPr>
                <w:b/>
              </w:rPr>
              <w:t>MARTIN MARIETTA MATERIALS, INC.</w:t>
            </w:r>
          </w:p>
        </w:tc>
      </w:tr>
      <w:tr>
        <w:trPr/>
        <w:tc>
          <w:tcPr>
            <w:tcW w:w="1850" w:type="dxa"/>
            <w:tcBorders/>
            <w:vAlign w:val="center"/>
          </w:tcPr>
          <w:p>
            <w:pPr>
              <w:pStyle w:val="TableContents"/>
              <w:bidi w:val="0"/>
              <w:spacing w:before="0" w:after="283"/>
              <w:jc w:val="left"/>
              <w:rPr/>
            </w:pPr>
            <w:r>
              <w:rPr/>
              <w:t> </w:t>
            </w:r>
          </w:p>
        </w:tc>
        <w:tc>
          <w:tcPr>
            <w:tcW w:w="7395" w:type="dxa"/>
            <w:gridSpan w:val="4"/>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7395" w:type="dxa"/>
            <w:gridSpan w:val="4"/>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20"/>
              </w:rPr>
            </w:pPr>
            <w:r>
              <w:rPr>
                <w:sz w:val="20"/>
              </w:rPr>
              <w:t>Date: August 24, 2026</w:t>
            </w:r>
          </w:p>
        </w:tc>
        <w:tc>
          <w:tcPr>
            <w:tcW w:w="320" w:type="dxa"/>
            <w:tcBorders/>
            <w:vAlign w:val="center"/>
          </w:tcPr>
          <w:p>
            <w:pPr>
              <w:pStyle w:val="TableContents"/>
              <w:bidi w:val="0"/>
              <w:spacing w:before="0" w:after="283"/>
              <w:jc w:val="left"/>
              <w:rPr>
                <w:sz w:val="20"/>
              </w:rPr>
            </w:pPr>
            <w:r>
              <w:rPr>
                <w:sz w:val="20"/>
              </w:rPr>
              <w:t>By:</w:t>
            </w:r>
          </w:p>
        </w:tc>
        <w:tc>
          <w:tcPr>
            <w:tcW w:w="701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George F. Schoen</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470" w:type="dxa"/>
            <w:tcBorders/>
            <w:vAlign w:val="center"/>
          </w:tcPr>
          <w:p>
            <w:pPr>
              <w:pStyle w:val="TableContents"/>
              <w:bidi w:val="0"/>
              <w:spacing w:before="0" w:after="283"/>
              <w:jc w:val="left"/>
              <w:rPr/>
            </w:pPr>
            <w:r>
              <w:rPr/>
              <w:t>George F. Schoen</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470" w:type="dxa"/>
            <w:tcBorders/>
            <w:vAlign w:val="center"/>
          </w:tcPr>
          <w:p>
            <w:pPr>
              <w:pStyle w:val="TableContents"/>
              <w:bidi w:val="0"/>
              <w:spacing w:before="0" w:after="283"/>
              <w:jc w:val="left"/>
              <w:rPr/>
            </w:pPr>
            <w:r>
              <w:rPr/>
              <w:t>Executive Vice President, General Counsel and Corporate Secretary</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26" w:name="ex10-1.htm"/>
      <w:bookmarkStart w:id="27" w:name="ksex101"/>
      <w:bookmarkEnd w:id="26"/>
      <w:bookmarkEnd w:id="27"/>
      <w:r>
        <w:rPr>
          <w:b/>
        </w:rPr>
        <w:t>Exhibit 10.1</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MARTIN MARIETTA MATERIALS,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LNA HOLDING SRL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FINANCIÈRE DE GESTIONS INTERNATIONALES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August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980"/>
        <w:gridCol w:w="500"/>
        <w:gridCol w:w="7880"/>
        <w:gridCol w:w="500"/>
      </w:tblGrid>
      <w:tr>
        <w:trPr/>
        <w:tc>
          <w:tcPr>
            <w:tcW w:w="9360" w:type="dxa"/>
            <w:gridSpan w:val="3"/>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right"/>
              <w:rPr/>
            </w:pPr>
            <w:r>
              <w:rPr/>
              <w:t>Page</w:t>
            </w:r>
          </w:p>
        </w:tc>
      </w:tr>
      <w:tr>
        <w:trPr/>
        <w:tc>
          <w:tcPr>
            <w:tcW w:w="9360" w:type="dxa"/>
            <w:gridSpan w:val="3"/>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1.</w:t>
            </w:r>
          </w:p>
        </w:tc>
        <w:tc>
          <w:tcPr>
            <w:tcW w:w="8380" w:type="dxa"/>
            <w:gridSpan w:val="2"/>
            <w:tcBorders/>
            <w:vAlign w:val="center"/>
          </w:tcPr>
          <w:p>
            <w:pPr>
              <w:pStyle w:val="TableContents"/>
              <w:bidi w:val="0"/>
              <w:spacing w:before="0" w:after="283"/>
              <w:jc w:val="left"/>
              <w:rPr/>
            </w:pPr>
            <w:r>
              <w:rPr/>
              <w:t>Definitions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2.</w:t>
            </w:r>
          </w:p>
        </w:tc>
        <w:tc>
          <w:tcPr>
            <w:tcW w:w="8380" w:type="dxa"/>
            <w:gridSpan w:val="2"/>
            <w:tcBorders/>
            <w:vAlign w:val="center"/>
          </w:tcPr>
          <w:p>
            <w:pPr>
              <w:pStyle w:val="TableContents"/>
              <w:bidi w:val="0"/>
              <w:spacing w:before="0" w:after="283"/>
              <w:jc w:val="left"/>
              <w:rPr/>
            </w:pPr>
            <w:r>
              <w:rPr/>
              <w:t>Transfers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2.1.</w:t>
            </w:r>
          </w:p>
        </w:tc>
        <w:tc>
          <w:tcPr>
            <w:tcW w:w="7880" w:type="dxa"/>
            <w:tcBorders/>
            <w:vAlign w:val="center"/>
          </w:tcPr>
          <w:p>
            <w:pPr>
              <w:pStyle w:val="TableContents"/>
              <w:bidi w:val="0"/>
              <w:spacing w:before="0" w:after="283"/>
              <w:jc w:val="left"/>
              <w:rPr/>
            </w:pPr>
            <w:r>
              <w:rPr/>
              <w:t>Transfer Restrictions</w:t>
            </w:r>
          </w:p>
        </w:tc>
        <w:tc>
          <w:tcPr>
            <w:tcW w:w="500" w:type="dxa"/>
            <w:tcBorders/>
            <w:vAlign w:val="center"/>
          </w:tcPr>
          <w:p>
            <w:pPr>
              <w:pStyle w:val="TableContents"/>
              <w:bidi w:val="0"/>
              <w:spacing w:before="0" w:after="283"/>
              <w:jc w:val="right"/>
              <w:rPr/>
            </w:pPr>
            <w:r>
              <w:rPr/>
              <w:t>6</w:t>
            </w:r>
          </w:p>
        </w:tc>
      </w:tr>
      <w:tr>
        <w:trPr/>
        <w:tc>
          <w:tcPr>
            <w:tcW w:w="9360" w:type="dxa"/>
            <w:gridSpan w:val="3"/>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3.</w:t>
            </w:r>
          </w:p>
        </w:tc>
        <w:tc>
          <w:tcPr>
            <w:tcW w:w="8380" w:type="dxa"/>
            <w:gridSpan w:val="2"/>
            <w:tcBorders/>
            <w:vAlign w:val="center"/>
          </w:tcPr>
          <w:p>
            <w:pPr>
              <w:pStyle w:val="TableContents"/>
              <w:bidi w:val="0"/>
              <w:spacing w:before="0" w:after="283"/>
              <w:jc w:val="left"/>
              <w:rPr/>
            </w:pPr>
            <w:r>
              <w:rPr/>
              <w:t>Securities Restrictions; Legends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3.1.</w:t>
            </w:r>
          </w:p>
        </w:tc>
        <w:tc>
          <w:tcPr>
            <w:tcW w:w="7880" w:type="dxa"/>
            <w:tcBorders/>
            <w:vAlign w:val="center"/>
          </w:tcPr>
          <w:p>
            <w:pPr>
              <w:pStyle w:val="TableContents"/>
              <w:bidi w:val="0"/>
              <w:spacing w:before="0" w:after="283"/>
              <w:jc w:val="left"/>
              <w:rPr/>
            </w:pPr>
            <w:r>
              <w:rPr/>
              <w:t>Securities Restrictions; Legends</w:t>
            </w:r>
          </w:p>
        </w:tc>
        <w:tc>
          <w:tcPr>
            <w:tcW w:w="500" w:type="dxa"/>
            <w:tcBorders/>
            <w:vAlign w:val="center"/>
          </w:tcPr>
          <w:p>
            <w:pPr>
              <w:pStyle w:val="TableContents"/>
              <w:bidi w:val="0"/>
              <w:spacing w:before="0" w:after="283"/>
              <w:jc w:val="right"/>
              <w:rPr/>
            </w:pPr>
            <w:r>
              <w:rPr/>
              <w:t>8</w:t>
            </w:r>
          </w:p>
        </w:tc>
      </w:tr>
      <w:tr>
        <w:trPr/>
        <w:tc>
          <w:tcPr>
            <w:tcW w:w="9360" w:type="dxa"/>
            <w:gridSpan w:val="3"/>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4.</w:t>
            </w:r>
          </w:p>
        </w:tc>
        <w:tc>
          <w:tcPr>
            <w:tcW w:w="8380" w:type="dxa"/>
            <w:gridSpan w:val="2"/>
            <w:tcBorders/>
            <w:vAlign w:val="center"/>
          </w:tcPr>
          <w:p>
            <w:pPr>
              <w:pStyle w:val="TableContents"/>
              <w:bidi w:val="0"/>
              <w:spacing w:before="0" w:after="283"/>
              <w:jc w:val="left"/>
              <w:rPr/>
            </w:pPr>
            <w:r>
              <w:rPr/>
              <w:t>Election of Directors; Observer</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w:t>
            </w:r>
          </w:p>
        </w:tc>
        <w:tc>
          <w:tcPr>
            <w:tcW w:w="7880" w:type="dxa"/>
            <w:tcBorders/>
            <w:vAlign w:val="center"/>
          </w:tcPr>
          <w:p>
            <w:pPr>
              <w:pStyle w:val="TableContents"/>
              <w:bidi w:val="0"/>
              <w:spacing w:before="0" w:after="283"/>
              <w:jc w:val="left"/>
              <w:rPr/>
            </w:pPr>
            <w:r>
              <w:rPr/>
              <w:t>Designation Rights</w:t>
            </w:r>
          </w:p>
        </w:tc>
        <w:tc>
          <w:tcPr>
            <w:tcW w:w="500" w:type="dxa"/>
            <w:tcBorders/>
            <w:vAlign w:val="center"/>
          </w:tcPr>
          <w:p>
            <w:pPr>
              <w:pStyle w:val="TableContents"/>
              <w:bidi w:val="0"/>
              <w:spacing w:before="0" w:after="283"/>
              <w:jc w:val="right"/>
              <w:rPr/>
            </w:pPr>
            <w:r>
              <w:rPr/>
              <w:t>10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4.2.</w:t>
            </w:r>
          </w:p>
        </w:tc>
        <w:tc>
          <w:tcPr>
            <w:tcW w:w="7880" w:type="dxa"/>
            <w:tcBorders/>
            <w:vAlign w:val="center"/>
          </w:tcPr>
          <w:p>
            <w:pPr>
              <w:pStyle w:val="TableContents"/>
              <w:bidi w:val="0"/>
              <w:spacing w:before="0" w:after="283"/>
              <w:jc w:val="left"/>
              <w:rPr/>
            </w:pPr>
            <w:r>
              <w:rPr/>
              <w:t>Committees</w:t>
            </w:r>
          </w:p>
        </w:tc>
        <w:tc>
          <w:tcPr>
            <w:tcW w:w="500" w:type="dxa"/>
            <w:tcBorders/>
            <w:vAlign w:val="center"/>
          </w:tcPr>
          <w:p>
            <w:pPr>
              <w:pStyle w:val="TableContents"/>
              <w:bidi w:val="0"/>
              <w:spacing w:before="0" w:after="283"/>
              <w:jc w:val="right"/>
              <w:rPr/>
            </w:pPr>
            <w:r>
              <w:rPr/>
              <w:t>11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4.3.</w:t>
            </w:r>
          </w:p>
        </w:tc>
        <w:tc>
          <w:tcPr>
            <w:tcW w:w="7880" w:type="dxa"/>
            <w:tcBorders/>
            <w:vAlign w:val="center"/>
          </w:tcPr>
          <w:p>
            <w:pPr>
              <w:pStyle w:val="TableContents"/>
              <w:bidi w:val="0"/>
              <w:spacing w:before="0" w:after="283"/>
              <w:jc w:val="left"/>
              <w:rPr/>
            </w:pPr>
            <w:r>
              <w:rPr/>
              <w:t>Vacancies; Removal</w:t>
            </w:r>
          </w:p>
        </w:tc>
        <w:tc>
          <w:tcPr>
            <w:tcW w:w="500" w:type="dxa"/>
            <w:tcBorders/>
            <w:vAlign w:val="center"/>
          </w:tcPr>
          <w:p>
            <w:pPr>
              <w:pStyle w:val="TableContents"/>
              <w:bidi w:val="0"/>
              <w:spacing w:before="0" w:after="283"/>
              <w:jc w:val="right"/>
              <w:rPr/>
            </w:pPr>
            <w:r>
              <w:rPr/>
              <w:t>12</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4.4.</w:t>
            </w:r>
          </w:p>
        </w:tc>
        <w:tc>
          <w:tcPr>
            <w:tcW w:w="7880" w:type="dxa"/>
            <w:tcBorders/>
            <w:vAlign w:val="center"/>
          </w:tcPr>
          <w:p>
            <w:pPr>
              <w:pStyle w:val="TableContents"/>
              <w:bidi w:val="0"/>
              <w:spacing w:before="0" w:after="283"/>
              <w:jc w:val="left"/>
              <w:rPr/>
            </w:pPr>
            <w:r>
              <w:rPr/>
              <w:t>Fall-Away</w:t>
            </w:r>
          </w:p>
        </w:tc>
        <w:tc>
          <w:tcPr>
            <w:tcW w:w="500" w:type="dxa"/>
            <w:tcBorders/>
            <w:vAlign w:val="center"/>
          </w:tcPr>
          <w:p>
            <w:pPr>
              <w:pStyle w:val="TableContents"/>
              <w:bidi w:val="0"/>
              <w:spacing w:before="0" w:after="283"/>
              <w:jc w:val="right"/>
              <w:rPr/>
            </w:pPr>
            <w:r>
              <w:rPr/>
              <w:t>12</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4.5.</w:t>
            </w:r>
          </w:p>
        </w:tc>
        <w:tc>
          <w:tcPr>
            <w:tcW w:w="7880" w:type="dxa"/>
            <w:tcBorders/>
            <w:vAlign w:val="center"/>
          </w:tcPr>
          <w:p>
            <w:pPr>
              <w:pStyle w:val="TableContents"/>
              <w:bidi w:val="0"/>
              <w:spacing w:before="0" w:after="283"/>
              <w:jc w:val="left"/>
              <w:rPr/>
            </w:pPr>
            <w:r>
              <w:rPr/>
              <w:t>Indemnification; Exculpation; Directors and Officers Insurance; Fees and Expenses</w:t>
            </w:r>
          </w:p>
        </w:tc>
        <w:tc>
          <w:tcPr>
            <w:tcW w:w="500" w:type="dxa"/>
            <w:tcBorders/>
            <w:vAlign w:val="center"/>
          </w:tcPr>
          <w:p>
            <w:pPr>
              <w:pStyle w:val="TableContents"/>
              <w:bidi w:val="0"/>
              <w:spacing w:before="0" w:after="283"/>
              <w:jc w:val="right"/>
              <w:rPr/>
            </w:pPr>
            <w:r>
              <w:rPr/>
              <w:t>13</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4.6.</w:t>
            </w:r>
          </w:p>
        </w:tc>
        <w:tc>
          <w:tcPr>
            <w:tcW w:w="7880" w:type="dxa"/>
            <w:tcBorders/>
            <w:vAlign w:val="center"/>
          </w:tcPr>
          <w:p>
            <w:pPr>
              <w:pStyle w:val="TableContents"/>
              <w:bidi w:val="0"/>
              <w:spacing w:before="0" w:after="283"/>
              <w:jc w:val="left"/>
              <w:rPr/>
            </w:pPr>
            <w:r>
              <w:rPr/>
              <w:t>Conditions</w:t>
            </w:r>
          </w:p>
        </w:tc>
        <w:tc>
          <w:tcPr>
            <w:tcW w:w="500" w:type="dxa"/>
            <w:tcBorders/>
            <w:vAlign w:val="center"/>
          </w:tcPr>
          <w:p>
            <w:pPr>
              <w:pStyle w:val="TableContents"/>
              <w:bidi w:val="0"/>
              <w:spacing w:before="0" w:after="283"/>
              <w:jc w:val="right"/>
              <w:rPr/>
            </w:pPr>
            <w:r>
              <w:rPr/>
              <w:t>13</w:t>
            </w:r>
          </w:p>
        </w:tc>
      </w:tr>
      <w:tr>
        <w:trPr/>
        <w:tc>
          <w:tcPr>
            <w:tcW w:w="9360" w:type="dxa"/>
            <w:gridSpan w:val="3"/>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5.</w:t>
            </w:r>
          </w:p>
        </w:tc>
        <w:tc>
          <w:tcPr>
            <w:tcW w:w="8380" w:type="dxa"/>
            <w:gridSpan w:val="2"/>
            <w:tcBorders/>
            <w:vAlign w:val="center"/>
          </w:tcPr>
          <w:p>
            <w:pPr>
              <w:pStyle w:val="TableContents"/>
              <w:bidi w:val="0"/>
              <w:spacing w:before="0" w:after="283"/>
              <w:jc w:val="left"/>
              <w:rPr/>
            </w:pPr>
            <w:r>
              <w:rPr/>
              <w:t>Standstill</w:t>
            </w:r>
          </w:p>
        </w:tc>
        <w:tc>
          <w:tcPr>
            <w:tcW w:w="500" w:type="dxa"/>
            <w:tcBorders/>
            <w:vAlign w:val="center"/>
          </w:tcPr>
          <w:p>
            <w:pPr>
              <w:pStyle w:val="TableContents"/>
              <w:bidi w:val="0"/>
              <w:spacing w:before="0" w:after="283"/>
              <w:jc w:val="right"/>
              <w:rPr/>
            </w:pPr>
            <w:r>
              <w:rPr/>
              <w:t>14</w:t>
            </w:r>
          </w:p>
        </w:tc>
      </w:tr>
      <w:tr>
        <w:trPr/>
        <w:tc>
          <w:tcPr>
            <w:tcW w:w="9360" w:type="dxa"/>
            <w:gridSpan w:val="3"/>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980" w:type="dxa"/>
            <w:tcBorders/>
            <w:vAlign w:val="center"/>
          </w:tcPr>
          <w:p>
            <w:pPr>
              <w:pStyle w:val="TableContents"/>
              <w:bidi w:val="0"/>
              <w:spacing w:before="0" w:after="283"/>
              <w:jc w:val="left"/>
              <w:rPr/>
            </w:pPr>
            <w:r>
              <w:rPr/>
              <w:t>Section 6.</w:t>
            </w:r>
          </w:p>
        </w:tc>
        <w:tc>
          <w:tcPr>
            <w:tcW w:w="8380" w:type="dxa"/>
            <w:gridSpan w:val="2"/>
            <w:tcBorders/>
            <w:vAlign w:val="center"/>
          </w:tcPr>
          <w:p>
            <w:pPr>
              <w:pStyle w:val="TableContents"/>
              <w:bidi w:val="0"/>
              <w:spacing w:before="0" w:after="283"/>
              <w:jc w:val="left"/>
              <w:rPr/>
            </w:pPr>
            <w:r>
              <w:rPr/>
              <w:t>Miscellaneous Provisions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w:t>
            </w:r>
          </w:p>
        </w:tc>
        <w:tc>
          <w:tcPr>
            <w:tcW w:w="7880" w:type="dxa"/>
            <w:tcBorders/>
            <w:vAlign w:val="center"/>
          </w:tcPr>
          <w:p>
            <w:pPr>
              <w:pStyle w:val="TableContents"/>
              <w:bidi w:val="0"/>
              <w:spacing w:before="0" w:after="283"/>
              <w:jc w:val="left"/>
              <w:rPr/>
            </w:pPr>
            <w:r>
              <w:rPr/>
              <w:t>Governing Law; Jurisdiction; Waiver of Jury Trial</w:t>
            </w:r>
          </w:p>
        </w:tc>
        <w:tc>
          <w:tcPr>
            <w:tcW w:w="500" w:type="dxa"/>
            <w:tcBorders/>
            <w:vAlign w:val="center"/>
          </w:tcPr>
          <w:p>
            <w:pPr>
              <w:pStyle w:val="TableContents"/>
              <w:bidi w:val="0"/>
              <w:spacing w:before="0" w:after="283"/>
              <w:jc w:val="right"/>
              <w:rPr/>
            </w:pPr>
            <w:r>
              <w:rPr/>
              <w:t>16</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6.2.</w:t>
            </w:r>
          </w:p>
        </w:tc>
        <w:tc>
          <w:tcPr>
            <w:tcW w:w="7880" w:type="dxa"/>
            <w:tcBorders/>
            <w:vAlign w:val="center"/>
          </w:tcPr>
          <w:p>
            <w:pPr>
              <w:pStyle w:val="TableContents"/>
              <w:bidi w:val="0"/>
              <w:spacing w:before="0" w:after="283"/>
              <w:jc w:val="left"/>
              <w:rPr/>
            </w:pPr>
            <w:r>
              <w:rPr/>
              <w:t>Amendment</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6.3.</w:t>
            </w:r>
          </w:p>
        </w:tc>
        <w:tc>
          <w:tcPr>
            <w:tcW w:w="7880" w:type="dxa"/>
            <w:tcBorders/>
            <w:vAlign w:val="center"/>
          </w:tcPr>
          <w:p>
            <w:pPr>
              <w:pStyle w:val="TableContents"/>
              <w:bidi w:val="0"/>
              <w:spacing w:before="0" w:after="283"/>
              <w:jc w:val="left"/>
              <w:rPr/>
            </w:pPr>
            <w:r>
              <w:rPr/>
              <w:t>Termination</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6.4.</w:t>
            </w:r>
          </w:p>
        </w:tc>
        <w:tc>
          <w:tcPr>
            <w:tcW w:w="7880" w:type="dxa"/>
            <w:tcBorders/>
            <w:vAlign w:val="center"/>
          </w:tcPr>
          <w:p>
            <w:pPr>
              <w:pStyle w:val="TableContents"/>
              <w:bidi w:val="0"/>
              <w:spacing w:before="0" w:after="283"/>
              <w:jc w:val="left"/>
              <w:rPr/>
            </w:pPr>
            <w:r>
              <w:rPr/>
              <w:t>Notices</w:t>
            </w:r>
          </w:p>
        </w:tc>
        <w:tc>
          <w:tcPr>
            <w:tcW w:w="500" w:type="dxa"/>
            <w:tcBorders/>
            <w:vAlign w:val="center"/>
          </w:tcPr>
          <w:p>
            <w:pPr>
              <w:pStyle w:val="TableContents"/>
              <w:bidi w:val="0"/>
              <w:spacing w:before="0" w:after="283"/>
              <w:jc w:val="right"/>
              <w:rPr/>
            </w:pPr>
            <w:r>
              <w:rPr/>
              <w:t>18</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6.5.</w:t>
            </w:r>
          </w:p>
        </w:tc>
        <w:tc>
          <w:tcPr>
            <w:tcW w:w="7880" w:type="dxa"/>
            <w:tcBorders/>
            <w:vAlign w:val="center"/>
          </w:tcPr>
          <w:p>
            <w:pPr>
              <w:pStyle w:val="TableContents"/>
              <w:bidi w:val="0"/>
              <w:spacing w:before="0" w:after="283"/>
              <w:jc w:val="left"/>
              <w:rPr/>
            </w:pPr>
            <w:r>
              <w:rPr/>
              <w:t>Specific Performance</w:t>
            </w:r>
          </w:p>
        </w:tc>
        <w:tc>
          <w:tcPr>
            <w:tcW w:w="500" w:type="dxa"/>
            <w:tcBorders/>
            <w:vAlign w:val="center"/>
          </w:tcPr>
          <w:p>
            <w:pPr>
              <w:pStyle w:val="TableContents"/>
              <w:bidi w:val="0"/>
              <w:spacing w:before="0" w:after="283"/>
              <w:jc w:val="right"/>
              <w:rPr/>
            </w:pPr>
            <w:r>
              <w:rPr/>
              <w:t>19</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6.6.</w:t>
            </w:r>
          </w:p>
        </w:tc>
        <w:tc>
          <w:tcPr>
            <w:tcW w:w="7880" w:type="dxa"/>
            <w:tcBorders/>
            <w:vAlign w:val="center"/>
          </w:tcPr>
          <w:p>
            <w:pPr>
              <w:pStyle w:val="TableContents"/>
              <w:bidi w:val="0"/>
              <w:spacing w:before="0" w:after="283"/>
              <w:jc w:val="left"/>
              <w:rPr/>
            </w:pPr>
            <w:r>
              <w:rPr/>
              <w:t>Treatment of Certain Transfers</w:t>
            </w:r>
          </w:p>
        </w:tc>
        <w:tc>
          <w:tcPr>
            <w:tcW w:w="500" w:type="dxa"/>
            <w:tcBorders/>
            <w:vAlign w:val="center"/>
          </w:tcPr>
          <w:p>
            <w:pPr>
              <w:pStyle w:val="TableContents"/>
              <w:bidi w:val="0"/>
              <w:spacing w:before="0" w:after="283"/>
              <w:jc w:val="right"/>
              <w:rPr/>
            </w:pPr>
            <w:r>
              <w:rPr/>
              <w:t>19</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6.7.</w:t>
            </w:r>
          </w:p>
        </w:tc>
        <w:tc>
          <w:tcPr>
            <w:tcW w:w="7880" w:type="dxa"/>
            <w:tcBorders/>
            <w:vAlign w:val="center"/>
          </w:tcPr>
          <w:p>
            <w:pPr>
              <w:pStyle w:val="TableContents"/>
              <w:bidi w:val="0"/>
              <w:spacing w:before="0" w:after="283"/>
              <w:jc w:val="left"/>
              <w:rPr/>
            </w:pPr>
            <w:r>
              <w:rPr/>
              <w:t>Counterparts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6.8.</w:t>
            </w:r>
          </w:p>
        </w:tc>
        <w:tc>
          <w:tcPr>
            <w:tcW w:w="7880" w:type="dxa"/>
            <w:tcBorders/>
            <w:vAlign w:val="center"/>
          </w:tcPr>
          <w:p>
            <w:pPr>
              <w:pStyle w:val="TableContents"/>
              <w:bidi w:val="0"/>
              <w:spacing w:before="0" w:after="283"/>
              <w:jc w:val="left"/>
              <w:rPr/>
            </w:pPr>
            <w:r>
              <w:rPr/>
              <w:t>Severability</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6.9.</w:t>
            </w:r>
          </w:p>
        </w:tc>
        <w:tc>
          <w:tcPr>
            <w:tcW w:w="7880" w:type="dxa"/>
            <w:tcBorders/>
            <w:vAlign w:val="center"/>
          </w:tcPr>
          <w:p>
            <w:pPr>
              <w:pStyle w:val="TableContents"/>
              <w:bidi w:val="0"/>
              <w:spacing w:before="0" w:after="283"/>
              <w:jc w:val="left"/>
              <w:rPr/>
            </w:pPr>
            <w:r>
              <w:rPr/>
              <w:t>Further Efforts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6.10.</w:t>
            </w:r>
          </w:p>
        </w:tc>
        <w:tc>
          <w:tcPr>
            <w:tcW w:w="7880" w:type="dxa"/>
            <w:tcBorders/>
            <w:vAlign w:val="center"/>
          </w:tcPr>
          <w:p>
            <w:pPr>
              <w:pStyle w:val="TableContents"/>
              <w:bidi w:val="0"/>
              <w:spacing w:before="0" w:after="283"/>
              <w:jc w:val="left"/>
              <w:rPr/>
            </w:pPr>
            <w:r>
              <w:rPr/>
              <w:t>Extension of Time, Waiver, Etc.</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6.11.</w:t>
            </w:r>
          </w:p>
        </w:tc>
        <w:tc>
          <w:tcPr>
            <w:tcW w:w="7880" w:type="dxa"/>
            <w:tcBorders/>
            <w:vAlign w:val="center"/>
          </w:tcPr>
          <w:p>
            <w:pPr>
              <w:pStyle w:val="TableContents"/>
              <w:bidi w:val="0"/>
              <w:spacing w:before="0" w:after="283"/>
              <w:jc w:val="left"/>
              <w:rPr/>
            </w:pPr>
            <w:r>
              <w:rPr/>
              <w:t>Entire Agreement; No Third-Party Beneficiaries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6.12.</w:t>
            </w:r>
          </w:p>
        </w:tc>
        <w:tc>
          <w:tcPr>
            <w:tcW w:w="7880" w:type="dxa"/>
            <w:tcBorders/>
            <w:vAlign w:val="center"/>
          </w:tcPr>
          <w:p>
            <w:pPr>
              <w:pStyle w:val="TableContents"/>
              <w:bidi w:val="0"/>
              <w:spacing w:before="0" w:after="283"/>
              <w:jc w:val="left"/>
              <w:rPr/>
            </w:pPr>
            <w:r>
              <w:rPr/>
              <w:t>No Partnership Status</w:t>
            </w:r>
          </w:p>
        </w:tc>
        <w:tc>
          <w:tcPr>
            <w:tcW w:w="5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6.13.</w:t>
            </w:r>
          </w:p>
        </w:tc>
        <w:tc>
          <w:tcPr>
            <w:tcW w:w="7880" w:type="dxa"/>
            <w:tcBorders/>
            <w:vAlign w:val="center"/>
          </w:tcPr>
          <w:p>
            <w:pPr>
              <w:pStyle w:val="TableContents"/>
              <w:bidi w:val="0"/>
              <w:spacing w:before="0" w:after="283"/>
              <w:jc w:val="left"/>
              <w:rPr/>
            </w:pPr>
            <w:r>
              <w:rPr/>
              <w:t>Binding Effect</w:t>
            </w:r>
          </w:p>
        </w:tc>
        <w:tc>
          <w:tcPr>
            <w:tcW w:w="500" w:type="dxa"/>
            <w:tcBorders/>
            <w:vAlign w:val="center"/>
          </w:tcPr>
          <w:p>
            <w:pPr>
              <w:pStyle w:val="TableContents"/>
              <w:bidi w:val="0"/>
              <w:spacing w:before="0" w:after="283"/>
              <w:jc w:val="right"/>
              <w:rPr/>
            </w:pPr>
            <w:r>
              <w:rPr/>
              <w:t>21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6.14.</w:t>
            </w:r>
          </w:p>
        </w:tc>
        <w:tc>
          <w:tcPr>
            <w:tcW w:w="7880" w:type="dxa"/>
            <w:tcBorders/>
            <w:vAlign w:val="center"/>
          </w:tcPr>
          <w:p>
            <w:pPr>
              <w:pStyle w:val="TableContents"/>
              <w:bidi w:val="0"/>
              <w:spacing w:before="0" w:after="283"/>
              <w:jc w:val="left"/>
              <w:rPr/>
            </w:pPr>
            <w:r>
              <w:rPr/>
              <w:t>Further Acknowledgements</w:t>
            </w:r>
          </w:p>
        </w:tc>
        <w:tc>
          <w:tcPr>
            <w:tcW w:w="500" w:type="dxa"/>
            <w:tcBorders/>
            <w:vAlign w:val="center"/>
          </w:tcPr>
          <w:p>
            <w:pPr>
              <w:pStyle w:val="TableContents"/>
              <w:bidi w:val="0"/>
              <w:spacing w:before="0" w:after="283"/>
              <w:jc w:val="right"/>
              <w:rPr/>
            </w:pPr>
            <w:r>
              <w:rPr/>
              <w:t>21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6.15.</w:t>
            </w:r>
          </w:p>
        </w:tc>
        <w:tc>
          <w:tcPr>
            <w:tcW w:w="7880" w:type="dxa"/>
            <w:tcBorders/>
            <w:vAlign w:val="center"/>
          </w:tcPr>
          <w:p>
            <w:pPr>
              <w:pStyle w:val="TableContents"/>
              <w:bidi w:val="0"/>
              <w:spacing w:before="0" w:after="283"/>
              <w:jc w:val="left"/>
              <w:rPr/>
            </w:pPr>
            <w:r>
              <w:rPr/>
              <w:t>Interpretation</w:t>
            </w:r>
          </w:p>
        </w:tc>
        <w:tc>
          <w:tcPr>
            <w:tcW w:w="500" w:type="dxa"/>
            <w:tcBorders/>
            <w:vAlign w:val="center"/>
          </w:tcPr>
          <w:p>
            <w:pPr>
              <w:pStyle w:val="TableContents"/>
              <w:bidi w:val="0"/>
              <w:spacing w:before="0" w:after="283"/>
              <w:jc w:val="right"/>
              <w:rPr/>
            </w:pPr>
            <w:r>
              <w:rPr/>
              <w:t>21</w:t>
            </w:r>
          </w:p>
        </w:tc>
      </w:tr>
      <w:tr>
        <w:trPr/>
        <w:tc>
          <w:tcPr>
            <w:tcW w:w="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6.16.</w:t>
            </w:r>
          </w:p>
        </w:tc>
        <w:tc>
          <w:tcPr>
            <w:tcW w:w="7880" w:type="dxa"/>
            <w:tcBorders/>
            <w:vAlign w:val="center"/>
          </w:tcPr>
          <w:p>
            <w:pPr>
              <w:pStyle w:val="TableContents"/>
              <w:bidi w:val="0"/>
              <w:spacing w:before="0" w:after="283"/>
              <w:jc w:val="left"/>
              <w:rPr/>
            </w:pPr>
            <w:r>
              <w:rPr/>
              <w:t>Assignment</w:t>
            </w:r>
          </w:p>
        </w:tc>
        <w:tc>
          <w:tcPr>
            <w:tcW w:w="500"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i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SHAREHOLDERS AGREEMENT</w:t>
      </w:r>
      <w:r>
        <w:rPr>
          <w:rFonts w:ascii="Times New Roman;Times;Serif" w:hAnsi="Times New Roman;Times;Serif"/>
          <w:b w:val="false"/>
          <w:i w:val="false"/>
          <w:caps w:val="false"/>
          <w:smallCaps w:val="false"/>
          <w:sz w:val="20"/>
        </w:rPr>
        <w:t xml:space="preserve"> is made as of August 21,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Martin Marietta Materials, Inc., a North Carolina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LNA Holding SRL, a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organized under the laws of Belgium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xml:space="preserve">”), and, solely for the purposes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Agreement, Financière de Gestions Internationales, a </w:t>
      </w:r>
      <w:r>
        <w:rPr>
          <w:rFonts w:ascii="Times New Roman;Times;Serif" w:hAnsi="Times New Roman;Times;Serif"/>
          <w:b w:val="false"/>
          <w:i/>
          <w:caps w:val="false"/>
          <w:smallCaps w:val="false"/>
          <w:sz w:val="20"/>
        </w:rPr>
        <w:t>société en commandite par actions</w:t>
      </w:r>
      <w:r>
        <w:rPr>
          <w:rFonts w:ascii="Times New Roman;Times;Serif" w:hAnsi="Times New Roman;Times;Serif"/>
          <w:b w:val="false"/>
          <w:i w:val="false"/>
          <w:caps w:val="false"/>
          <w:smallCaps w:val="false"/>
          <w:sz w:val="20"/>
        </w:rPr>
        <w:t xml:space="preserve"> organized under the laws of Luxembourg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together with the Shareholder and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Shareholder are parties to a Securities Sale Agreement dated as of June 27, 2026 (the “</w:t>
      </w:r>
      <w:r>
        <w:rPr>
          <w:rFonts w:ascii="Times New Roman;Times;Serif" w:hAnsi="Times New Roman;Times;Serif"/>
          <w:b w:val="false"/>
          <w:i w:val="false"/>
          <w:caps w:val="false"/>
          <w:smallCaps w:val="false"/>
          <w:sz w:val="20"/>
          <w:u w:val="single"/>
        </w:rPr>
        <w:t>Securities Sale Agreement</w:t>
      </w:r>
      <w:r>
        <w:rPr>
          <w:rFonts w:ascii="Times New Roman;Times;Serif" w:hAnsi="Times New Roman;Times;Serif"/>
          <w:b w:val="false"/>
          <w:i w:val="false"/>
          <w:caps w:val="false"/>
          <w:smallCaps w:val="false"/>
          <w:sz w:val="20"/>
        </w:rPr>
        <w:t>”), pursuant to which the Company agreed to acquire from the Shareholder all of the outstanding equity interests of Lhoist North America, Inc., a Delaware corporation, in exchange for a combination of cash and shares of the Company’s Common Stock, on the terms and subject to the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transactions contemplated by the Securities Sale Agreement have been consummated as of the date hereof and, pursuant to the Securities Sale Agreement, the Company has issued to the Shareholder 10,953,543 shares of Common Stock (such shares, the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execution of this Agreement, the Company and the Shareholder are also entering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Shareholder are entering into this Agreement for the purposes of setting forth their agreement and understanding relating to the ownership by the Shareholder of the Lock-Up Shares and certain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representations, warranties and agreements contained in this Agreement, and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tab/>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claim, action, suit, arbitration or proceeding by or before any Governmental Authority, court, tribunal or arbitration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in relation to a Person, any other Person that, directly or indirectly, through one or more intermediaries, controls or is controlled by or is under common control with such Person, in each case from time to time. The term “control” means the possession, directly or indirectly, of the power to direct or cause the direction of the management and policies of a Person, whether through the ownership of voting securities, by contract or otherwise,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elect at least a majority of the members of the board of directors or other governing body of a Person, and the terms “controlled” and “controlling”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xml:space="preserve">” has the meaning assigned to such term in Rule 13d-3 under the Securities Exchange Act, and a Person’s beneficial ownership of securities shall be calculated in accordance with the provisions of such Rule;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in Rule 13d-3(d)(1)(i) to the contrary, the determination of the “beneficial owner” or “beneficial ownership” shall be made after giving effect to the conversion of all options, warrants, rights and convertible or other similar securities outstanding as of any date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on which banks are generally open for normal business in New York, New York and Brussels (Belgium), which day is not a Saturday or a Sunday.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$0.01 per share, of the Company and any and all securities of any kind whatsoever of the Company which may be issued after the date of this Agreement in respect of, or in exchange for, such shares of common stock of the Company pursuant to a merger, consolidation, stock split, stock dividend or recapitalization of the Company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Complete Fall-Away Event</w:t>
      </w:r>
      <w:r>
        <w:rPr>
          <w:rFonts w:ascii="Times New Roman;Times;Serif" w:hAnsi="Times New Roman;Times;Serif"/>
          <w:b w:val="false"/>
          <w:i w:val="false"/>
          <w:caps w:val="false"/>
          <w:smallCaps w:val="false"/>
          <w:sz w:val="20"/>
        </w:rPr>
        <w:t>” means the first day on which any of the Shareholder Parties fail to vote, other than in respect of any Designated Shareholder Voting Matter, all of the shares of Common Stock beneficially owned, directly or indirectly, by the Shareholder Parties and entitled to vote at a meeting of the shareholders of the Company, at such meeting of shareholders (i) in favor of each director nominated and recommended by the Board for election at such meeting, (ii) against any shareholder nominations for director which are not approved and recommended by the Board for election and (iii) with respect to any other action, proposal or other matter to be voted upon by the shareholders of the Company (including through action by written consent), in accordance with the recommendation of the Board. For the avoidance of doubt, with respect to any Designated Shareholder Voting Matter, the Shareholder and any other Shareholder Party shall be entitled to vote any shares of Common Stock owned by it or over which it has voting control in any manner chosen by the Shareholder or such other Shareholder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sublease, license, sublicense, indenture, agreement, commitment or other legally binding arrangement, whether oral or written, and including all amendments and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Shareholder Voting Matter</w:t>
      </w:r>
      <w:r>
        <w:rPr>
          <w:rFonts w:ascii="Times New Roman;Times;Serif" w:hAnsi="Times New Roman;Times;Serif"/>
          <w:b w:val="false"/>
          <w:i w:val="false"/>
          <w:caps w:val="false"/>
          <w:smallCaps w:val="false"/>
          <w:sz w:val="20"/>
        </w:rPr>
        <w:t>” means each of the following: (i) any Merger Transaction or Sale Transaction and (ii) any amendment or series of related amendments to the Restated Articles of Incorporation of the Company or the Restated Bylaws of the Company that would have a materially adverse and disproportionate effect on the rights of the Shareholder Parties relative to the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means any descendant in direct line (including adoptive children) of the late Elisabeth Berghmans-Lhoist, born in Liège (Belgium) on the twenty fifth day of July nineteen hundred and twenty-one.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Family-Controlled Entity</w:t>
      </w:r>
      <w:r>
        <w:rPr>
          <w:rFonts w:ascii="Times New Roman;Times;Serif" w:hAnsi="Times New Roman;Times;Serif"/>
          <w:b w:val="false"/>
          <w:i w:val="false"/>
          <w:caps w:val="false"/>
          <w:smallCaps w:val="false"/>
          <w:sz w:val="20"/>
        </w:rPr>
        <w:t>” means any entity (i) the majority of the members of the board of directors (or equivalent governing body) of which are designated, nominated or elected, directly or indirectly, by one or more Family Members, (ii) the majority of the general partner, managing member or equivalent interests of which are beneficially owned, directly or indirectly, by one or more Family Members or (iii) which one or more Family Members, alone or together with other Family Members, otherwise has the power, directly or indirectly, to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Fall-Away Event</w:t>
      </w:r>
      <w:r>
        <w:rPr>
          <w:rFonts w:ascii="Times New Roman;Times;Serif" w:hAnsi="Times New Roman;Times;Serif"/>
          <w:b w:val="false"/>
          <w:i w:val="false"/>
          <w:caps w:val="false"/>
          <w:smallCaps w:val="false"/>
          <w:sz w:val="20"/>
        </w:rPr>
        <w:t>” means the first day on which the Shareholder Parties no longer collectively own at least 7,102,033 shares of Common Stock (adjusted for any stock split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Shareholder Designee</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has the meaning ascribed thereto in Section 13(d)(3) of the Securities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all applicable legislation, statutes, transposed directives, regulations, decrees, ordinances, instruments, codes and other legislative measures or decisions having the force of law, treaties, conventions and other agreements between states, or between states and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Union or other supranational authorities, rules of common law and equity and all civil or other codes and all judgments, decisions, orders, directives, recommendations, circulars, standards of any Governmental Authority, including any judicial or administrative interpretation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Transaction</w:t>
      </w:r>
      <w:r>
        <w:rPr>
          <w:rFonts w:ascii="Times New Roman;Times;Serif" w:hAnsi="Times New Roman;Times;Serif"/>
          <w:b w:val="false"/>
          <w:i w:val="false"/>
          <w:caps w:val="false"/>
          <w:smallCaps w:val="false"/>
          <w:sz w:val="20"/>
        </w:rPr>
        <w:t>” means any transaction or series of related transactions involving: (i) any acquisition (whether direct or indirect, including by way of merger, share exchange, consolidation, business combination or other similar transaction) or purchase from the Company or any of its Subsidiaries that would result in any Person or Group beneficially owning more than fifty percent (50%) of the total outstanding securities of the Company (measured by voting power or economic interest), or (ii) any tender offer, exchange offer or other secondary acquisition that would result in any Person or Group beneficially owning more than fifty percent (50%) of the total outstanding securities of the Company (measured by voting power or economic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means (i) any Affiliate of the Shareholder, (ii) any member of the Vendor Group or (iii) any Family Member or Family-Controlled Entity. Each Permitted Transferee shall, subject to delivery of the joinder contemplated by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become a party to this Agreement upon transfer and shall be entitled to all rights and subject to all obligations of the Shareholder (including the right to further assign to its own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company, corporation, partnership, limited liability company, trust, body corporate (wherever located) or other entity, organization or unincorporated association, including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Transferee</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SEC under the rules and regulations promulgated under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(other than a Registration Statement on Form S-4 or Form S-8, or any successor forms thereto, promulgated under the Securities Act), including the related prospectus, amendments and supplements to such registration statement, including pre- and post-effective amendments, and all exhibits and material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in relation to a Party, its Affiliates and its and their respective directors, officers, employees, agents, auditors, consultants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(or any successor provisions)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Transaction</w:t>
      </w:r>
      <w:r>
        <w:rPr>
          <w:rFonts w:ascii="Times New Roman;Times;Serif" w:hAnsi="Times New Roman;Times;Serif"/>
          <w:b w:val="false"/>
          <w:i w:val="false"/>
          <w:caps w:val="false"/>
          <w:smallCaps w:val="false"/>
          <w:sz w:val="20"/>
        </w:rPr>
        <w:t>” means any transaction or series of related transactions involving the direct or indirect sale, lease, assignment, disposition or other transfer (by operation of law or otherwise) of all or substantially all of the assets of the Company and its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Fall-Away Event</w:t>
      </w:r>
      <w:r>
        <w:rPr>
          <w:rFonts w:ascii="Times New Roman;Times;Serif" w:hAnsi="Times New Roman;Times;Serif"/>
          <w:b w:val="false"/>
          <w:i w:val="false"/>
          <w:caps w:val="false"/>
          <w:smallCaps w:val="false"/>
          <w:sz w:val="20"/>
        </w:rPr>
        <w:t>” means the first day on which the Shareholder Parties no longer collectively own at least 5,326,525 shares of Common Stock (adjusted for any stock split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Shareholder Designee</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shall mean, with respect to any Person, all equity interests of such Person, all securities convertible into, exercisable or exchangeable for equity interests of such Person, and all options, warrants, and other rights to purchase or otherwise acquire from such Person equity interests, including any equity appreciation or similar rights, contractual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and applicable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Sale Agreement</w:t>
      </w:r>
      <w:r>
        <w:rPr>
          <w:rFonts w:ascii="Times New Roman;Times;Serif" w:hAnsi="Times New Roman;Times;Serif"/>
          <w:b w:val="false"/>
          <w:i w:val="false"/>
          <w:caps w:val="false"/>
          <w:smallCaps w:val="false"/>
          <w:sz w:val="20"/>
        </w:rPr>
        <w:t>” has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has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Designee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Shareholder Designees</w:t>
      </w:r>
      <w:r>
        <w:rPr>
          <w:rFonts w:ascii="Times New Roman;Times;Serif" w:hAnsi="Times New Roman;Times;Serif"/>
          <w:b w:val="false"/>
          <w:i w:val="false"/>
          <w:caps w:val="false"/>
          <w:smallCaps w:val="false"/>
          <w:sz w:val="20"/>
        </w:rPr>
        <w:t xml:space="preserve">” have the meaning ascribed to such terms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Observer</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Parties</w:t>
      </w:r>
      <w:r>
        <w:rPr>
          <w:rFonts w:ascii="Times New Roman;Times;Serif" w:hAnsi="Times New Roman;Times;Serif"/>
          <w:b w:val="false"/>
          <w:i w:val="false"/>
          <w:caps w:val="false"/>
          <w:smallCaps w:val="false"/>
          <w:sz w:val="20"/>
        </w:rPr>
        <w:t xml:space="preserve">” means the Shareholder and each Permitted Transferee of the Shareholder to whom shares of Common Stock are transferred pursuant to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specified Person or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Transferring</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means a Person that Transfers or proposes to Transfer; and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means a Person to whom a Transfer is made or is proposed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Vendor Group</w:t>
      </w:r>
      <w:r>
        <w:rPr>
          <w:rFonts w:ascii="Times New Roman;Times;Serif" w:hAnsi="Times New Roman;Times;Serif"/>
          <w:b w:val="false"/>
          <w:i w:val="false"/>
          <w:caps w:val="false"/>
          <w:smallCaps w:val="false"/>
          <w:sz w:val="20"/>
        </w:rPr>
        <w:t>” has the meaning ascribed to such term in the Securities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Transfers, neither the Shareholder nor any other Shareholder Party shall Transfer any of the Lock-Up Shares between the date hereof and the date that is the twenty-four (24) month anniversary of this Agreement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Shareholder Parties may Transfer up to an aggregate amount equal to 50% of the Lock-Up Shares after the date that is the twelve (12) month anniversary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means, in each case so long as such Transfer is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Transfer of shares of Common Stock to a Permitted Transferee, so long as such Permitted Transferee, to the extent it has not already done so, executes a customary joinder to this Agreement, in form and substance reasonably acceptable to the Company, in which such Permitted Transferee agrees to be a “Shareholder Party”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Transfers in connection with (A) any Merger Transaction, Sale Transaction or third party tender or exchange offer involving the Common Stock that has been approved by the Board (and, for the avoidance of doubt, if the applicable Shareholder Party does Transfer Lock-Up Shares to a third party in connection with such tender or exchange offer, the restrictions set forth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not apply to such third party with respect to such shares) or (B) any tender or exchange offer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Transfers that have been approved in writing by the Board (and, for the avoidance of doubt, if the applicable Shareholder Party does Transfer Lock-Up Shares to a third party with the Board’s written approval, the restrictions set forth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not apply to such third party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Transfers in connection with bona fide pledges to (or deposits with) nationally recognized financial institutions as collateral for margin loans or other credit facilities;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Transferor continues to exercise voting control over such pledged shares of Common Stock at all times prior to any pledgee taking ownership of the relevant Lock-Up Shares and (B) as a condition to any pledgee’s ability to take ownership of the relevant Lock-Up Shares, such pledgee shall execute a customary joinder to this Agreement, in form and substance reasonably acceptable to the Company, in which such Permitted Transferee agrees to be a “Shareholder Party”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inheritance or estate planning or charitable Transfers;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such Transfer, the Transferee (A) executes a customary joinder to this Agreement, in form and substance reasonably acceptable to the Company, in which such Transferee agrees to be a “Shareholder Party” for all purposes of this Agreement or (B) in the case of a charitable Transfer, irrevocably waives all rights of such Transferee as a “Shareholder Party” for all purposes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Transfers pursuant to any order of a court or regulatory body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no Shareholder Party will at any time during or following the Lock-Up Period, without the prior written consent of the Company, directly or knowingly indirectly Transfer any Lock-Up Shares to (i) a Prohibited Transferee or (ii) to a Person or Group that, after giving effect to a proposed Transfer, would beneficially own greater than ten percent (10%) of the then outstanding shares of Common Stock on an as-converted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but subject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shall restrict any Transfer (other than to any Prohibited Transferee described in clause (a) of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into the public market pursuant to (A) a bona fide, broadly distributed underwritten public offering or (B) any block trade, bought deal, overnight marketed offering, or accelerated bookbuilt offering, in each case made in accordance with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tab/>
      </w:r>
      <w:r>
        <w:rPr>
          <w:rFonts w:ascii="Times New Roman;Times;Serif" w:hAnsi="Times New Roman;Times;Serif"/>
          <w:b w:val="false"/>
          <w:i w:val="false"/>
          <w:caps w:val="false"/>
          <w:smallCaps w:val="false"/>
          <w:sz w:val="20"/>
          <w:u w:val="single"/>
        </w:rPr>
        <w:t>Securities Restrictions; Legends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Securities Restrictions; Legends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acknowledges that the Lock-Up Shares have not been registered under the Securities Act and as such the Lock-Up Shares may not be transferred except pursuant to an effective Registration Statement under the Securities Act or pursuant to an exemption from registration under the Securities Act. The Shareholder agrees that it will not, and will cause its Affiliates not to, make any Transfer at any time if such action would or would be likely to (i) constitute a violation of any securities Laws of any applicable jurisdiction or a breach of the conditions to any exemption from registration of the Lock-Up Shares under any such Laws or (ii) cause the Company to become subject to the registration requirements of the U.S.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certificate representing the Lock-Up Shares, or other instrument (including a statement issued by the registrar in connection with a book-entry system) representing Lock-Up Shares, shall (unless otherwise permitted by the provisions of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below) be stamped or otherwise imprinted with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THE SHARES OF COMMON STOCK REPRESENTED HEREBY HAVE NOT BEEN REGISTERED UNDER THE SECURITIES ACT OF 1933, AS AMENDED (THE “SECURITIES ACT”), WITH THE UNITED STATES SECURITIES AND EXCHANGE COMMISSION OR THE SECURITIES COMMISSION OF ANY STATE OR UNDER ANY OTHER SECURITIES LAWS AND, ACCORDINGLY, MAY NOT BE SOLD, TRANSFERRED, OFFERED FOR SALE, PLEDGED, HYPOTHECATED, ASSIGNED OR OTHERWISE DISPOSED OF IN THE ABSENCE OF (I) AN EFFECTIVE REGISTRATION OF THE SHARES UNDER THE SECURITIES ACT AND OTHER APPLICABLE SECURITIES LAWS OR (II) AN OPINION OF COUNSEL, IN SUCH FORM AND BY SUCH COUNSEL REASONABLY SATISFACTORY TO MARTIN MARIETTA MATERIALS, INC. AND ITS COUNSEL, THAT SUCH SALE, TRANSFER, OFFER, HYPOTHECATION, ASSIGNMENT OR OTHER DISPOSITION IS EXEMPT FROM REGISTRATION UNDER THE SECURITIES ACT AND ANY OTHER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certificate or other instrument evidencing the securities issued upon the transfer of any Lock-Up Shares shall bear the legend set forth above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unless (i) in such opinion of counsel to the Company, registration of any future transfer is not required by the applicable provisions of the Securities Act or (ii) the Company shall have waived the requirement of such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When (i) any Lock-Up Shares are sold or otherwise Transferred pursuant to an effective Registration Statement under the Securities Act or (ii) a Shareholder Party has transferred or intends to transfer such shares pursuant to Rule 144, such Shareholder Party shall be entitled to receive from the Company, without expense to such Shareholder Party and within five (5) Business Days of such Shareholder Party’s written request, a new certificate or other instrument (including a statement issued by the registrar in connection with a book-entry system) representing shares of Common Stock not bearing the restrictive legend set forth above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The Company shall cooperate with and direct its transfer agent to facilitate the timely removal of such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9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certificate representing Lock-Up Shares, or other instrument (including a statement issued by the registrar in connection with a book-entry system) representing Lock-Up Shares, shall during the Lock-Up Period be stamped or otherwise imprinted with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THE SHARES OF COMMON STOCK REPRESENTED HEREBY ARE SUBJECT TO A LOCK-UP PURSUANT TO A SHAREHOLDERS AGREEMENT DATED AS OF </w:t>
      </w:r>
      <w:r>
        <w:rPr>
          <w:rFonts w:ascii="Times New Roman;Times;Serif" w:hAnsi="Times New Roman;Times;Serif"/>
          <w:b/>
          <w:i w:val="false"/>
          <w:caps/>
          <w:sz w:val="20"/>
        </w:rPr>
        <w:t>August</w:t>
      </w:r>
      <w:r>
        <w:rPr>
          <w:rFonts w:ascii="Times New Roman;Times;Serif" w:hAnsi="Times New Roman;Times;Serif"/>
          <w:b/>
          <w:i w:val="false"/>
          <w:caps w:val="false"/>
          <w:smallCaps w:val="false"/>
          <w:sz w:val="20"/>
        </w:rPr>
        <w:t xml:space="preserve"> 21, 2026 (THE “SHAREHOLDERS AGREEMENT”), BY AND AMONG MARTIN MARIETTA MATERIALS, INC. (THE “COMPANY”), LNA HOLDING SRL AND, SOLELY FOR THE PURPOSES OF </w:t>
      </w:r>
      <w:r>
        <w:rPr>
          <w:rFonts w:ascii="Times New Roman;Times;Serif" w:hAnsi="Times New Roman;Times;Serif"/>
          <w:b/>
          <w:i w:val="false"/>
          <w:caps w:val="false"/>
          <w:smallCaps w:val="false"/>
          <w:sz w:val="20"/>
          <w:u w:val="single"/>
        </w:rPr>
        <w:t>SECTION 5</w:t>
      </w:r>
      <w:r>
        <w:rPr>
          <w:rFonts w:ascii="Times New Roman;Times;Serif" w:hAnsi="Times New Roman;Times;Serif"/>
          <w:b/>
          <w:i w:val="false"/>
          <w:caps w:val="false"/>
          <w:smallCaps w:val="false"/>
          <w:sz w:val="20"/>
        </w:rPr>
        <w:t xml:space="preserve"> OF THE SHAREHOLDERS AGREEMENT, FINANCIÈRE DE GESTIONS INTERNATIONALES, THAT RESTRICTS ANY SALE, TRANSFER, ASSIGNMENT, PLEDGE, ENCUMBRANCE OR OTHER DISPOSITION OF THESE SECURITIES OR ANY INTEREST THEREIN, OTHER THAN WITH THE PRIOR WRITTEN CONSENT OF MARTIN MARIETTA MATERIALS, INC. OR OTHERWISE IN ACCORDANCE WITH THE TERMS OF THE SHAREHOLDERS AGREEMENT. A COPY OF THE SHAREHOLDERS AGREEMENT MAY BE OBTAINED UPON WRITTEN REQUEST FROM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At the expiration of the Lock-Up Period, the Shareholder shall be entitled to receive, on behalf of all then-applicable Shareholder Parties, from the Company, without expense and within five (5) Business Days following the expiration of the Lock-Up Period, a new certificate or other instrument (including a statement issued by the registrar in connection with a book-entry system) representing shares of Common Stock not bearing the restrictive legend set forth above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tab/>
      </w:r>
      <w:r>
        <w:rPr>
          <w:rFonts w:ascii="Times New Roman;Times;Serif" w:hAnsi="Times New Roman;Times;Serif"/>
          <w:b w:val="false"/>
          <w:i w:val="false"/>
          <w:caps w:val="false"/>
          <w:smallCaps w:val="false"/>
          <w:sz w:val="20"/>
          <w:u w:val="single"/>
        </w:rPr>
        <w:t>Election of Directors; Observer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Designation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following the execution of this Agreement, the Board shall take such actions as are necessary to increase the size of the Board by one (1) director and appoint the designee of the Shareholder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(such designee, or any successor specified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First Shareholder Designee</w:t>
      </w:r>
      <w:r>
        <w:rPr>
          <w:rFonts w:ascii="Times New Roman;Times;Serif" w:hAnsi="Times New Roman;Times;Serif"/>
          <w:b w:val="false"/>
          <w:i w:val="false"/>
          <w:caps w:val="false"/>
          <w:smallCaps w:val="false"/>
          <w:sz w:val="20"/>
        </w:rPr>
        <w:t>”) as a member of the Board, in each case, in accordance with the Restated Articles of Incorporation of the Company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the Restated Bylaws of the Company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the North Carolina Business Corporation Act, to serve as a director and with a term expiring at the 2027 annual meeting of the Company’s shareholders and until his or her successor is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Immediately following the execution of this Agreement, the Board shall take such actions as are necessary to appoint the designee of the Shareholder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(such designee, or any successor specified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Shareholder Observer</w:t>
      </w:r>
      <w:r>
        <w:rPr>
          <w:rFonts w:ascii="Times New Roman;Times;Serif" w:hAnsi="Times New Roman;Times;Serif"/>
          <w:b w:val="false"/>
          <w:i w:val="false"/>
          <w:caps w:val="false"/>
          <w:smallCaps w:val="false"/>
          <w:sz w:val="20"/>
        </w:rPr>
        <w:t xml:space="preserve">”) as an observer of the Board and, upon the first vacancy on the Board following the date of this Agreement for any reason (other than a vacancy resulting from the First Shareholder Designee ceasing to serve on the Board), the remaining directors and the Company shall consider in good faith causing the vacancy created thereby to be filled by the Shareholder Observer (if so appointed to the Board, such designee, or any successor specified in accordance with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Second Shareholder Designee</w:t>
      </w:r>
      <w:r>
        <w:rPr>
          <w:rFonts w:ascii="Times New Roman;Times;Serif" w:hAnsi="Times New Roman;Times;Serif"/>
          <w:b w:val="false"/>
          <w:i w:val="false"/>
          <w:caps w:val="false"/>
          <w:smallCaps w:val="false"/>
          <w:sz w:val="20"/>
        </w:rPr>
        <w:t>” and together with the First Shareholder Designee, the “</w:t>
      </w:r>
      <w:r>
        <w:rPr>
          <w:rFonts w:ascii="Times New Roman;Times;Serif" w:hAnsi="Times New Roman;Times;Serif"/>
          <w:b w:val="false"/>
          <w:i w:val="false"/>
          <w:caps w:val="false"/>
          <w:smallCaps w:val="false"/>
          <w:sz w:val="20"/>
          <w:u w:val="single"/>
        </w:rPr>
        <w:t>Shareholder Designees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Shareholder Designee</w:t>
      </w:r>
      <w:r>
        <w:rPr>
          <w:rFonts w:ascii="Times New Roman;Times;Serif" w:hAnsi="Times New Roman;Times;Serif"/>
          <w:b w:val="false"/>
          <w:i w:val="false"/>
          <w:caps w:val="false"/>
          <w:smallCaps w:val="false"/>
          <w:sz w:val="20"/>
        </w:rPr>
        <w:t>”). Following any such appointment to the Board, the right to appoint a Shareholder Observer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period commencing on the date hereof until any appointment of the Shareholder Observer as the Second Shareholder Designee, the Shareholder Observer will receive, on a confidential basis, copies of all documents distributed to the Board, including all materials prepared for consideration at any Board meeting and all minutes related to each Board meeting occurring on or after the date hereof contemporaneous with their distribution to the Board. The Shareholder Observer will have the right to attend and participate, but not vote, at all Board meetings during this period. The Company will be entitled to withhold any information and exclude the Shareholder Observer from any Board meeting, or any portion thereof, as is reasonably determined by the Company to be necessary to protect the Company’s attorney-client privilege or pertains to the matters described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Until the occurrence of the First Fall-Away Event, at any annual meeting of the Company’s shareholders at which the term of any Shareholder Designee shall expire (including the first such meeting following the date hereof), the Shareholder shall have the right to (i) nominate to the Board (A) at any time the Shareholder Observer has not been appointed as a member of the Board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one (1) Shareholder Designee as a member of the Board and (B) following any appointment of the Shareholder Observer as a member of the Board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two (2) Shareholder Designees as members of the Board, and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of each of clauses (A) and (B), the Company agrees, to the fullest extent permitted by applicable Law, to include such Shareholder Designees in the slate of nominees recommended by the Board for election at such annual meeting of the Company’s shareholders and to nominate and recommend such Shareholder Designees to be elected as directors, and to solicit proxies or consents in favor thereof. After the First Fall-Away Event and until the occurrence of the Second Fall-Away Event, at any annual meeting of the Company’s shareholders at which the term of a Shareholder Designee shall expire, the Shareholder shall have the right to nominate to the Board one (1) Shareholder Designee as a member of the Board and the Company agrees, to the fullest extent permitted by applicable Law, to include such Shareholder Designee in the slate of nominees recommended by the Board for election at such annual meeting of the Company’s shareholders and to nominate and recommend such Shareholder Designee to be elected as a director, and to solicit proxies or consents in favor thereof. After the Complete Fall-Away Event, the Shareholder shall cease to have any rights under this Agreement to nominate any Shareholder Designees as members of the Board, or to designate any Shareholder Observer, and the Company shall not be required to include any such Shareholder Designee in the slate of nominees recommended by the Board for election at any meeting of shareholders and all rights of the Shareholder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so long as the Shareholder Parties maintain any rights to nominate any Shareholder Designee as a member of the Board or designate any Shareholder Observer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such rights shall only be exercisable by the Shareholder on behalf of all Shareholder Parties. Such Shareholder’s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may not be assigned without the prior written consent of the Company, in whole or in part, by operation of Law or otherwise, and any such assignment shall be null and void, other than pursuant to a transfer by all Shareholder Parties of all their Lock-Up Shares to a single Permitted Transferee, in which case such Permitted Transferee shall be entitled to exercise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Immediately following execution of this Agreement, the Board and all applicable committees of the Board shall take all necessary actions to promptly appoint (i) the First Shareholder Designee to the committee of the Board set forth opposite their name on Schedule B attached hereto and (ii) the Shareholder Observer as an observer to the committee of the Board set forth opposite their name on Schedule B attached hereto. Thereafter, the Board and all applicable committees of the Board shall give the Shareholder Designees and the Shareholder Observer the same due consideration for membership on each committee of the Board, including any new committee(s) and subcommittee(s) that may be established, as any director and shall ensure that the Shareholder Designees and the Shareholder Observer receive the same treatment with respect to the committees on which they serve as other directors, in each case, taking into account adjustment of committee membership as determined by the Board consistent with the Board’s past practice. The Company shall cause (x) the Shareholder Observer and any Shareholder Designee to receive committee materials in the same manner as any other director of the Company, (y) the First Shareholder Designee to receive notice of, and be invited to, any meeting of the Executive Committee of the Board and (z) the Shareholder Observer and any Shareholder Designee to receive notice of, and be invited to, any meetings of any other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Board of which such Shareholder Designee is not a member, or the Shareholder Observer is not an observer, to the extent any other directors who are not members or observers of those committees receive notice of, or are invited to, such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Vacancies; Removal</w:t>
      </w:r>
      <w:r>
        <w:rPr>
          <w:rFonts w:ascii="Times New Roman;Times;Serif" w:hAnsi="Times New Roman;Times;Serif"/>
          <w:b w:val="false"/>
          <w:i w:val="false"/>
          <w:caps w:val="false"/>
          <w:smallCaps w:val="false"/>
          <w:sz w:val="20"/>
        </w:rPr>
        <w:t>. In the event that a Shareholder Designee shall cease to serve as a director of the Company for any reason, or the Shareholder Observer shall cease to serve as an observer of the Board of Directors of the Company for any reason, the Shareholder shall be entitled to designate a replacement that is reasonably acceptable to the Company (determined in the same manner as any other potential new director candidate) as such person’s successor, and provided that such person also meets the qualifications required for service as a director as set forth in the Charter, the Bylaws, Board committee charters, Corporate Governance Guidelines and any similar documents applicable to directors, and the remaining directors and the Company shall, to the fullest extent permitted by applicable Law, take all actions necessary at any time and from time to time to cause the vacancy created thereby to be filled by such new Shareholder Designee or Shareholder Observer (as the case may be) as soon as possible. Upon a new Shareholder Designee’s appointment to the Board, or a new Shareholder Observer’s appointment as an observer, the Board and all applicable committees shall appoint such Shareholder Designee or Shareholder Observer as a member or observer, as applicable, to any applicable committee of the Board of which the preceding Shareholder Designee or Shareholder Observer was a member or observer immediately prior to such Shareholder Designee or Shareholder Observer ceasing to serve as such (or such other committees as are mutually agreed by the Shareholder and Company), subject to such successor having appropriate experience and qualifications for such applicable committee and otherwise satisfying the eligibility requirements for such committee. No Shareholder Designee or Shareholder Observer shall be removed from the Board by the Company without the prior written consent of the Shareholder, other than for “cause,” as set forth in the Restated Articles of Incorporation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Fall-Away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the First Fall-Away Event (i) the Shareholder shall cause the Shareholder Observer (or if there are two Shareholder Designees at such time (one Shareholder Designee)) to deliver to the Company a resignation letter, pursuant to which such person shall resign from the Board if so elected by the Company and (ii) such person shall be deemed to have resigned from the Board with immediate effect if so 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of the Second Fall-Away Event (i) any remaining Shareholder Designees and any Shareholder Observer shall be deemed to have resigned from the Board with immediate effect if so elected by the Company, and the Shareholder shall cease to have any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(ii) the Shareholder shall cause such Shareholder Designees and Shareholder Observer (if any) to deliver to the Company a resignation letter, pursuant to which such Shareholder Designee and Shareholder Observer (if any) shall resign from the Board if so 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occurrence of the Complete Fall-Away Event (i) all Shareholder Designees and the Shareholder Observer (if any) shall be deemed to have resigned from the Board with immediate effect if so elected by the Company, and the Shareholder shall cease to have any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(ii) the Shareholder shall cause such Shareholder Designees and Shareholder Observer (if any) to deliver to the Company a resignation letter, pursuant to which such Shareholder Designees and Shareholder Observer (if any) shall resign from the Board if so 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Indemnification; Exculpation; Directors and Officers Insurance; Fees and Expenses</w:t>
      </w:r>
      <w:r>
        <w:rPr>
          <w:rFonts w:ascii="Times New Roman;Times;Serif" w:hAnsi="Times New Roman;Times;Serif"/>
          <w:b w:val="false"/>
          <w:i w:val="false"/>
          <w:caps w:val="false"/>
          <w:smallCaps w:val="false"/>
          <w:sz w:val="20"/>
        </w:rPr>
        <w:t>. The Company shall add each Shareholder Designee as a beneficiary to the Company’s directors’ and officers’ liability insurance policy effective from the date each Shareholder Designee is appointed and shall provide all other contractual, insurance and other director liability indemnification or exculpation coverages and rights provided to other members of the Board. The Company shall enter into an indemnification agreement with each Shareholder Designee that is on the same form as the indemnification agreements it has entered into with other members of the Board. Each Shareholder Designee shall be entitled to reimbursement of expenses incurred in such capacity on the same basis as the Company provides such reimbursement to the other members of its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xml:space="preserve">. As a condition to the appointment of any Shareholder Observer or Shareholder Designee, as applicable (and nomination for election as a director of the Company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 the case of a Shareholder Designee), the Shareholder agrees and acknowledges that the Company will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such Shareholder Designee to provide to the Company all information reasonably requested by the Company that is required to be or is customarily disclosed for directors, candidates for directors and their respective Affiliates and representatives in a proxy statement or other filing in accordance with applicable Law or any stock exchange rules or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such Shareholder Observer or Shareholder Designee to provide to the Company all information reasonably requested by the Company in connection with assessing eligibility, independence and other criteria applicable to directors or satisfying compliance and legal or regulatory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such Shareholder Observer or Shareholder Designee to provide to the Company an undertaking in writing by such Shareholder Observer or Shareholder Designee to agree to recuse himself or herself from any deliberations or discussions of the Board regarding post-closing matters to the extent relating to the Securities Sale Agreement, the other Transaction Documents (as defined in the Securities Sale Agreement) and the transactions contemplated thereby or hereby and any matter related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such Shareholder Observer to provide to the Company an executed letter agreement containing an undertaking to abide by confidentiality and other obligations in connection with their role as an observer to the Board to ensure consistency with the Company’s confidentiality, insider trading and other policies and procedures generally applicable to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tab/>
        <w:t>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Shareholder and Parent agrees that until the earlier of (i) fifteen (15) months following the first day on which (x) no Shareholder Designee serves on the Board and (y) the Shareholder has irrevocably waived its right, or no longer has any right, to nominate the Shareholder Designees to the Board under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and (ii) the time at which the Shareholder Parties collectively hold less than 5,326,525 shares of Common Stock (adjusted for any stock split or similar event), without the prior written approval of the Board, the Shareholder and Parent will not, directly or indirectly, and will each cause their respective controlled Affiliates (including any other Shareholder Parties) solely to the extent such Person is acting at the direction of or on behalf of the Shareholder or Parent (as applicable),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acquire, offer or seek to acquire, agree to acquire or make a proposal to acquire, by purchase or otherwise, any equity securities or direct or indirect rights to acquire any equity securities of the Company, any securities convertible into or exchangeable for any such equity securities, any options or other derivative securities (solely to the extent that, after giving effect to such acquisition, the Shareholder and its Affiliates would beneficially own, in the aggregate, more than 12,783,660 shares of Common Stock (adjusted for any stock split or similar event) (which calculation shall, for the avoidance of doubt, include the notional or other number of shares of Common Stock specified in the documentation for any Contract to which the Shareholder or any of the other Shareholder Parties is a party that is designed to produce economic benefits and risks to the Shareholder or any of the Shareholder Parties that correspond substantially to the ownership by the Shareholder Parties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or in any way knowingly encourage or participate in any “solicitation” of “proxies” (whether or not relating to the election or removal of directors), as such terms are used in the rules of the SEC, to vote, or knowingly seek to advise or influence any Person with respect to the voting of, any voting securities of the Company or any of its Subsidiaries, or call or seek to call a meeting of the Company’s shareholders or initiate any shareholder proposal for action by the Company’s shareholders, or seek election to or to place a representative on the Board or seek the removal of any director from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make any public announcement with respect to, or publicly offer, seek, propose or indicate an interest in (in each case with or without conditions), any merger, consolidation, business combination, tender or exchange offer, recapitalization, reorganization or purchase of a material portion of the assets, properties or securities of the Company or any Subsidiary of the Company, or any other extraordinary transaction involving the Company or any Subsidiary of the Company or any of their respective securities, or enter into any discussions, negotiations, arrangements, understandings or agreements (whether written or oral) with any other Person (excluding, for the avoidance of doubt, any Shareholder Parties)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otherwise act, alone or in concert with others, to seek to control or influence, in any manner, the management, Board or policies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public proposal or publicly disclose any intention, plan or arrangement inconsistent with any of the foregoing prohibited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advise or knowingly assist, knowingly encourage or direct any Person to do, or to advise, assist, knowingly encourage or direct any other Person to do, any of the foregoing prohibited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take any action that would require the Company to make a public announcement under applicable Law regarding the possibility of a transaction or any of the events described in or actions prohibited by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deposit any Common Stock and any other securities of the Company entitled to vote at any general meeting of the Company in a voting trust or similar Contract (unless such securities remain subject to the restrictions set forth in this Agreement) or subject any such securities to any voting agreement, pooling arrangement or similar arrangement or Contract, or grant any proxy with respect to any such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agreements, arrangements or understandings with any third party (including security holders of the Company, but excluding, for the avoidance of doubt, any Shareholder Parties) with respect to any of the foregoing prohibited actions, including forming, joining or in any way participating in a Group with any third party in connection with any of the foregoing prohibited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publicly request the Company or any of its Representatives, directly or indirectly, to amend or waive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contest the validity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make, initiate, take or participate in any demand, Action (legal or otherwise) or proposal to amend, waive or terminate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elsewhere in this Agreement will limit Parent or the Shareholder Parties’ ability, as applicable, to (A) vote, Transfer (subject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or otherwise exercise rights hereunder or under their Common Stock, (B) designate a Shareholder Designee or Shareholder Observer and the ability of any Shareholder Designee to deliberate, vote or otherwise exercise his or her legal duties or otherwise act in his or her capacity as a member of the Board, (C) privately make and submit to the Company and/or the Board any proposal that is intended by Parent or the Shareholder Parties (as applicable) to be made and submitted on a non-publicly disclosed or announced basis (and would not reasonably be expected to require public disclosure by any Person), (D) privately communicate with the Company and/or Board regarding any matter, including with respect to any Designated Shareholder Voting Matter (that would not reasonably be expected to require public disclosure by any Person), (E) make any disclosure required under Section 13(d) of the Securities Exchange Act or any other applicable Law, or (F)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be inoperative and of no force or effect from and after the date on which: (a) any Person or Group that is not an Affiliate of the Company shall have acquired or entered into a binding definitive agreement that has been approved by the Board (or any duly constituted committee thereof composed entirely of independent directors) to acquire more than fifty percent (50%) of the outstanding voting stock or equity securities of the Company or the voting power to elect a majority of the Board or assets of the Company or its subsidiaries representing more than fifty percent (50%) of the consolidated assets of the Company and its subsidiaries, taken as a whole, or any other Merger Transaction or Sale Transaction or (b) the Company becomes subject to any voluntary or involuntary reorganization or restructuring process relating to bankruptcy, insolvency or protection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matters, claims or Actions (whether at Law, in equity, in Contract, in tort or otherwise) based upon, arising out of or relating to this Agreement, execution or performance of this Agreement, shall be governed by, and construed in accordance with, the Laws of the State of North Carolina applicable to contracts executed in and to be performed entirely within that State, regardless of the Laws that might otherwise govern under any applicable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Actions arising out of or relating to this Agreement shall be heard and determined in any state or federal court within the State of North Carolina and the Parties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not constitute general consents to service of process in the State of North Carolina and shall have no effect for any purpose except as provided in this paragraph and shall not be deemed to confer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Person other than the Parties. Each Party hereto agrees that service of process upon such Party in any Action arising out of or relating to this Agreement shall be effective if notice is given by overnight courier at the address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Parties agree that a final judgment in any such Action shall be conclusive and may be enforced in other jurisdictions by suit on the judgment or in any other manner provided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the foregoing shall restrict any Party’s rights to seek any post-judgment relief regarding, or any appeal from, a final trial court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provision of this Agreement may be amended, supplemented or modified except by a written instrument signed by the Shareholder and the Company, and any such amendment, supplement or modification shall be binding on all of the Shareholder Parties. No provision of this Agreement may be waived except by a written instrument signed by (i) the Company, in the event the waiver is to be effective against the Company or (ii) the Shareholder, in the event the waiver is to be effective against the Shareholder and the other Shareholder Parties, and any such waiver shall be binding on all of the Shareholder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will be effective as of the date hereof and shall automatically terminate upon the occurrence of the earlier of (i) the Second Fall-Away Event and (ii) the Complete Fall-Away Event. If this Agreement is terminated pursuant to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this Agreement shall become void and of no further force and effect, except (a) for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(to the extent contemplated by such section) and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which shall survive such termination in accordance with their terms and (b) such termination shall not relieve any Party from any liability for the breach of any obligations set forth in this Agreement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 Parklake Avenue</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 27612</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J. Petro, SVP and Chief Financial Officer;</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Schoen, EVP, GC &amp; Corporate Secretary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Manhattan West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I. Townsend, Esq., Matthew G. Jones, Esq. and Maria N. Ricaurte, Esq.</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 [redacted];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Shareholder or the Parent,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LNA Holding SRL</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rue Charles Dubois</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 Ottignies-Louvain-la-Neuve, Belgium</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Frederic Meessen</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Financière de Gestions Internationales</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Robert Stümper 7 L–2557</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Luxembourg, Grand Duchy of Luxembourg</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Philippe Vauthier</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rue Saint Dominique, 75007 Paris, France</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Pierre-Louis Cléro</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or email address as such Party may hereafter specify by like notice to the other Party.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and (b) the right of specific enforcement is an integral part of the transactions contemplated hereby and without that right, neither the Company nor the Shareholder would have entered into this Agreement. The Parties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Treatment of Certain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Transfer or attempted Transfer in breach of this Agreement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In connection with any attempted Transfer in breach of this Agreement, the Company may hold and refuse to transfer any Lock-Up Shares or any certificate therefor, in addition to and without prejudice to any and all other rights or remedies which may be available to it and/or the Shareholder or any other Shareholder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Further Efforts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shall do and perform or cause to be done and performed, without further consideration, all such further acts and things and shall execute and deliver all such other agreements, certificates, instruments, and documents as the other Party may reasonably request in order to carry out the provisions of this Agreement and to consummate the transactions contemplated hereby. Each party hereto further agrees to take the actions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Extension of Time, Waiver,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supersedes all other prior agreements and understandings, both written and oral, among the Parties and their Affiliates, or any of them, with respect to the subject matter hereof. No provision of this Agreement shall confer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20 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Person other than the Parties and their permitted assigns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No Partnership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and no actions taken by the Parties under this Agreement shall constitute a partnership, association or other co-operative entity between any of the Parties or constitute any Party the agent of any other Party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the Company, the Shareholder and permitted successors and assigns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Further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acknowledges and agrees that the restrictions on transfer set forth in this Agreement are reasonable and have been imposed to accomplish legitimate corporate objectives and may adversely affect the proceeds received by the Shareholder or any other Shareholder Party in any sale, transfer or liquidation of any Lock-Up Shares, and as a result of such restrictions on transfer and ownership, it may not be possible for the Shareholder or any other Shareholder Party to liquidate all or any part of their interest in Lock-Up Shares at the time of their choosing, in exigent circumstances or otherwise. The Shareholder further acknowledges and agrees that the Company and its Affiliates shall have no liability whatsoever to the Shareholder or any other Shareholder Party arising from, relating to or in connection with the restrictions on transfer of Lock-Up Shares or any interest therein as set forth in this Agreement, except to the extent the Company fails to comply with its obligations to the Shareholder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a Section, Annex, Exhibit or Schedule, such reference shall be to an Article of, a Section of, or an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effect as the word “shall”.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the NYSE, all references herein to the NYSE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Business Day, the period in question shall end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herein, neither this Agreement nor any of the rights, interests or obligations hereunder shall be assigned, in whole or in part, by operation of Law or otherwise, by any of the parties hereto without the prior written consent of the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BFBFBF"/>
        </w:rPr>
      </w:pPr>
      <w:r>
        <w:rPr>
          <w:rFonts w:ascii="Times New Roman;Times;Serif" w:hAnsi="Times New Roman;Times;Serif"/>
          <w:b w:val="false"/>
          <w:i w:val="false"/>
          <w:caps w:val="false"/>
          <w:smallCaps w:val="false"/>
          <w:sz w:val="20"/>
          <w:bdr w:val="single" w:sz="16" w:space="1" w:color="BFBFBF"/>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0" w:right="1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executed by the Company, the Shareholder and Parent to be effective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60"/>
        <w:gridCol w:w="341"/>
        <w:gridCol w:w="581"/>
        <w:gridCol w:w="3367"/>
        <w:gridCol w:w="64"/>
      </w:tblGrid>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b/>
                <w:sz w:val="20"/>
              </w:rPr>
            </w:pPr>
            <w:r>
              <w:rPr>
                <w:b/>
                <w:sz w:val="20"/>
              </w:rPr>
              <w:t>COMPANY</w:t>
            </w:r>
          </w:p>
        </w:tc>
      </w:tr>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pPr>
            <w:r>
              <w:rPr/>
              <w:t>MARTIN MARIETTA MATERIALS, INC.</w:t>
            </w:r>
          </w:p>
        </w:tc>
      </w:tr>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5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sz w:val="20"/>
              </w:rPr>
            </w:pPr>
            <w:r>
              <w:rPr>
                <w:sz w:val="20"/>
              </w:rPr>
              <w:t>By:</w:t>
            </w:r>
          </w:p>
        </w:tc>
        <w:tc>
          <w:tcPr>
            <w:tcW w:w="394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George F. Schoen</w:t>
            </w:r>
          </w:p>
        </w:tc>
        <w:tc>
          <w:tcPr>
            <w:tcW w:w="6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sz w:val="20"/>
              </w:rPr>
            </w:pPr>
            <w:r>
              <w:rPr>
                <w:sz w:val="20"/>
              </w:rPr>
              <w:t>Name:</w:t>
            </w:r>
          </w:p>
        </w:tc>
        <w:tc>
          <w:tcPr>
            <w:tcW w:w="3367" w:type="dxa"/>
            <w:tcBorders/>
            <w:vAlign w:val="center"/>
          </w:tcPr>
          <w:p>
            <w:pPr>
              <w:pStyle w:val="TableContents"/>
              <w:bidi w:val="0"/>
              <w:spacing w:before="0" w:after="283"/>
              <w:jc w:val="left"/>
              <w:rPr/>
            </w:pPr>
            <w:r>
              <w:rPr/>
              <w:t>George F. Schoen</w:t>
            </w:r>
          </w:p>
        </w:tc>
        <w:tc>
          <w:tcPr>
            <w:tcW w:w="6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sz w:val="20"/>
              </w:rPr>
            </w:pPr>
            <w:r>
              <w:rPr>
                <w:sz w:val="20"/>
              </w:rPr>
              <w:t>Title:</w:t>
            </w:r>
          </w:p>
        </w:tc>
        <w:tc>
          <w:tcPr>
            <w:tcW w:w="3367" w:type="dxa"/>
            <w:tcBorders/>
            <w:vAlign w:val="center"/>
          </w:tcPr>
          <w:p>
            <w:pPr>
              <w:pStyle w:val="TableContents"/>
              <w:bidi w:val="0"/>
              <w:spacing w:before="0" w:after="283"/>
              <w:jc w:val="left"/>
              <w:rPr>
                <w:sz w:val="20"/>
              </w:rPr>
            </w:pPr>
            <w:r>
              <w:rPr>
                <w:sz w:val="20"/>
              </w:rPr>
              <w:t>Executive Vice President, General</w:t>
            </w:r>
          </w:p>
        </w:tc>
        <w:tc>
          <w:tcPr>
            <w:tcW w:w="6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367" w:type="dxa"/>
            <w:tcBorders/>
            <w:vAlign w:val="center"/>
          </w:tcPr>
          <w:p>
            <w:pPr>
              <w:pStyle w:val="TableContents"/>
              <w:bidi w:val="0"/>
              <w:spacing w:before="0" w:after="283"/>
              <w:jc w:val="left"/>
              <w:rPr/>
            </w:pPr>
            <w:r>
              <w:rPr/>
              <w:t>Counsel and Corporate Secretary</w:t>
            </w:r>
          </w:p>
        </w:tc>
        <w:tc>
          <w:tcPr>
            <w:tcW w:w="64"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60" w:type="dxa"/>
        <w:jc w:val="left"/>
        <w:tblInd w:w="0" w:type="dxa"/>
        <w:tblLayout w:type="fixed"/>
        <w:tblCellMar>
          <w:top w:w="0" w:type="dxa"/>
          <w:left w:w="0" w:type="dxa"/>
          <w:bottom w:w="0" w:type="dxa"/>
          <w:right w:w="0" w:type="dxa"/>
        </w:tblCellMar>
      </w:tblPr>
      <w:tblGrid>
        <w:gridCol w:w="60"/>
        <w:gridCol w:w="320"/>
        <w:gridCol w:w="545"/>
        <w:gridCol w:w="1775"/>
        <w:gridCol w:w="60"/>
      </w:tblGrid>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b/>
                <w:sz w:val="20"/>
              </w:rPr>
            </w:pPr>
            <w:r>
              <w:rPr>
                <w:b/>
                <w:sz w:val="20"/>
              </w:rPr>
              <w:t>SHAREHOLDER</w:t>
            </w:r>
          </w:p>
        </w:tc>
      </w:tr>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pPr>
            <w:r>
              <w:rPr/>
              <w:t>LNA HOLDING SRL</w:t>
            </w:r>
          </w:p>
        </w:tc>
      </w:tr>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0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32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Frédéric Meessen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75" w:type="dxa"/>
            <w:tcBorders/>
            <w:vAlign w:val="center"/>
          </w:tcPr>
          <w:p>
            <w:pPr>
              <w:pStyle w:val="TableContents"/>
              <w:bidi w:val="0"/>
              <w:spacing w:before="0" w:after="283"/>
              <w:jc w:val="left"/>
              <w:rPr/>
            </w:pPr>
            <w:r>
              <w:rPr/>
              <w:t>Frédéric Meessen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75"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60"/>
        <w:gridCol w:w="652"/>
        <w:gridCol w:w="1112"/>
        <w:gridCol w:w="3563"/>
        <w:gridCol w:w="121"/>
      </w:tblGrid>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b/>
                <w:sz w:val="20"/>
              </w:rPr>
            </w:pPr>
            <w:r>
              <w:rPr>
                <w:b/>
                <w:sz w:val="20"/>
              </w:rPr>
              <w:t>PARENT</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i/>
              </w:rPr>
            </w:pPr>
            <w:r>
              <w:rPr>
                <w:i/>
              </w:rPr>
              <w:t xml:space="preserve">solely for the purposes of </w:t>
            </w:r>
            <w:r>
              <w:rPr>
                <w:i/>
                <w:u w:val="single"/>
              </w:rPr>
              <w:t>Section 5</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FINANCIÈRE DE GESTIONS INTERNATIONALES</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4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20"/>
              </w:rPr>
            </w:pPr>
            <w:r>
              <w:rPr>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Baron Berghmans</w:t>
            </w:r>
          </w:p>
        </w:tc>
        <w:tc>
          <w:tcPr>
            <w:tcW w:w="12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sz w:val="20"/>
              </w:rPr>
            </w:pPr>
            <w:r>
              <w:rPr>
                <w:sz w:val="20"/>
              </w:rPr>
              <w:t>Name:</w:t>
            </w:r>
          </w:p>
        </w:tc>
        <w:tc>
          <w:tcPr>
            <w:tcW w:w="3563" w:type="dxa"/>
            <w:tcBorders/>
            <w:vAlign w:val="center"/>
          </w:tcPr>
          <w:p>
            <w:pPr>
              <w:pStyle w:val="TableContents"/>
              <w:bidi w:val="0"/>
              <w:spacing w:before="0" w:after="283"/>
              <w:jc w:val="left"/>
              <w:rPr/>
            </w:pPr>
            <w:r>
              <w:rPr/>
              <w:t>Baron Berghmans</w:t>
            </w:r>
          </w:p>
        </w:tc>
        <w:tc>
          <w:tcPr>
            <w:tcW w:w="12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sz w:val="20"/>
              </w:rPr>
            </w:pPr>
            <w:r>
              <w:rPr>
                <w:sz w:val="20"/>
              </w:rPr>
              <w:t>Title:</w:t>
            </w:r>
          </w:p>
        </w:tc>
        <w:tc>
          <w:tcPr>
            <w:tcW w:w="3563" w:type="dxa"/>
            <w:tcBorders/>
            <w:vAlign w:val="center"/>
          </w:tcPr>
          <w:p>
            <w:pPr>
              <w:pStyle w:val="TableContents"/>
              <w:bidi w:val="0"/>
              <w:spacing w:before="0" w:after="283"/>
              <w:jc w:val="left"/>
              <w:rPr>
                <w:sz w:val="20"/>
              </w:rPr>
            </w:pPr>
            <w:r>
              <w:rPr>
                <w:sz w:val="20"/>
              </w:rPr>
              <w:t>Chairman</w:t>
            </w:r>
          </w:p>
        </w:tc>
        <w:tc>
          <w:tcPr>
            <w:tcW w:w="121"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Prohibited Transferees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 pursuant to Item 601(a)(5)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Designees and Initial Committee Membership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 pursuant to Item 601(a)(5)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 pursuant to Item 601(a)(5) of Regulation S-K]</w:t>
      </w:r>
    </w:p>
    <w:p>
      <w:pPr>
        <w:pStyle w:val="TextBody"/>
        <w:bidi w:val="0"/>
        <w:ind w:left="0" w:right="0" w:hanging="0"/>
        <w:jc w:val="right"/>
        <w:rPr>
          <w:b/>
        </w:rPr>
      </w:pPr>
      <w:bookmarkStart w:id="28" w:name="ex10-2.htm"/>
      <w:bookmarkStart w:id="29" w:name="ksex102"/>
      <w:bookmarkEnd w:id="28"/>
      <w:bookmarkEnd w:id="29"/>
      <w:r>
        <w:rPr>
          <w:b/>
        </w:rPr>
        <w:t>Exhibit 10.2</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BY AND 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MARTIN MARIETTA MATERIALS,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LNA HOLDING SRL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Dated as of August 21,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bl>
      <w:tblPr>
        <w:tblW w:w="6525" w:type="dxa"/>
        <w:jc w:val="left"/>
        <w:tblInd w:w="0" w:type="dxa"/>
        <w:tblLayout w:type="fixed"/>
        <w:tblCellMar>
          <w:top w:w="0" w:type="dxa"/>
          <w:left w:w="0" w:type="dxa"/>
          <w:bottom w:w="0" w:type="dxa"/>
          <w:right w:w="0" w:type="dxa"/>
        </w:tblCellMar>
      </w:tblPr>
      <w:tblGrid>
        <w:gridCol w:w="335"/>
        <w:gridCol w:w="60"/>
        <w:gridCol w:w="5855"/>
        <w:gridCol w:w="275"/>
      </w:tblGrid>
      <w:tr>
        <w:trPr/>
        <w:tc>
          <w:tcPr>
            <w:tcW w:w="335"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Shelf and Demand Registrations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w:t>
            </w:r>
          </w:p>
        </w:tc>
      </w:tr>
      <w:tr>
        <w:trPr/>
        <w:tc>
          <w:tcPr>
            <w:tcW w:w="335"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Restrictions on Registration</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4</w:t>
            </w:r>
          </w:p>
        </w:tc>
      </w:tr>
      <w:tr>
        <w:trPr/>
        <w:tc>
          <w:tcPr>
            <w:tcW w:w="335"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Piggyback Registrations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w:t>
            </w:r>
          </w:p>
        </w:tc>
      </w:tr>
      <w:tr>
        <w:trPr/>
        <w:tc>
          <w:tcPr>
            <w:tcW w:w="335"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Holdback Agreement</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w:t>
            </w:r>
          </w:p>
        </w:tc>
      </w:tr>
      <w:tr>
        <w:trPr/>
        <w:tc>
          <w:tcPr>
            <w:tcW w:w="335"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Registration Procedures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w:t>
            </w:r>
          </w:p>
        </w:tc>
      </w:tr>
      <w:tr>
        <w:trPr/>
        <w:tc>
          <w:tcPr>
            <w:tcW w:w="335"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Registration Expenses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12</w:t>
            </w:r>
          </w:p>
        </w:tc>
      </w:tr>
      <w:tr>
        <w:trPr/>
        <w:tc>
          <w:tcPr>
            <w:tcW w:w="335"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Indemnification</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12</w:t>
            </w:r>
          </w:p>
        </w:tc>
      </w:tr>
      <w:tr>
        <w:trPr/>
        <w:tc>
          <w:tcPr>
            <w:tcW w:w="335"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Participation in Underwritten Registrations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15</w:t>
            </w:r>
          </w:p>
        </w:tc>
      </w:tr>
      <w:tr>
        <w:trPr/>
        <w:tc>
          <w:tcPr>
            <w:tcW w:w="335"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Rule 144 and 144A Reporting</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15</w:t>
            </w:r>
          </w:p>
        </w:tc>
      </w:tr>
      <w:tr>
        <w:trPr/>
        <w:tc>
          <w:tcPr>
            <w:tcW w:w="335"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Term</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16</w:t>
            </w:r>
          </w:p>
        </w:tc>
      </w:tr>
      <w:tr>
        <w:trPr/>
        <w:tc>
          <w:tcPr>
            <w:tcW w:w="335"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Governing Law, Consent to Jurisdiction, Waiver of Jury Trial</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16</w:t>
            </w:r>
          </w:p>
        </w:tc>
      </w:tr>
      <w:tr>
        <w:trPr/>
        <w:tc>
          <w:tcPr>
            <w:tcW w:w="335"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jc w:val="left"/>
              <w:rPr/>
            </w:pPr>
            <w:r>
              <w:rPr/>
              <w:t>Defined Terms</w:t>
            </w:r>
          </w:p>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17</w:t>
            </w:r>
          </w:p>
        </w:tc>
      </w:tr>
      <w:tr>
        <w:trPr/>
        <w:tc>
          <w:tcPr>
            <w:tcW w:w="335"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Miscellaneous </w:t>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dated as of August 21,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between Martin Marietta Materials, Inc., a North Carolina corporation (together with its successors and permitted assigns,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LNA Holding SRL, a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organized under the laws of Belgium (together with its successors and permitted assigns, the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date hereof, the Shareholder acquired 10,953,543 shares of common stock of the Company, par value $0.01 per share (the “</w:t>
      </w:r>
      <w:r>
        <w:rPr>
          <w:rFonts w:ascii="Times New Roman;Times;Serif" w:hAnsi="Times New Roman;Times;Serif"/>
          <w:b w:val="false"/>
          <w:i w:val="false"/>
          <w:caps w:val="false"/>
          <w:smallCaps w:val="false"/>
          <w:sz w:val="20"/>
          <w:u w:val="single"/>
        </w:rPr>
        <w:t>Company Shares</w:t>
      </w:r>
      <w:r>
        <w:rPr>
          <w:rFonts w:ascii="Times New Roman;Times;Serif" w:hAnsi="Times New Roman;Times;Serif"/>
          <w:b w:val="false"/>
          <w:i w:val="false"/>
          <w:caps w:val="false"/>
          <w:smallCaps w:val="false"/>
          <w:sz w:val="20"/>
        </w:rPr>
        <w:t>”), pursuant to the Securities Sale Agreement, dated as of June 27, 2026 (the “</w:t>
      </w:r>
      <w:r>
        <w:rPr>
          <w:rFonts w:ascii="Times New Roman;Times;Serif" w:hAnsi="Times New Roman;Times;Serif"/>
          <w:b w:val="false"/>
          <w:i w:val="false"/>
          <w:caps w:val="false"/>
          <w:smallCaps w:val="false"/>
          <w:sz w:val="20"/>
          <w:u w:val="single"/>
        </w:rPr>
        <w:t>Securities Sale Agreement</w:t>
      </w:r>
      <w:r>
        <w:rPr>
          <w:rFonts w:ascii="Times New Roman;Times;Serif" w:hAnsi="Times New Roman;Times;Serif"/>
          <w:b w:val="false"/>
          <w:i w:val="false"/>
          <w:caps w:val="false"/>
          <w:smallCaps w:val="false"/>
          <w:sz w:val="20"/>
        </w:rPr>
        <w:t>”), among the Company and the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the date hereof, the Company, the Shareholder and Financière de Gestions Internationales, a </w:t>
      </w:r>
      <w:r>
        <w:rPr>
          <w:rFonts w:ascii="Times New Roman;Times;Serif" w:hAnsi="Times New Roman;Times;Serif"/>
          <w:b w:val="false"/>
          <w:i/>
          <w:caps w:val="false"/>
          <w:smallCaps w:val="false"/>
          <w:sz w:val="20"/>
        </w:rPr>
        <w:t>société en commandite par actions</w:t>
      </w:r>
      <w:r>
        <w:rPr>
          <w:rFonts w:ascii="Times New Roman;Times;Serif" w:hAnsi="Times New Roman;Times;Serif"/>
          <w:b w:val="false"/>
          <w:i w:val="false"/>
          <w:caps w:val="false"/>
          <w:smallCaps w:val="false"/>
          <w:sz w:val="20"/>
        </w:rPr>
        <w:t xml:space="preserve"> organized under the laws of Luxembourg, are also entering into a Shareholders Agreement (the “</w:t>
      </w:r>
      <w:r>
        <w:rPr>
          <w:rFonts w:ascii="Times New Roman;Times;Serif" w:hAnsi="Times New Roman;Times;Serif"/>
          <w:b w:val="false"/>
          <w:i w:val="false"/>
          <w:caps w:val="false"/>
          <w:smallCaps w:val="false"/>
          <w:sz w:val="20"/>
          <w:u w:val="single"/>
        </w:rPr>
        <w:t>Shareholders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Completion of the transactions under the Securities Sale Agreement, the Company desires to grant to the Shareholder certain registration rights in the United States with respect to the Company Shares issued to the Shareholder pursuant to the Securities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Capitalized terms used in this Agreement are used as defined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Shelf and Demand Registrations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As promptly as practicable following the Completion Date and, in any event, no later than sixty (60) days prior to the first anniversary of the Completion Date, and subject to the transfer restrictions set forth in Section 2.1(a) of the Shareholders Agreement, so long as the Shareholder or any other Shareholder Party holds Company Shares and such shares are Registrable Securities and so long as the Company is eligible to use Form S-3 (or a comparable form) for the registration of the Company Shares, the Company shall file with the SEC a shelf registration statement on Form S-3 (or, if Form S-3 is unavailable, Form S-1)), or a prospectus supplement to any then-effective automatic shelf registration statement of the Company, in either case covering all Registrable Securities for the sale or distribution of Registrable Securities on a delayed or continuous basis pursuant to Rule 415 under the Securities Act (a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it being agreed that if the Company qualifies as a well-known seasoned issuer (as defined in Rule 405 under the Securities Act) at the time of filing, the Shelf Registration Statement shall be filed as an automatically effective shelf registration statement on Form S-3ASR pursuant to Rule 462(e) under the Securities Act. The Company shall comply with the applicable provisions of the Securities Act with respect to the disposition of all Registrable Securities covered by the Shelf Registration Statement in accordance with the intended methods of disposition by the Shareholder and the other Shareholder Parties thereof. The Shelf Registration Statement shall permit delayed or continuous offerings pursuant to Rule 415 and shall cover all customary distribution methods, including underwritten offerings and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Subject to the transfer restrictions set forth in Section 2.1(a) of the Shareholders Agreement, so long as the Shareholder or any other Shareholder Party holds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Shares and such shares are Registrable Securities, if no Shelf Registration Statement covering the applicable Registrable Securities is then-effective, the Shareholder may make one or more Registration Requests covering all or a portion of the Registrable Securities held by it and the other Shareholder Parties pursuant to the Securities Act (including on Form S-1 if Form S-3 is unavailable). The Company shall comply with the applicable provisions of the Securities Act with respect to the disposition of all Registrable Securities covered by the Registration Statement in accordance with the intended methods of disposition by the Shareholder and the other Shareholder Parties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within twenty (20) Business Days of the date on which the Company receives a Registration Request given by the Shareholder in accordance with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hereof, will file with the SEC, and the Company will thereafter use reasonable best efforts to cause to be declared effective within thirty (30) calendar days of the date of such Registration Request, a Registration Statement on the appropriate form for the registration and sale, in accordance with the intended method or methods of distribution, of the total number of Registrable Securities specified by the Shareholder in such Registration Request (it being agreed that the Registration Statement shall be an automatic shelf registration statement that shall become effective upon filing with the SEC pursuant to Rule 462(e) under the Securities Act if Rule 462(e) is available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obligated to give effect to any Registration Request if, in the Company’s reasonable judgment, it is not feasible for the Company to proceed with such registration because of the unavailability of audited or other required financial statements of the Company or any 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use its reasonable best efforts to obtain such financial statements as promptly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use reasonable best efforts to keep each Shelf Registration Statement filed pursuant to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continuously effective and usable for the resale of the Registrable Securities covered thereby until the earlier of (i) the date on which all of the Registrable Securities covered by such Shelf Registration Statement have been sold pursuant to such Shelf Registration Statement and (ii) the date on which all Registrable Securities covered by such Shelf Registration Statement are eligible for resale under Rule 144 without volume, manner-of-sale, or current public information restrictions;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date of the effectiveness of a Shelf Registration Statement, Registrable Securities covered by such Shelf Registration Statement remain unsold, the Company shall re-file such Shelf Registration Statement (or file a new Shelf Registration Statement) upon its expiration and keep such re-filed (or new) Shelf Registration Statement effective and usable for the aforesaid period. The time period for which the Company is required to maintain the effectiveness of any Registration Statement is hereinafter referred to as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and after the Completion Date and subject to the transfer restrictions set forth in Section 2.1(a) of the Shareholders Agreement, at any time that any Shelf Registration is effective, if the Shareholder delivers a notice to the Company (a “</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stating that it (or any other Shareholder Party) intends to effect an underwritten offering or distribution of all or part of its or their Registrable Securities included by it (or any other Shareholder Party) on any Shelf Registration (a “</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and stating the number of the Registrable Securities to be included in the Shelf Offering, then the Company shall amend or supplement the Shelf Registration Statement as may be necessary in order to enable such Registrable Securities to be distributed pursuant to the Shelf Offering. In connection with any Shelf Offering, if the managing</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underwriter(s) advise the Shareholder in writing that in its or their view the total number or dollar amount of Registrable Securities proposed to be sold in such offering is such as to adversely affect the success of such offering, the managing underwriter(s) may limit the number of shares which would otherwise be included in such offering in the same manner as is described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The Company will pay all Registration Expenses incurred in connection with any registration or underwritten offering requested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Selection of Underwriters</w:t>
      </w:r>
      <w:r>
        <w:rPr>
          <w:rFonts w:ascii="Times New Roman;Times;Serif" w:hAnsi="Times New Roman;Times;Serif"/>
          <w:b w:val="false"/>
          <w:i w:val="false"/>
          <w:caps w:val="false"/>
          <w:smallCaps w:val="false"/>
          <w:sz w:val="20"/>
        </w:rPr>
        <w:t xml:space="preserve">. If the Shareholder or the other Shareholder Parties intend to distribute the Registrable Securities covered by any Registration Request or Take-Down Notice by means of an underwritten offering, the Shareholder will so advise the Company as a part of the Registration Request or Take-Down Notice. Subject to the last sentence of this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the Company will not be obligated to effect more than three (3) such underwritten offerings in any 12-month period. In connection with any such underwritten offering, the Shareholder will have the right to select the managing underwriter(s) and co-managers, subject to the Company’s approval, not to be unreasonably withheld, conditioned or delayed. In such an underwritten offering, the Shareholder and any other Shareholder Party which holds Registrable Securities which are to be sold in such offering (together with the Company) will enter into an underwriting agreement in customary form with the underwriter or underwriters selected for such offering. If the Shareholder disapproves of the terms of the underwriting, the Shareholder may elect to withdraw therefrom (which withdrawal will also constitute a withdrawal by all Shareholder Parties) by written notice to the Company and the managing underwriter(s);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attempted offering will not count as one of the Shareholder’s three (3) underwritten offerings described above unless the Shareholder’s decision to withdraw from, terminate, abandon or cancel such offering results solely from the Shareholder’s own commercial reasons and does not result from or arise out of (x) any market disruption or adverse market conditions, (y) the advice or recommendation of the managing underwriter(s) or (z) any action by the Company that could reasonably be expected to adversely affect the timing, marketability or offering price of the securities contemplated to have been offered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Restrictions on Underwritten Offerings</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to the contrary, the Shareholder and the other Shareholder Parties may not make, and the Company will not be obligated to effect, an underwritten offering (other than a Shelf Offering or Block Trade) unless the reasonably anticipated aggregate gross proceeds of such underwritten offering are at least $75,000,000 (unless the Shareholder and the other Shareholder Parties are proposing to sell all of their remaining Company Shares). For the avoidance of doubt, no minimum offering size shall apply to Shelf Offerings or Block Trades. In addition, the Shareholder and the other Shareholder Parties may not, without the Company’s prior written consent, launch a demand registration pursuant to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within sixty (60) days of any other underwritten offering of Registrable Securities by the Shareholder or any other Shareholder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Shelf Offering or Block Trade shall be subject to the foregoing restriction or any other cooling-off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Priority on Registrations</w:t>
      </w:r>
      <w:r>
        <w:rPr>
          <w:rFonts w:ascii="Times New Roman;Times;Serif" w:hAnsi="Times New Roman;Times;Serif"/>
          <w:b w:val="false"/>
          <w:i w:val="false"/>
          <w:caps w:val="false"/>
          <w:smallCaps w:val="false"/>
          <w:sz w:val="20"/>
        </w:rPr>
        <w:t xml:space="preserve">. The Company will not include in any underwritten registration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any securities that are not Registrable Securities without the prior written consent of the Shareholder. If the managing underwriter(s) advise the Shareholder in writing that in its or their opinion the number of Registrable Securities (and, if permitted hereunder, other securities requested to be included in such offering) exceeds the number of securities that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be sold in such offering without adversely affecting the marketability of the offering, the Company will include in such offering only such number of securities that can be sold without adversely affecting the marketability of the offering, which securities will be so included in the following order of priority: (i) first, Registrable Securities of the Shareholder and any other Shareholder Party and (ii) second, any other securities of the Company that have been requested to be so included. Notwithstanding the foregoing, no employee of the Company or any subsidiary thereof will be entitled to participate, directly or indirectly, in any such registration to the extent that the managing underwriter(s) (or, in the case of any offering that is not underwritten, a nationally recognized investment banking firm) determines in good faith that the participation of such employee in such registration would adversely affect the marketability or offering price of the securities being sold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Block Trades</w:t>
      </w:r>
      <w:r>
        <w:rPr>
          <w:rFonts w:ascii="Times New Roman;Times;Serif" w:hAnsi="Times New Roman;Times;Serif"/>
          <w:b w:val="false"/>
          <w:i w:val="false"/>
          <w:caps w:val="false"/>
          <w:smallCaps w:val="false"/>
          <w:sz w:val="20"/>
        </w:rPr>
        <w:t xml:space="preserve">. In addition to Shelf Offerings, the Shareholder shall have the right to effect Block Trades off any effective Shelf Registration Statement, without any minimum offering size and without counting toward the limitation on underwritten offerings set forth in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obligated to facilitate more than four (4) such Block Trades in any 12-month period. The Shareholder may initiate any such transaction upon such notice as is reasonably practicable under the circumstances, and in any event, no less than five (5) Business Days. The Company shall provide customary expedited cooperation in connection with any such transaction, including making senior management available as reasonably requested. The Shareholder shall have the right to select the managing underwriter(s) for any such transaction, subject to the Company’s approval,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Restrictions on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Right to Defer or Suspend Registration</w:t>
      </w:r>
      <w:r>
        <w:rPr>
          <w:rFonts w:ascii="Times New Roman;Times;Serif" w:hAnsi="Times New Roman;Times;Serif"/>
          <w:b w:val="false"/>
          <w:i w:val="false"/>
          <w:caps w:val="false"/>
          <w:smallCaps w:val="false"/>
          <w:sz w:val="20"/>
        </w:rPr>
        <w:t>. In the event that the Company determines in good faith that any one or more of the following circumstances exist, the Company may, at its option, (x) defer any registration of Registrable Securities in response to a Registration Request or (y) require the Shareholder and the other Shareholder Parties to suspend any offerings of Registrable Securities pursuant to a Registration Statement for the periods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limitations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if the Company determines in good faith that an offering would require the Company, under applicable securities laws and other laws, to make disclosures of material non-public information that would not otherwise be required to be disclosed at that time and that such disclosures at that time would not be in the Company’s best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exception shall continue to apply only during the time that such material non-public information has not been disclosed and remains material;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upon disclosure of such material non-public information, the Company shall (x) notify the Shareholder and the other Shareholder Parties whose Registrable Securities are included in the Registration Statement; (y) terminate any deferment or suspension it has put into effect; and (z) take such actions necessary to permit registered sales of Registrable Securities as required or contemplated by this Agreement, including, if necessary, the preparation and filing of a post-effective amendment or prospectus supplement so that the Registration Statement and any prospectus forming a part thereof will not include an untrue statement of material fact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omit to state any material fact necessary to make the statements therein, in light of the circumstances in which they were made, not misleading;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limitations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if the Company is pursuing a primary underwritten offering of Company Shares pursuant to a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Shareholder and the other Shareholder Parties shall have Piggyback Registration rights with respect to such primary underwritten offering in accordance with and subject to the restrictions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 on Deferrals and Suspensions</w:t>
      </w:r>
      <w:r>
        <w:rPr>
          <w:rFonts w:ascii="Times New Roman;Times;Serif" w:hAnsi="Times New Roman;Times;Serif"/>
          <w:b w:val="false"/>
          <w:i w:val="false"/>
          <w:caps w:val="false"/>
          <w:smallCaps w:val="false"/>
          <w:sz w:val="20"/>
        </w:rPr>
        <w:t xml:space="preserve">. The Company shall not be permitted to defer registration or require the Shareholder and the other Shareholder Parties to suspend an offering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more than three (3) times in any 12-month period. The duration of all such deferrals or suspensions shall not exceed thirty (30) calendar days per instance and the aggregate of all such deferrals or suspensions shall not exceed ninety (90) calendar days in any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shd w:fill="FFFFFF" w:val="clear"/>
        </w:rPr>
        <w:t>If the Company defers any registration of Registrable Securities in response to a Registration Request or Take-Down Notice or requires the Shareholder or the</w:t>
      </w:r>
      <w:r>
        <w:rPr>
          <w:rFonts w:ascii="Times New Roman;Times;Serif" w:hAnsi="Times New Roman;Times;Serif"/>
          <w:b w:val="false"/>
          <w:i w:val="false"/>
          <w:caps w:val="false"/>
          <w:smallCaps w:val="false"/>
          <w:sz w:val="20"/>
        </w:rPr>
        <w:t xml:space="preserve"> other Shareholder Parties </w:t>
      </w:r>
      <w:r>
        <w:rPr>
          <w:rFonts w:ascii="Times New Roman;Times;Serif" w:hAnsi="Times New Roman;Times;Serif"/>
          <w:b w:val="false"/>
          <w:i w:val="false"/>
          <w:caps w:val="false"/>
          <w:smallCaps w:val="false"/>
          <w:sz w:val="20"/>
          <w:shd w:fill="FFFFFF" w:val="clear"/>
        </w:rPr>
        <w:t xml:space="preserve">to suspend any offering of Registrable Securities, the Shareholder and the </w:t>
      </w:r>
      <w:r>
        <w:rPr>
          <w:rFonts w:ascii="Times New Roman;Times;Serif" w:hAnsi="Times New Roman;Times;Serif"/>
          <w:b w:val="false"/>
          <w:i w:val="false"/>
          <w:caps w:val="false"/>
          <w:smallCaps w:val="false"/>
          <w:sz w:val="20"/>
        </w:rPr>
        <w:t xml:space="preserve">other Shareholder Parties </w:t>
      </w:r>
      <w:r>
        <w:rPr>
          <w:rFonts w:ascii="Times New Roman;Times;Serif" w:hAnsi="Times New Roman;Times;Serif"/>
          <w:b w:val="false"/>
          <w:i w:val="false"/>
          <w:caps w:val="false"/>
          <w:smallCaps w:val="false"/>
          <w:sz w:val="20"/>
          <w:shd w:fill="FFFFFF" w:val="clear"/>
        </w:rPr>
        <w:t xml:space="preserve">shall be entitled to withdraw such Registration Request or such Take-Down Notice, as the case may be, and if it does so, such request shall not be treated for any purpose as an exercise of a Registration Request or the delivery of a Take-Down Notice pursuant to </w:t>
      </w:r>
      <w:r>
        <w:rPr>
          <w:rFonts w:ascii="Times New Roman;Times;Serif" w:hAnsi="Times New Roman;Times;Serif"/>
          <w:b w:val="false"/>
          <w:i w:val="false"/>
          <w:caps w:val="false"/>
          <w:smallCaps w:val="false"/>
          <w:sz w:val="20"/>
          <w:u w:val="single"/>
          <w:shd w:fill="FFFFFF" w:val="clear"/>
        </w:rPr>
        <w:t>Section 1</w:t>
      </w:r>
      <w:r>
        <w:rPr>
          <w:rFonts w:ascii="Times New Roman;Times;Serif" w:hAnsi="Times New Roman;Times;Serif"/>
          <w:b w:val="false"/>
          <w:i w:val="false"/>
          <w:caps w:val="false"/>
          <w:smallCaps w:val="false"/>
          <w:sz w:val="20"/>
          <w:shd w:fill="FFFFFF" w:val="clear"/>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Right to Piggyback</w:t>
      </w:r>
      <w:r>
        <w:rPr>
          <w:rFonts w:ascii="Times New Roman;Times;Serif" w:hAnsi="Times New Roman;Times;Serif"/>
          <w:b w:val="false"/>
          <w:i w:val="false"/>
          <w:caps w:val="false"/>
          <w:smallCaps w:val="false"/>
          <w:sz w:val="20"/>
        </w:rPr>
        <w:t xml:space="preserve">. During the Effectiveness Period, and subject to the transfer restrictions set forth in Section 2.1(a) of the Shareholders Agreement, whenever the Company proposes to register any of its securities (other than a registration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relating solely to employee benefit plans, or relating solely to the sale of debt or convertible debt instruments) and the registration form to be filed may be used for the registration or qualification for distribution of Registrable Securities, the Company will give written notice at least ten (10) Business Days before the anticipated filing date to the Shareholder of its intention to effect such a registration and will include in such registration all Registrable Securities held by the Shareholder and the other Shareholder Parties with respect to which the Company has received from the Shareholder a written request for inclusion therein within seven (7) Business Days after the date of the Company’s notice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If the Shareholder has made such a written request, it may withdraw its or any other Shareholder Parties’ Registrable Securities from such Piggyback Registration by giving written notice to the Company and the managing underwriter(s), if any, on or before the fifth (5th) day prior to the planned effective date of such Piggyback Registration. The Company may terminate or withdraw any registration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prior to the effectiveness of such registration, whether or not the Shareholder or any other Shareholder Party has elected to include Registrable Securities in such registration, and, except for the obligation to pay Registration Expenses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Company will have no liability to the Shareholder or any Shareholder Party in connection with such termination or withdrawal.</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Registration</w:t>
      </w:r>
      <w:r>
        <w:rPr>
          <w:rFonts w:ascii="Times New Roman;Times;Serif" w:hAnsi="Times New Roman;Times;Serif"/>
          <w:b w:val="false"/>
          <w:i w:val="false"/>
          <w:caps w:val="false"/>
          <w:smallCaps w:val="false"/>
          <w:sz w:val="20"/>
        </w:rPr>
        <w:t xml:space="preserve">. If the registration referred to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is proposed to be underwritten, the Company will so advise the Shareholder as a part of the written notice given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such event, the right of the Shareholder and the other Shareholder Parties to registration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will be conditioned upon the Shareholder’s or such other Shareholder Parties’ participation in such underwriting and the inclusion of the Shareholder’s or such other Shareholder Parties’ Registrable Securities in the underwriting, and the Shareholder and any other Shareholder Party which holds Registrable Securities which are to be sold in such offering will (together with the Company and any other holders distributing their securities through such underwriting) enter into an underwriting agreement in customary form with the underwriter or underwriters selected for such offering by the Company. If the Shareholder disapproves of the terms of the underwriting, the Shareholder may elect to withdraw therefrom (which withdrawal will also constitute a withdrawal by all of the other Shareholder Parties) by written notice to the Company and the managing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Piggyback Registration Expenses</w:t>
      </w:r>
      <w:r>
        <w:rPr>
          <w:rFonts w:ascii="Times New Roman;Times;Serif" w:hAnsi="Times New Roman;Times;Serif"/>
          <w:b w:val="false"/>
          <w:i w:val="false"/>
          <w:caps w:val="false"/>
          <w:smallCaps w:val="false"/>
          <w:sz w:val="20"/>
        </w:rPr>
        <w:t>. The Company will pay all Registration Expenses in connection with any Piggyback Registration, whether or not any registration or prospectus becomes effective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Priority on Primary Registrations</w:t>
      </w:r>
      <w:r>
        <w:rPr>
          <w:rFonts w:ascii="Times New Roman;Times;Serif" w:hAnsi="Times New Roman;Times;Serif"/>
          <w:b w:val="false"/>
          <w:i w:val="false"/>
          <w:caps w:val="false"/>
          <w:smallCaps w:val="false"/>
          <w:sz w:val="20"/>
        </w:rPr>
        <w:t xml:space="preserve">. If a Piggyback Registration relates to an underwritten primary offering on behalf of the Company, and the managing underwriters advise the Company in writing that in their opinion the number of securities requested to be included in such registration exceeds the number which can be sold without adversely affecting the marketability of such offering, the Company will include in such registration or prospectus only such number of securities that in the opinion of such underwriters can be sold without adversely affecting the marketability of the offering, which securities will be so included in the following order of priority: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the securities the Company proposes to sell and the Registrable Securities requested to be included in such registration by the Shareholder or any other Shareholder Party,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the number of securities proposed to be included by each,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any other securities requested to be included in such registration,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the holders thereof on the basis of the number of securities owned by each such holder. Notwithstanding the foregoing, any employee of the Company or any subsidiary thereof will not be entitled to participate, directly or indirectly, in any such registration to the extent that the managing underwriter(s) (or, in the case of an offering that is not underwritten, a nationally recognized investment banking firm) will determine in good faith that the participation of such employee in such registration would adversely affect the marketability or offering price of the securities being sold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Priority on Secondary Registrations</w:t>
      </w:r>
      <w:r>
        <w:rPr>
          <w:rFonts w:ascii="Times New Roman;Times;Serif" w:hAnsi="Times New Roman;Times;Serif"/>
          <w:b w:val="false"/>
          <w:i w:val="false"/>
          <w:caps w:val="false"/>
          <w:smallCaps w:val="false"/>
          <w:sz w:val="20"/>
        </w:rPr>
        <w:t xml:space="preserve">. If a Piggyback Registration relates to an underwritten secondary registration on behalf of other holders of the Company’s securities, and the managing underwriters advise the Company in writing that in their opinion the number of securities requested to be included in such registration exceeds the number which can be sold without adversely affecting the marketability of the offering, the Company will include in such registration only such number of securities that in the opinion of such underwriters can be sold without adversely affecting the marketability of the offering, which securities will be so included in the following order of priority: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the securities requested to be included therein by the holders requesting such registration,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the Registrable Securities requested to be included in such registration by the Shareholder or any other Shareholder Party and (iii)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other</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of the Company and other holders,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such holders on the basis of the number of securities owned by each such holder. Notwithstanding the foregoing, any employee of the Company or any subsidiary thereof will not be entitled to participate, directly or indirectly, in any such registration to the extent that the managing underwriter(s) (or, in the case of an offering that is not underwritten, a nationally recognized investment banking firm) will determine in good faith that the participation of such employee in such registration would adversely affect the marketability or offering price of the securities being sold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(i) during the Effectiveness Period, the Company shall file a Registration Statement (other than in connection with the registration of securities issuable pursuant to an employee stock option, stock purchase or similar plan or pursuant to a merger, exchange offer or a transaction of the type specified in Rule 145(a) under the Securities Act) with respect to an underwritten public offering of Company Shares or securities convertible into, or exchangeable or exercisable for, Company Shares, (ii) with reasonable prior notice, the managing underwriter or underwriters advise the Company in writing (in which case the Company shall notify the Shareholder) that a public sale or distribution of Registrable Securities would materially adversely impact such offering and (iii) the underwriter or underwriters have obtained written holdback agreements from the Company, each executive officer of the Company and each other person who has been granted registration rights by the Company, then the Shareholder and each other Shareholder Party shall, if requested by the Company and the managing underwriter or underwriters, to the extent not inconsistent with applicable law, refrain from effecting any public sale or distribution of Registrable Securities, without the prior written consent of the Company and the managing underwriter or underwriters, during the fourteen (14) days prior to the effective date of such Registration Statement and until the earliest of (A) sixty (60) days from the effective date of such Registration Statement or (B) the abandonment of such offering. Notwithstanding the foregoing, the obligations of the Shareholder and each other Shareholder Party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 respect of any such offering shall terminate in the event that the Company or any underwriter terminates, releases or waives, in whole or in part, the holdback agreements with respect to the Company, any executive officer of the Company or any such other person who has been granted registration rights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 xml:space="preserve">In connection with any underwritten public offering of Registrable Securities by the Shareholder or any </w:t>
      </w:r>
      <w:r>
        <w:rPr>
          <w:rFonts w:ascii="Times New Roman;Times;Serif" w:hAnsi="Times New Roman;Times;Serif"/>
          <w:b w:val="false"/>
          <w:i w:val="false"/>
          <w:caps w:val="false"/>
          <w:smallCaps w:val="false"/>
          <w:sz w:val="20"/>
        </w:rPr>
        <w:t>other Shareholder Party</w:t>
      </w:r>
      <w:r>
        <w:rPr>
          <w:rFonts w:ascii="Times New Roman;Times;Serif" w:hAnsi="Times New Roman;Times;Serif"/>
          <w:b w:val="false"/>
          <w:i w:val="false"/>
          <w:caps w:val="false"/>
          <w:smallCaps w:val="false"/>
          <w:sz w:val="20"/>
          <w:shd w:fill="FFFFFF" w:val="clear"/>
        </w:rPr>
        <w:t>, the Company shall, and shall use its commercially reasonable efforts to have its directors and executive officers, if requested in writing by the managing underwriter or underwriters, agree not to make any public sale or other distribution of Company Shares or securities convertible into, or exercisable or exchangeable for, Company Shares (other than offerings in connection with the registration of securities issuable pursuant to an employee stock option, stock purchase or similar plan or pursuant to a merger, exchange offer or a transaction of the type specified in Rule 145(a) under the Securities Act) during the fourteen (14) days prior to the pricing date of such underwritten public offering and until the earliest of (A) sixty (60) days from the pricing date of such underwritten public offering or (B) the abandonment of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 xml:space="preserve">. In connection with the registration obligations of the Company pursuant to and in accordance with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the Company will use reasonable best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effect the registration and sale of such Registrable Securities in accordance with the intended method of disposition thereof. Without limiting the generality of the foregoing, the Company will, as expeditiously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prepare and file with the SEC a Registration Statement with respect to such Registrable Securities, subject to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of this Agreement, make all required filings with FINRA and thereafter use reasonable best efforts to cause such Registration Statement to become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before filing a Registration Statement or any amendments or </w:t>
      </w:r>
      <w:r>
        <w:rPr>
          <w:rFonts w:ascii="Times New Roman;Times;Serif" w:hAnsi="Times New Roman;Times;Serif"/>
          <w:b w:val="false"/>
          <w:i w:val="false"/>
          <w:caps w:val="false"/>
          <w:smallCaps w:val="false"/>
          <w:sz w:val="20"/>
          <w:shd w:fill="FFFFFF" w:val="clear"/>
        </w:rPr>
        <w:t>supplements</w:t>
      </w:r>
      <w:r>
        <w:rPr>
          <w:rFonts w:ascii="Times New Roman;Times;Serif" w:hAnsi="Times New Roman;Times;Serif"/>
          <w:b w:val="false"/>
          <w:i w:val="false"/>
          <w:caps w:val="false"/>
          <w:smallCaps w:val="false"/>
          <w:sz w:val="20"/>
        </w:rPr>
        <w:t xml:space="preserve"> thereto (other than reports required to be filed by it under the Exchange Act that are incorporated or deemed to be incorporated by reference into the Registration Statement), the Company will furnish to the Shareholder copies of all documents proposed to be filed. If the Shareholder informs the Company in writing within five (5) Business Days of receipt that it has any objections to the filing of such Registration Statement, amendment or supplement, the Company will not file such Registration Statement, amendment or supplement prior to the date that is five (5) Business Days from the date the Shareholder received such document. The Company will not file any Registration Statement or amendment or supplement to such Registration Statement to which the Shareholder will have reasonably objected in writing on the grounds that (and explaining why) such amendment or supplement does not comply in all material respects with the requirements of the Securities Act or of the rules or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prepare and file with the SEC such amendments and supplements to such Registration Statement as may be necessary to keep such Registration Statement effective for a period of either (i) not less than the Effectiveness Period or, if such Registration Statement relates to an underwritten offering, such longer period as in the opinion of counsel for the underwriters a prospectus is required by law to be delivered in connection with sales of Registrable </w:t>
      </w:r>
      <w:r>
        <w:rPr>
          <w:rFonts w:ascii="Times New Roman;Times;Serif" w:hAnsi="Times New Roman;Times;Serif"/>
          <w:b w:val="false"/>
          <w:i w:val="false"/>
          <w:caps w:val="false"/>
          <w:smallCaps w:val="false"/>
          <w:sz w:val="20"/>
          <w:shd w:fill="FFFFFF" w:val="clear"/>
        </w:rPr>
        <w:t>Securities</w:t>
      </w:r>
      <w:r>
        <w:rPr>
          <w:rFonts w:ascii="Times New Roman;Times;Serif" w:hAnsi="Times New Roman;Times;Serif"/>
          <w:b w:val="false"/>
          <w:i w:val="false"/>
          <w:caps w:val="false"/>
          <w:smallCaps w:val="false"/>
          <w:sz w:val="20"/>
        </w:rPr>
        <w:t xml:space="preserve"> by an underwriter or dealer or (ii) such shorter period as will terminate when all of the securities covered by such Registration Statement have been disposed of in accordance with the intended methods of disposition by the Shareholder or any other Shareholder Party, as applicable, set forth in such Registration Statement (but in any event not before the expiration of any longer period required under the Securities Act), and to comply with the provisions of the Securities Act with respect to the disposition of all securities covered by such Registration Statement until such time as all of such securities have been disposed of in accordance with the intended methods of disposition by the Shareholder and any other Shareholder Party, as applicable, set forth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Shareholder and any other Shareholder Party participating in a disposition pursuant to such Registration Statement, without charge, such number of conformed copies of such Registration Statement and of each post-effective amendment thereto, and deliver, without charge, such number of copies of each preliminary prospectus, final prospectus, all exhibits and other documents filed therewith and such other documents as the Shareholder and such other Shareholder Party may reasonably request including in order to facilitate the disposition of their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use reasonable best efforts to register or qualify such Registrable Securities under such other securities or blue sky laws of such jurisdictions as the Shareholder reasonably requests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not be required to (i) qualify generally to do business in any jurisdiction where it would not otherwise be required to qualify but for this subsection, (ii)</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itself to taxation in any such jurisdiction or (iii) consent to general service of process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notify the Shareholder and any other Shareholder Party participating in a disposition pursuant to such Registration Statement, at any time when a prospectus relating thereto is required to be delivered under the Securities Act, upon discovery that, or upon the discovery of the happening of any event as a result of which, the prospectus contains an untrue statement of a material fact or omits any fact necessary to make the statements therein not misleading in the light of the circumstances under which they were made, and, as promptly as practicable, prepare and furnish to the Shareholder and such other Shareholder Parties a reasonable number of copies of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in the light of the circumstances under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notify the Shareholder and any other Shareholder Party participating in a disposition pursuant to such Registration Statement (i) when the prospectus or any prospectus supplement or post-effective amendment has been filed and, with respect to such Registration Statement or any post-effective amendment, when the same has become effective, (ii) of any request by the SEC for amendments or supplements to such Registration Statement or to amend or to supplement such prospectus or for additional information, (iii) of the issuance by the SEC of any stop order suspending the effectiveness of such Registration Statement or the initiation of any proceedings for such purpose, (iv) of the receipt by the Company or its legal counsel of any notification with respect to the suspension of the qualification of any of the Registrable Securities for sale in any jurisdiction or the initiation or threatening of any proceeding for such purpose and (v) the happening of any event that requires the Company to make changes in any effective Registration Statement or the prospectus related to such Registration Statement to make the statements in such Registration Statement not misleading or the statements in such prospectus not misleading in light of the circumstances in which they were made (which notice shall be accompanied by an instruction to suspend the use of the prospectus until the requisite changes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use reasonable best efforts to cause all such Registrable Securities to be listed on the New York Stock Exchange and on each other securities exchange, if any,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such customary agreements (including underwriting agreements in form, scope and substance as is customary in underwritten offerings) and take all such appropriate and reasonable other actions as the Shareholder or the underwriters, if any, reasonably request in order to expedite or facilitate the disposition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such offering is an underwritten offering, make available for inspection by the Shareholder and any other Shareholder Party or underwriter participating in any disposition pursuant to such Registration Statement and any attorney, accountant or other agent retained by the Shareholder, such other Shareholder Parties or any such underwriter, all financial and other records, and pertinent corporate documents of the Company as will be reasonably necessary to enable them to exercise their due diligence responsibilities,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of the Shareholder,</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other Shareholder Party, any such underwriter and any attorney, accountant or other agent retained by the Shareholder, any such other Shareholder Party or any such underwriter will enter into a confidentiality agreement reasonably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otherwise use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will satisfy the provisions of Section 11(a) of the Securities Act and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reasonable best efforts promptly to obtain the withdrawal of such order at the earliest practicable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enter into such agreements and take such other actions as the Shareholder or the underwriters reasonably request in order to expedite or facilitate the disposition of such Registrable Securities, including, without limitation, preparing for and participating in such number of “road shows”, and all such other customary selling efforts as the Shareholder or the underwriters reasonably request in order to expedite or facilitate such disposition, including, in connection with any underwritten offering (including any marketed Block Trade or registered follow-on offering), if requested by the Shareholder or the underwriters, causing the appropriate members of senior management of the Company (including, to the extent reasonably requested, the Chief Executive Officer and Chief Financial Officer) as would customarily participate in “road show” and other customary marketing activities for an offering by the Company comparable to such offering in size and type of securities offered, to cooperate with the Shareholder and the managing underwriters or underwriter and make themselves available to participate on a reasonable basis in “road show” and other customary marketing activities in such locations (domestic and foreign) as recommended by the Shareholder or the managing underwriters or underwriter (including one-on-one meetings with prospective purchasers of the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scheduling of such “road shows” and other meetings shall not unduly interfere with the normal operations of the business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such offering is an underwritten offering, use reasonable best efforts to obtain one or more comfort letters, addressed to the underwriters, dated the effective date of, or the date of the final receipt issued for such Registration Statement (the date of the closing under the underwriting agreement for such offering), signed by the Company’s independent public accountants in customary form and covering such matters of the type customarily covered by comfort letters in underwritten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such offering is an underwritten offering, use reasonable best efforts to provide (i) a legal opinion of the Company’s outside counsel, and (ii) a negative assurance letter of the Company’s outside counsel, addressed to the underwriters, dated the effective date of, or the date of the final receipt issued for such Registration Statement (the date of the closing under the underwriting agreement for such offering), each amendment and supplement thereto, with respect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Registration Statement, each amendment and supplement thereto (including the preliminary prospectus) and such other documents relating thereto in customary form and covering such matters of the type customarily covered by such legal opinions and negative assurance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make available to the Shareholder and the other Shareholder Parties participating in a disposition pursuant to such Registration Statement each item of correspondence from the SEC or the staff of the SEC (or other governmental agency or self-regulatory body or other body having jurisdiction, including any domestic or foreign securities exchange) and each item of correspondence written by or on behalf of the Company to the SEC or the staff of the SEC (or other governmental agency or self-regulatory body or other body having jurisdiction, including any domestic or foreign securities exchange), in each case relating to such Registration Statement, other than, in each case, any item of correspondence relating to any reports delivered or required to be delivered under the Exchange Act whether or not in connection with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use reasonable best efforts to procure the cooperation of the Company’s transfer agent in settling any Transfer of Registrable Securities, including with respect to the transfer of any physical stock certificates representing common stock into book-entry form in accordance with any procedures reasonably requested by the Shareholder or the other Shareholder Parties or the underwriters;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provide customary officer certificates signed by the Chief Executive Officer and/or Chief Financial Officer of the Company in connection with any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not to file or make any amendment to any Registration Statement with respect to any Registrable Securities, or any amendment of or supplement to the prospectus used in connection therewith, that refers to the Shareholder or any other Shareholder Party by name, or otherwise identifies the Shareholder or any other Shareholder Party as the holder of any securities of the Company, without the consent of the Shareholder (any such consent to be binding on all of the other Shareholder Parties), such consent not to be unreasonably withheld or delayed, unless and to the extent such disclosure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the Shareholder and any other Shareholder Party to furnish the Company with such information regarding the Shareholder and such other Shareholder Party pertinent to the disclosure requirements relating to the registration and the distribution of any securities as the Company may from time to time reasonably request in writing. If within 20 days of the receipt of a written request from the Company, the Shareholder or any other Shareholder Party fails to provide to the Company any information relating to the Shareholder or such other Shareholder Party, as applicable, that is required by applicable law to be disclosed in the Registration Statement, the Company may exclude the Shareholder’s and such other Shareholder Parties’, as applicable, Registrable Securities from such Registration Statement (and, in the case of a Registration Statement in response to a Registration Request by the Shareholder, shall not be obligated to file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 agrees that,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5(f)(ii)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5(f)(iii)</w:t>
      </w:r>
      <w:r>
        <w:rPr>
          <w:rFonts w:ascii="Times New Roman;Times;Serif" w:hAnsi="Times New Roman;Times;Serif"/>
          <w:b w:val="false"/>
          <w:i w:val="false"/>
          <w:caps w:val="false"/>
          <w:smallCaps w:val="false"/>
          <w:sz w:val="20"/>
        </w:rPr>
        <w:t xml:space="preserve"> hereof, that the Shareholder shall discontinue, and shall cause each other Shareholder Party to discontinue, disposition of any</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Registrable Securities covered by such Registration Statement or the related prospectus until receipt of the copies of the supplemented or amended prospectus contemplated by </w:t>
      </w:r>
      <w:r>
        <w:rPr>
          <w:rFonts w:ascii="Times New Roman;Times;Serif" w:hAnsi="Times New Roman;Times;Serif"/>
          <w:b w:val="false"/>
          <w:i w:val="false"/>
          <w:caps w:val="false"/>
          <w:smallCaps w:val="false"/>
          <w:sz w:val="20"/>
          <w:u w:val="single"/>
        </w:rPr>
        <w:t>Section 5(e)</w:t>
      </w:r>
      <w:r>
        <w:rPr>
          <w:rFonts w:ascii="Times New Roman;Times;Serif" w:hAnsi="Times New Roman;Times;Serif"/>
          <w:b w:val="false"/>
          <w:i w:val="false"/>
          <w:caps w:val="false"/>
          <w:smallCaps w:val="false"/>
          <w:sz w:val="20"/>
        </w:rPr>
        <w:t xml:space="preserve"> hereof, which supplement or amendment shall be prepared and furnished as soon as reasonably practicable, or until the Shareholder is advised in writing by the Company that the use of the applicable prospectus may be resumed, and the Shareholder and each other Shareholder Party has received copies of any amended or supplemented prospectus or any additional or supplemental filings which are incorporated, or deemed to be incorporated, by reference in such prospectus (such period during which disposition is discontinued being an “</w:t>
      </w:r>
      <w:r>
        <w:rPr>
          <w:rFonts w:ascii="Times New Roman;Times;Serif" w:hAnsi="Times New Roman;Times;Serif"/>
          <w:b w:val="false"/>
          <w:i w:val="false"/>
          <w:caps w:val="false"/>
          <w:smallCaps w:val="false"/>
          <w:sz w:val="20"/>
          <w:u w:val="single"/>
        </w:rPr>
        <w:t>Interruption Period</w:t>
      </w:r>
      <w:r>
        <w:rPr>
          <w:rFonts w:ascii="Times New Roman;Times;Serif" w:hAnsi="Times New Roman;Times;Serif"/>
          <w:b w:val="false"/>
          <w:i w:val="false"/>
          <w:caps w:val="false"/>
          <w:smallCaps w:val="false"/>
          <w:sz w:val="20"/>
        </w:rPr>
        <w:t>”) and, if requested by the Company, the Shareholder shall use its commercially reasonable efforts to return to the Company all copies then in its possession or in the possession of any other Shareholder Party, other than permanent file copies then in such holder’s possession, of the prospectus covering such Registrable Securities at the time of receipt of such request. As soon as practicable after the Company has determined that the use of the applicable prospectus may be resumed, the Company will notify the Shareholder. In the event the Company invokes an Interruption Period hereunder and in the reasonable discretion of the Company the need for the Company to continue the Interruption Period ceases for any reason, the Company shall, as soon as reasonably practicable, provide written notice to the Shareholder that such Interruption Period is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expenses incidental to the Company’s performance of or compliance with this Agreement, including, without limitation, all registration and filing fees, fees and expenses of compliance with securities or blue sky laws, word processing, duplicating and printing expenses, messenger and delivery expenses, the fees and disbursements of counsel for the Company, all independent certified public accountants, underwriters and other Persons retained by the Shareholder and any of the other Shareholder Parties, including the reasonable fees and expenses of one counsel to represent the Shareholder and the other Shareholder Parties selected by the Shareholder, and all transportation and other expenses incurred by or on behalf of the Shareholder, any other Shareholder Party, the Company or any underwriters or their respective Representatives, in connection with “roadshow” presentations and the holding of meetings with potential investors to facilitate the distribution and sale of the Registrable Securities (all such expenses,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Selling Expenses constitute Registration Expenses), will be borne by the Company, regardless of whether a registration statement is filed or becomes effective. In addition, the Company will, in any event, pay its internal expenses (including, without limitation, all salaries and expenses of its officers and employees performing legal or accounting duties), the expenses of any annual audit or quarterly review, the expenses of any liability insurance and the expenses and fees for listing the securities to be registered on the New York Stock Exchange and on each other securities exchange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Selling Expenses will be borne by the Shareholder and the other Shareholder Parties,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and hereby does indemnify and hold harmless, the Shareholder and the other Shareholder Parties, their affiliates and their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directors, officers, employees and partners and each Person who controls the Shareholder and the other Shareholder Parties (within the meaning of the Securities Act) against, and pay and reimburse the Shareholder and the other Shareholder Parties, affiliate, director, officer, employee or partner or controlling Person for any losses, claims, damages, liabilities, joint or several, to which the Shareholder and the other Shareholder Parties or any such affiliate, director, officer, employee or partner or controlling Person may become subject under the Securities Act or otherwise, insofar as such losses, claims, damages or liabilities (or actions or proceedings, whether commenced or threatened, in respect thereof) arise out of or are based upon (i) any untrue or alleged untrue statement of material fact contained in any Registration Statement, prospectus or preliminary prospectus or any amendment thereof or supplement thereto, or any “issuer free writing prospectus” as such term is defined under Rule 433 under the Securities Act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any omission or alleged omission of a material fact required to be stated therein or necessary to make the statements therein not misleading and the Company will pay and reimburse the Shareholder and the other Shareholder Parties and each such affiliate, director, officer, employee, partner and controlling Person for any legal or any other expenses actually and reasonably incurred by them in connection with investigating, defending or settling any such loss, claim, liability, action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not be liable in any such case to the extent that any such loss, claim, damage, liability (or action or proceeding in respect thereof) or expense arises out of or is based upon (A) an untrue statement or alleged untrue statement, or omission or alleged omission, made in such Registration Statement, any such prospectus or preliminary prospectus or any amendment or supplement thereto, or any “issuer free writing prospectus” as such term is defined under Rule 433 under the Securities Act, or in any application, in reliance upon, and in conformity with, written information prepared and furnished to the Company by the Shareholder or any other Shareholder Party expressly for use therein or (B) the failure of the Shareholder, any other Shareholder Party or any agent acting on behalf of the Shareholder or such other Shareholder Party to timely deliver a prospectus. In connection with an underwritten offering, the Company, if requested, will indemnify such underwriters, their officers and directors and each Person who controls such underwriters (within the meaning of the Securities Act) to the same extent as provided above with respect to the indemnification of the Shareholder and the other Shareholder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any Registration Statement in which the Shareholder or any other Shareholder Party is participating, the Shareholder and each such other Shareholder Party, as applicable, will furnish to the Company in writing such information and affidavits as the Company reasonably requests for use in connection with any such Registration Statement or prospectus and will jointly indemnify and hold harmless the Company, its directors and officers, each underwriter and each other Person who controls the Company or such underwriter (within the meaning of the Securities Act) against any losses, claims, damages, liabilities, joint or several, to which the Company or any such director or officer, any such underwriter or controlling Person may become subject under the Securities Act or otherwise, insofar as such losses, claims, damages or liabilities (or actions or proceedings, whether commenced or threatened, in respect thereof) arise out of or are based upon (i) any untrue or alleged untrue statement of material fact contained in the Registration Statement, prospectus or preliminary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or preliminary prospectus or any amendment or supplement thereto, or in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application, in reliance upon and in conformity with written information prepared and furnished to the Company by the Shareholder or such other Shareholder Party, as applicable, expressly for use therein, and the Shareholder and such other Shareholder Party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indemnify and hold harmless will be limited to the net amount of proceeds received by the Shareholder and such other Shareholder Party (in the aggregate) from the sale of Registrable Securities pursuant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entitled to indemnification hereunder will (i) give prompt written notice to the indemnifying party of any claim with respect to which it seeks indemnification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indemnification provided for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is legally unavailable to an indemnified party with respect to any loss, liability, claim, damage or expense referred to therein, then the indemnifying party, in lieu of indemnifying such indemnified party thereunder, will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hand in connection with the statements or omissions which resulted in such loss, liability, claim, damage or expense as well as any other relevant equitable considerations. The relative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the Shareholder and any other Shareholder Party will be obligated to contribute pursuant to this </w:t>
      </w:r>
      <w:r>
        <w:rPr>
          <w:rFonts w:ascii="Times New Roman;Times;Serif" w:hAnsi="Times New Roman;Times;Serif"/>
          <w:b w:val="false"/>
          <w:i w:val="false"/>
          <w:caps w:val="false"/>
          <w:smallCaps w:val="false"/>
          <w:sz w:val="20"/>
          <w:u w:val="single"/>
        </w:rPr>
        <w:t>Section 7(e)</w:t>
      </w:r>
      <w:r>
        <w:rPr>
          <w:rFonts w:ascii="Times New Roman;Times;Serif" w:hAnsi="Times New Roman;Times;Serif"/>
          <w:b w:val="false"/>
          <w:i w:val="false"/>
          <w:caps w:val="false"/>
          <w:smallCaps w:val="false"/>
          <w:sz w:val="20"/>
        </w:rPr>
        <w:t xml:space="preserve"> will be limited to an amount equal to the proceeds received by the Shareholder and such other Shareholder Party (in the aggregate) in respect of the Registrable Securities sold pursuant to the Registration Statement which gives rise to such obligation to contribute (less the aggregate amount of any damages which the Shareholder and each such other Shareholder Party has otherwise been required to pay 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of such loss, claim, damage, liability or action or any substantially similar loss, claim, damage, liability or action arising from the sale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Participation in Underwritten Registrations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Shareholder nor any other Shareholder Party may participate in any registration hereunder that is underwritten unless each of the Shareholder and any such other Shareholder Party (i) completes and executes all customary questionnaires, powers of attorney, underwriting agreements and other customary documents reasonably required under the terms of such underwriting arrangements and (ii) cooperates with the Company’s requests in connection with such registration or qualification (it being understood that the Company’s failure to perform its obligations hereunder, which failure is caused by the Shareholder’s or any other Shareholder Parties’ failure to cooperate, will not constitute a breach by the Company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the Shareholder or any other Shareholder Party is participating in any registration hereunder, the Shareholder agrees that,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5(e)</w:t>
      </w:r>
      <w:r>
        <w:rPr>
          <w:rFonts w:ascii="Times New Roman;Times;Serif" w:hAnsi="Times New Roman;Times;Serif"/>
          <w:b w:val="false"/>
          <w:i w:val="false"/>
          <w:caps w:val="false"/>
          <w:smallCaps w:val="false"/>
          <w:sz w:val="20"/>
        </w:rPr>
        <w:t xml:space="preserve"> above, the Shareholder will, and will cause any such other Shareholder Party to, forthwith discontinue the disposition of its Registrable Securities pursuant to the Registration Statement until the Shareholder and such other Shareholder Parties receive copies of a supplemented or amended prospectus as contemplated by such </w:t>
      </w:r>
      <w:r>
        <w:rPr>
          <w:rFonts w:ascii="Times New Roman;Times;Serif" w:hAnsi="Times New Roman;Times;Serif"/>
          <w:b w:val="false"/>
          <w:i w:val="false"/>
          <w:caps w:val="false"/>
          <w:smallCaps w:val="false"/>
          <w:sz w:val="20"/>
          <w:u w:val="single"/>
        </w:rPr>
        <w:t>Section 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Rule 144 and 144A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a view to making available the benefits of certain rules and regulations of the SEC which may permit the sale of the Registrable Securities to the public without registration, the Company agrees to use reasonable best efforts to (i) file with the SEC in a timely manner all reports and other documents required of the Company under the Securities Act and the Exchange Act, (ii) keep public information available at any time when the Company is subject to such reporting requirements, (iii) maintain compliance with Rule 144 current public information requirements, and (iv) take all actions reasonably necessary to facilitate Rule 144 sales by the Shareholder and the other Shareholder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the Shareholder, the Company will deliver to the Shareholder or such other applicable Shareholder Party, as applicable, a written statement as to whether it has complied with such informational and reporting requirements and will, within the limitations of the exemptions provided by Rule 144 (as such rule may be amended from time to time) or any similar rule enacted by the SEC and if the Shareholder has provided the Company with reasonable assurance that such Company Shares can be sold, assigned or transferred pursuant to Rule 144 or otherwise without registration under the applicable requirements of the Securities Act, including, if requested by the Company, all necessary documentation and evidence (which may include an opinion of outside counsel) and agreed to such other procedures as may reasonably be required by the Company, the Company will instruct the transfer agent to remove the restrictive legend affixed to any Company Shares to enable such shares to be sold in compliance with Rule 144 (as such rule may be amended from time to time) or any similar rule enacted by the SEC.</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facilitating sales pursuant to Rule 144A, so long as the Shareholder and any other Shareholder Party owns any Registrable Securities, the Shareholder, each such other Shareholder Party and any prospective purchaser of the Shareholder’s or any other Shareholder Parties’ securities will have the right to obtain from the Company, upon written request of the Shareholder prior to the time of sale, a copy of the most recent annual or quarterly report of the Company filed with the SEC and such other reports and documents as the Shareholder, the other Shareholder Parties or prospective purchaser may reasonably request in writing in availing itself of any rule or regulation of the SEC allowing the Shareholder or any other Shareholder Party, as applicable, to sell any such securities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will be effective as of the date hereof and will continue in effect thereafter until the earliest of (a) its termination by the written consent of the parties hereto or their respective successors in interest, (b) the date on which no Registrable Securities remain outstanding, (c) the date on which all Registrable Securities are eligible for resale under Rule 144 without volume, manner-of-sale, or current public information restrictions and (d) the dissolution, liquidation or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matters, claims or Actions (whether at Law, in equity, in Contract, in tort or otherwise) based upon, arising out of or relating to this Agreement, execution or performance of this Agreement, shall be governed by, and construed in accordance with, the Laws of the State of New York applicable to contracts executed in and to be performed entirely within that State, regardless of the Laws that might otherwise govern under any applicable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Actions arising out of or relating to this Agreement shall be heard and determined in the federal and state courts located in New York, New York, and the Parties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shall not constitute general consents to service of process in the State of North Carolina and shall have no effect for any purpose except as provided in this paragraph and shall not be deemed to confer rights on any Person other than the Parties. Each Party hereto agrees that service of process upon such Party in any Action arising out of or relating to this Agreement shall be effective if notice is given pursuant to </w:t>
      </w:r>
      <w:r>
        <w:rPr>
          <w:rFonts w:ascii="Times New Roman;Times;Serif" w:hAnsi="Times New Roman;Times;Serif"/>
          <w:b w:val="false"/>
          <w:i w:val="false"/>
          <w:caps w:val="false"/>
          <w:smallCaps w:val="false"/>
          <w:sz w:val="20"/>
          <w:u w:val="single"/>
        </w:rPr>
        <w:t>Section 13(l)</w:t>
      </w:r>
      <w:r>
        <w:rPr>
          <w:rFonts w:ascii="Times New Roman;Times;Serif" w:hAnsi="Times New Roman;Times;Serif"/>
          <w:b w:val="false"/>
          <w:i w:val="false"/>
          <w:caps w:val="false"/>
          <w:smallCaps w:val="false"/>
          <w:sz w:val="20"/>
        </w:rPr>
        <w:t xml:space="preserve">. The Parties agree that a final judgment in any such Action shall be conclusive and may be enforced in other jurisdictions by suit on the judgment or in any other manner provided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the foregoing shall restrict any Party’s rights to seek any post-judgment relief regarding, or any appeal from, a final trial court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when used in this Agreement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claim, action, suit, arbitration or proceeding by or before any Governmental Authority, court, tribunal or arbitration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in relation to a Person, any other Person that, directly or indirectly, through one or more intermediaries, controls or is controlled by or is under common control with such Person, in each case from time to time. The term “control”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“controlled” and “controlling”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 Trade</w:t>
      </w:r>
      <w:r>
        <w:rPr>
          <w:rFonts w:ascii="Times New Roman;Times;Serif" w:hAnsi="Times New Roman;Times;Serif"/>
          <w:b w:val="false"/>
          <w:i w:val="false"/>
          <w:caps w:val="false"/>
          <w:smallCaps w:val="false"/>
          <w:sz w:val="20"/>
        </w:rPr>
        <w:t>” means any block trade, bought deal, overnight marketed offering or accelerated bookbuilt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on which banks are generally open for normal business in New York, New York, which day is not a Saturday or a Sunday.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Completion</w:t>
      </w:r>
      <w:r>
        <w:rPr>
          <w:rFonts w:ascii="Times New Roman;Times;Serif" w:hAnsi="Times New Roman;Times;Serif"/>
          <w:b w:val="false"/>
          <w:i w:val="false"/>
          <w:caps w:val="false"/>
          <w:smallCaps w:val="false"/>
          <w:sz w:val="20"/>
        </w:rPr>
        <w:t>” has the meaning set forth in the Securities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Completion Date</w:t>
      </w:r>
      <w:r>
        <w:rPr>
          <w:rFonts w:ascii="Times New Roman;Times;Serif" w:hAnsi="Times New Roman;Times;Serif"/>
          <w:b w:val="false"/>
          <w:i w:val="false"/>
          <w:caps w:val="false"/>
          <w:smallCaps w:val="false"/>
          <w:sz w:val="20"/>
        </w:rPr>
        <w:t>” has the meaning set forth in the Securities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sublease, license, sublicense, indenture, agreement, commitment or other legally binding arrangement, whether oral or written, and including all amendments and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similar federal statute and the rules and regulations thereunder,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means any descendant in direct line (including adoptive children) of the late Elisabeth Berghmans-Lhoist, born in Liège (Belgium) on the twenty-fifth day of July nineteen hundred and twenty-one.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Family-Controlled Entity</w:t>
      </w:r>
      <w:r>
        <w:rPr>
          <w:rFonts w:ascii="Times New Roman;Times;Serif" w:hAnsi="Times New Roman;Times;Serif"/>
          <w:b w:val="false"/>
          <w:i w:val="false"/>
          <w:caps w:val="false"/>
          <w:smallCaps w:val="false"/>
          <w:sz w:val="20"/>
        </w:rPr>
        <w:t>” means any entity (i) the majority of the members of the board of directors (or equivalent governing body) of which are designated, nominated or elected, directly or indirectly, by one or more Family Members, (ii) the majority of the general partner, managing member or equivalent interests of which are beneficially owned, directly or indirectly, by one or more Family Members or (iii) which one or more Family Members, alone or together with other Family Members, otherwise has the power, directly or indirectly, to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Interruption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all applicable legislation, statutes, transposed directives, regulations, decrees, ordinances, instruments, codes and other legislative measures or decisions having the force of law, treaties, conventions and other agreements between states, or between states and the European Union or other supranational authorities, rules of common law and equity and all civil or other codes and all judgments, decisions, orders, directives, recommendations, circulars, standards of any Governmental Authority, including any judicial or administrative interpretation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any Affiliate of the Shareholder, (ii) any member of the Vendor Group or (iii) any Family Member or Family-Controlled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company, corporation, partnership, limited liability company, trust, body corporate (wherever located) or other entity, organization or unincorporated association, including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refers to a registration effected by preparing and filing a Registration Statement in compliance with the Securities Act, and the declaration or ordering of the effectiveness of such Registration Statement, and compliance with applicable state securities laws of such states in which the Shareholder notifies the Company of its or any other Shareholder Party’s intention to offer Registrable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the Company Shares issued to the Shareholder pursuant to the Securities Sale Agreement on the Completion Date or (ii) any equity securities issued or issuable directly or indirectly with respect to the securities referred to in the foregoing clause (i)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will cease to be Registrable Securities when (x) they have been effectively registered or qualified for sale by a prospectus filed under the Securities Act and disposed of in accordance with the Registration Statement covering such securities, (y) they have been sold to the public through a broker, dealer or market maker pursuant to Rule 144 or other exemption from registration under the Securities Act or (z) such securities have been Transferred and new certificates (or book-entry positions) are delivered free of any restrictive legend with no stop-transfer order in effect. For purposes of this Agreement, a Person will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Request</w:t>
      </w:r>
      <w:r>
        <w:rPr>
          <w:rFonts w:ascii="Times New Roman;Times;Serif" w:hAnsi="Times New Roman;Times;Serif"/>
          <w:b w:val="false"/>
          <w:i w:val="false"/>
          <w:caps w:val="false"/>
          <w:smallCaps w:val="false"/>
          <w:sz w:val="20"/>
        </w:rPr>
        <w:t xml:space="preserve">” means a written request by the Shareholder for the registration under the Securities Act of the Registrable Securities held by it and the other Shareholder Parties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prospectus and other documents filed with the SEC to effect a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in relation to a Party, its Affiliates and its and their respective directors, officers, employees, agents, auditors, consultants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(or any successor provisions)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(or any successor provisions)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and applicable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Sale 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Expenses</w:t>
      </w:r>
      <w:r>
        <w:rPr>
          <w:rFonts w:ascii="Times New Roman;Times;Serif" w:hAnsi="Times New Roman;Times;Serif"/>
          <w:b w:val="false"/>
          <w:i w:val="false"/>
          <w:caps w:val="false"/>
          <w:smallCaps w:val="false"/>
          <w:sz w:val="20"/>
        </w:rPr>
        <w:t>” means all underwriting discounts, selling commissions and transfer taxes applicable to the sale of Registrable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Party</w:t>
      </w:r>
      <w:r>
        <w:rPr>
          <w:rFonts w:ascii="Times New Roman;Times;Serif" w:hAnsi="Times New Roman;Times;Serif"/>
          <w:b w:val="false"/>
          <w:i w:val="false"/>
          <w:caps w:val="false"/>
          <w:smallCaps w:val="false"/>
          <w:sz w:val="20"/>
        </w:rPr>
        <w:t>” means the Shareholder and each Permitted Transferee of the Shareholder to whom shares of Company Shares are Transferred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Shareholders 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Registration Statement of the Company filed with the SEC on Form S-3 (or any successor form or other appropriate form under the Securities Act) for an offering to be made on a delayed or continuous basis pursuant to Rule 415 under the Securities Act (or any similar rule that may be adopted by the SEC) covering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Transferring</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Vendor Group</w:t>
      </w:r>
      <w:r>
        <w:rPr>
          <w:rFonts w:ascii="Times New Roman;Times;Serif" w:hAnsi="Times New Roman;Times;Serif"/>
          <w:b w:val="false"/>
          <w:i w:val="false"/>
          <w:caps w:val="false"/>
          <w:smallCaps w:val="false"/>
          <w:sz w:val="20"/>
        </w:rPr>
        <w:t>” has the meaning set forth in the Securities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Inconsistent Agreements; Most Favored Nation</w:t>
      </w:r>
      <w:r>
        <w:rPr>
          <w:rFonts w:ascii="Times New Roman;Times;Serif" w:hAnsi="Times New Roman;Times;Serif"/>
          <w:b w:val="false"/>
          <w:i w:val="false"/>
          <w:caps w:val="false"/>
          <w:smallCaps w:val="false"/>
          <w:sz w:val="20"/>
        </w:rPr>
        <w:t>. The Company will not hereafter enter into any agreement with respect to its securities which is inconsistent with or violates the rights granted to the Shareholder or the other Shareholder Parties in this Agreement unless such rights are expressly made subject to the rights of the Shareholder or the other Shareholder Parties in a manner consistent with this Agreement. The Company shall not grant registration rights, shelf access rights, demand rights, piggyback rights, lock-up relief, or other liquidity rights to any Person that are senior to or more favorable than the rights of the Shareholder or the other Shareholder Parties under this Agreement. If the Company proposes to grant more favorable terms to any third party, the Shareholder and the other Shareholder Parties shall automatically receive the benefit of such more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parties hereto agree and acknowledge that money damages may not be an adequate remedy for any breach of the provisions of this Agreement and that any Party hereto will have the right to specific performance and injunctive or other equitable relief for any breach or threatened breach of this Agreement, without the necessity of proving actual damages or posting any bond or other security.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No provision of this Agreement may be amended, supplemented or modified except by a written instrument signed by the Shareholder and the Company, and any such amendment, supplement or modification shall be binding on all Shareholder Parties. No provision of this Agreement may be waived except by a written instrument signed by (i) the Company, in the event the waiver is to be effective against the Company or (ii) the Shareholder, in the event the waiver is to be effective against the Shareholder and the other Shareholder Parties, and any such waiver shall be binding on all Shareholder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 of Registration Rights</w:t>
      </w:r>
      <w:r>
        <w:rPr>
          <w:rFonts w:ascii="Times New Roman;Times;Serif" w:hAnsi="Times New Roman;Times;Serif"/>
          <w:b w:val="false"/>
          <w:i w:val="false"/>
          <w:caps w:val="false"/>
          <w:smallCaps w:val="false"/>
          <w:sz w:val="20"/>
        </w:rPr>
        <w:t>. The rights of the Shareholder and any other Shareholder Party to registration of all or any portion of its Registrable Securities pursuant to this Agreement may be assigned by the Shareholder or such other Shareholder Party to (A) any Permitted Transferee or (B) any transferee receiving Registrable Securities representing at least one percent (1%) of the Company’s then-outstanding common stock (a “</w:t>
      </w:r>
      <w:r>
        <w:rPr>
          <w:rFonts w:ascii="Times New Roman;Times;Serif" w:hAnsi="Times New Roman;Times;Serif"/>
          <w:b w:val="false"/>
          <w:i w:val="false"/>
          <w:caps w:val="false"/>
          <w:smallCaps w:val="false"/>
          <w:sz w:val="20"/>
          <w:u w:val="single"/>
        </w:rPr>
        <w:t>Requested Assignee</w:t>
      </w:r>
      <w:r>
        <w:rPr>
          <w:rFonts w:ascii="Times New Roman;Times;Serif" w:hAnsi="Times New Roman;Times;Serif"/>
          <w:b w:val="false"/>
          <w:i w:val="false"/>
          <w:caps w:val="false"/>
          <w:smallCaps w:val="false"/>
          <w:sz w:val="20"/>
        </w:rPr>
        <w:t xml:space="preserve">”) that has been approved by the Company in its sole discretion (in each case, to the extent of the Registrable Securities Transferred) but only if (i) the Shareholder or such other Shareholder Party furnishes to the Company written notice of the Transfer and (ii) such transferee agrees, following such Transfer, to be subject to all applicable restrictions and obligations set forth in this Agreement, and executes a customary joinder to this Agreement, in form and substance reasonably acceptable to the Company. Each such transfer shall be effective when (but only when) the transferee has signed and delivered such joinder to the Company. The Parties agree that if the Shareholder or any Shareholder Party requests the assignment of its rights under this Agreement to a Requested Assignee in respect of the relevant Registrable Securities Transferred, the Company shall consider such request (and consult with the Shareholder or applicable Shareholder Party) in good faith but shall have the right to approve or deny such request in its sole discretion. Upon any effective transfer pursuant to this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 the applicable transferee shall be the beneficiary of all or a portion of the rights of the Shareholder or such other Shareholder Party and subject to all restrictions and obligations applicable to the Shareholder or such other Shareholder Party pursuant to this Agreement, to the same extent as the Shareholder or such other Shareholder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 xml:space="preserve"> hereof, neither this Agreement nor any of the rights or obligations hereunder shall be assigned by any of the Parties hereto without the prior written consent of the other Parties hereto. Subject to the preceding sentence, this Agreement will be binding upon and inure to the benefit of and be enforceable by the Parties hereto and their respective successors and assigns. If any of the Registrable Securities is converted into or exchanged or substituted for other securities issued by any other Person, as a condition to the effectiveness of the merger, consolidation, reclassification, share exchange or other transaction pursuant to which such conversion, exchange, substitution or other transaction takes place, such other Person shall become bound hereby with respect to such other securities which shall constitute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Shareholder Acts for Shareholder Parties</w:t>
      </w:r>
      <w:r>
        <w:rPr>
          <w:rFonts w:ascii="Times New Roman;Times;Serif" w:hAnsi="Times New Roman;Times;Serif"/>
          <w:b w:val="false"/>
          <w:i w:val="false"/>
          <w:caps w:val="false"/>
          <w:smallCaps w:val="false"/>
          <w:sz w:val="20"/>
        </w:rPr>
        <w:t>. For so long as the Shareholder holds any Company Shares, the Shareholder shall be solely responsible for exercising all rights (including providing all Registration Requests and any written consents contemplated by this Agreement) on behalf of all other Shareholder Parties and any determination, consent or approval of, or notice or request delivered by, or any similar action of, the Shareholder, shall be valid and binding upon all other Shareholder Parties.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Conversion of Other Securities</w:t>
      </w:r>
      <w:r>
        <w:rPr>
          <w:rFonts w:ascii="Times New Roman;Times;Serif" w:hAnsi="Times New Roman;Times;Serif"/>
          <w:b w:val="false"/>
          <w:i w:val="false"/>
          <w:caps w:val="false"/>
          <w:smallCaps w:val="false"/>
          <w:sz w:val="20"/>
        </w:rPr>
        <w:t>. If the Shareholder or any other Shareholder Party offers Registrable Securities by forward sale, or by an offering (directly or by entering into a derivative transaction with a broker-dealer or other financial institution) of any options, rights, warrants or other securities that are offered with, convertible into or exercisable or exchangeable for any Registrable Securities, the Registrable Securities subject to such forward sale or underlying such options, rights or warrants or other securities shall be eligible for registration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Descriptive Headings</w:t>
      </w:r>
      <w:r>
        <w:rPr>
          <w:rFonts w:ascii="Times New Roman;Times;Serif" w:hAnsi="Times New Roman;Times;Serif"/>
          <w:b w:val="false"/>
          <w:i w:val="false"/>
          <w:caps w:val="false"/>
          <w:smallCaps w:val="false"/>
          <w:sz w:val="20"/>
        </w:rPr>
        <w:t>. The descriptive headings of this Agreement are inserted for convenience only and do not constitute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This Agreement constitutes the entire agreement, and supersedes all other prior agreements and understandings, both written and oral, among the Parties and their Affiliates, or any of them, with respect to the subject matter hereof. No provision of this Agreement shall confer upon any Person other than the Parties and their permitted assigns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hereunder shall be in writing and shall be deemed given if delivered personally, emailed (which is confirmed) or sent by overnight courier (providing proof of delivery) to the Parties in the manner and at the addresses set forth in the Shareholders Agreement (or, following the termination of the Shareholders Agreement, at such other address as shall have been furnished in writing by a Party to the other Party). All such notices, requests and other communications given to the Shareholder shall be deemed to be given to all other Shareholder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duly executed this Agreement as of the date and year set forth above.</w:t>
      </w:r>
    </w:p>
    <w:p>
      <w:pPr>
        <w:pStyle w:val="TextBody"/>
        <w:bidi w:val="0"/>
        <w:ind w:left="0" w:right="0" w:hanging="0"/>
        <w:jc w:val="left"/>
        <w:rPr/>
      </w:pPr>
      <w:r>
        <w:rPr/>
        <w:t> </w:t>
      </w:r>
    </w:p>
    <w:tbl>
      <w:tblPr>
        <w:tblW w:w="2650" w:type="dxa"/>
        <w:jc w:val="left"/>
        <w:tblInd w:w="0" w:type="dxa"/>
        <w:tblLayout w:type="fixed"/>
        <w:tblCellMar>
          <w:top w:w="0" w:type="dxa"/>
          <w:left w:w="0" w:type="dxa"/>
          <w:bottom w:w="0" w:type="dxa"/>
          <w:right w:w="0" w:type="dxa"/>
        </w:tblCellMar>
      </w:tblPr>
      <w:tblGrid>
        <w:gridCol w:w="560"/>
        <w:gridCol w:w="2015"/>
        <w:gridCol w:w="75"/>
      </w:tblGrid>
      <w:tr>
        <w:trPr/>
        <w:tc>
          <w:tcPr>
            <w:tcW w:w="2650" w:type="dxa"/>
            <w:gridSpan w:val="3"/>
            <w:tcBorders/>
            <w:vAlign w:val="center"/>
          </w:tcPr>
          <w:p>
            <w:pPr>
              <w:pStyle w:val="TableContents"/>
              <w:bidi w:val="0"/>
              <w:spacing w:before="0" w:after="283"/>
              <w:jc w:val="left"/>
              <w:rPr>
                <w:b/>
              </w:rPr>
            </w:pPr>
            <w:r>
              <w:rPr>
                <w:b/>
              </w:rPr>
              <w:t>LNA HOLDING SRL</w:t>
            </w:r>
          </w:p>
        </w:tc>
      </w:tr>
      <w:tr>
        <w:trPr/>
        <w:tc>
          <w:tcPr>
            <w:tcW w:w="2650" w:type="dxa"/>
            <w:gridSpan w:val="3"/>
            <w:tcBorders/>
            <w:vAlign w:val="center"/>
          </w:tcPr>
          <w:p>
            <w:pPr>
              <w:pStyle w:val="TableContents"/>
              <w:bidi w:val="0"/>
              <w:spacing w:before="0" w:after="283"/>
              <w:jc w:val="left"/>
              <w:rPr/>
            </w:pPr>
            <w:r>
              <w:rPr/>
              <w:t> </w:t>
            </w:r>
          </w:p>
        </w:tc>
      </w:tr>
      <w:tr>
        <w:trPr/>
        <w:tc>
          <w:tcPr>
            <w:tcW w:w="2650" w:type="dxa"/>
            <w:gridSpan w:val="3"/>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2015" w:type="dxa"/>
            <w:tcBorders>
              <w:bottom w:val="single" w:sz="8" w:space="0" w:color="000000"/>
            </w:tcBorders>
            <w:tcMar>
              <w:bottom w:w="28" w:type="dxa"/>
            </w:tcMar>
            <w:vAlign w:val="center"/>
          </w:tcPr>
          <w:p>
            <w:pPr>
              <w:pStyle w:val="TableContents"/>
              <w:bidi w:val="0"/>
              <w:spacing w:before="0" w:after="283"/>
              <w:jc w:val="left"/>
              <w:rPr/>
            </w:pPr>
            <w:r>
              <w:rPr/>
              <w:t>/s/ Baron Berghmans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015" w:type="dxa"/>
            <w:tcBorders/>
            <w:vAlign w:val="center"/>
          </w:tcPr>
          <w:p>
            <w:pPr>
              <w:pStyle w:val="TableContents"/>
              <w:bidi w:val="0"/>
              <w:spacing w:before="0" w:after="283"/>
              <w:jc w:val="left"/>
              <w:rPr/>
            </w:pPr>
            <w:r>
              <w:rPr/>
              <w:t>Baron Berghmans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0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duly executed this Agreement as of the date and year set forth above.</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560"/>
        <w:gridCol w:w="5495"/>
        <w:gridCol w:w="75"/>
      </w:tblGrid>
      <w:tr>
        <w:trPr/>
        <w:tc>
          <w:tcPr>
            <w:tcW w:w="6130" w:type="dxa"/>
            <w:gridSpan w:val="3"/>
            <w:tcBorders/>
            <w:vAlign w:val="center"/>
          </w:tcPr>
          <w:p>
            <w:pPr>
              <w:pStyle w:val="TableContents"/>
              <w:bidi w:val="0"/>
              <w:spacing w:before="0" w:after="283"/>
              <w:jc w:val="left"/>
              <w:rPr>
                <w:b/>
                <w:caps/>
              </w:rPr>
            </w:pPr>
            <w:r>
              <w:rPr>
                <w:b/>
                <w:caps/>
              </w:rPr>
              <w:t>Martin Marietta Materials, Inc.</w:t>
            </w:r>
          </w:p>
        </w:tc>
      </w:tr>
      <w:tr>
        <w:trPr/>
        <w:tc>
          <w:tcPr>
            <w:tcW w:w="6130" w:type="dxa"/>
            <w:gridSpan w:val="3"/>
            <w:tcBorders/>
            <w:vAlign w:val="center"/>
          </w:tcPr>
          <w:p>
            <w:pPr>
              <w:pStyle w:val="TableContents"/>
              <w:bidi w:val="0"/>
              <w:spacing w:before="0" w:after="283"/>
              <w:jc w:val="left"/>
              <w:rPr/>
            </w:pPr>
            <w:r>
              <w:rPr/>
              <w:t> </w:t>
            </w:r>
          </w:p>
        </w:tc>
      </w:tr>
      <w:tr>
        <w:trPr/>
        <w:tc>
          <w:tcPr>
            <w:tcW w:w="6130" w:type="dxa"/>
            <w:gridSpan w:val="3"/>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5495" w:type="dxa"/>
            <w:tcBorders>
              <w:bottom w:val="single" w:sz="8" w:space="0" w:color="000000"/>
            </w:tcBorders>
            <w:tcMar>
              <w:bottom w:w="28" w:type="dxa"/>
            </w:tcMar>
            <w:vAlign w:val="center"/>
          </w:tcPr>
          <w:p>
            <w:pPr>
              <w:pStyle w:val="TableContents"/>
              <w:bidi w:val="0"/>
              <w:spacing w:before="0" w:after="283"/>
              <w:jc w:val="left"/>
              <w:rPr/>
            </w:pPr>
            <w:r>
              <w:rPr/>
              <w:t>/s/ George F. Schoen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5495" w:type="dxa"/>
            <w:tcBorders/>
            <w:vAlign w:val="center"/>
          </w:tcPr>
          <w:p>
            <w:pPr>
              <w:pStyle w:val="TableContents"/>
              <w:bidi w:val="0"/>
              <w:spacing w:before="0" w:after="283"/>
              <w:jc w:val="left"/>
              <w:rPr/>
            </w:pPr>
            <w:r>
              <w:rPr/>
              <w:t>George F. Schoen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54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rPr>
      </w:pPr>
      <w:bookmarkStart w:id="30" w:name="ex99-1.htm"/>
      <w:bookmarkStart w:id="31" w:name="ksex991"/>
      <w:bookmarkEnd w:id="30"/>
      <w:bookmarkEnd w:id="31"/>
      <w:r>
        <w:rPr>
          <w:rFonts w:ascii="Times New Roman;Times;Serif" w:hAnsi="Times New Roman;Times;Serif"/>
          <w:b/>
        </w:rPr>
        <w:t>Exhibit 99.1</w:t>
      </w:r>
      <w:r>
        <w:br w:type="page"/>
      </w:r>
    </w:p>
    <w:p>
      <w:pPr>
        <w:pStyle w:val="TextBody"/>
        <w:bidi w:val="0"/>
        <w:spacing w:before="0" w:after="283"/>
        <w:jc w:val="left"/>
        <w:rPr/>
      </w:pPr>
      <w:r>
        <w:rPr/>
        <w:t> </w:t>
      </w:r>
    </w:p>
    <w:p>
      <w:pPr>
        <w:pStyle w:val="TextBody"/>
        <w:bidi w:val="0"/>
        <w:spacing w:before="0" w:after="0"/>
        <w:ind w:left="0" w:right="0" w:firstLine="180"/>
        <w:jc w:val="center"/>
        <w:rPr>
          <w:caps w:val="false"/>
          <w:smallCaps w:val="false"/>
          <w:color w:val="D94A3D"/>
        </w:rPr>
      </w:pPr>
      <w:r>
        <w:rPr>
          <w:caps w:val="false"/>
          <w:smallCaps w:val="false"/>
          <w:color w:val="D94A3D"/>
        </w:rPr>
        <w:t> </w:t>
      </w:r>
    </w:p>
    <w:p>
      <w:pPr>
        <w:pStyle w:val="TextBody"/>
        <w:bidi w:val="0"/>
        <w:spacing w:before="0" w:after="0"/>
        <w:ind w:left="0" w:right="0" w:firstLine="180"/>
        <w:jc w:val="center"/>
        <w:rPr>
          <w:rFonts w:ascii="Arial;Helvetica;Sans-Serif" w:hAnsi="Arial;Helvetica;Sans-Serif"/>
          <w:b w:val="false"/>
          <w:i w:val="false"/>
          <w:caps w:val="false"/>
          <w:smallCaps w:val="false"/>
          <w:color w:val="007DC6"/>
          <w:sz w:val="24"/>
        </w:rPr>
      </w:pPr>
      <w:r>
        <w:rPr>
          <w:rFonts w:ascii="Arial;Helvetica;Sans-Serif" w:hAnsi="Arial;Helvetica;Sans-Serif"/>
          <w:b w:val="false"/>
          <w:i w:val="false"/>
          <w:caps w:val="false"/>
          <w:smallCaps w:val="false"/>
          <w:color w:val="007DC6"/>
          <w:sz w:val="24"/>
        </w:rPr>
        <w:t>MARTIN MARIETTA COMPLETES COMBINATION</w:t>
      </w:r>
    </w:p>
    <w:p>
      <w:pPr>
        <w:pStyle w:val="TextBody"/>
        <w:bidi w:val="0"/>
        <w:spacing w:before="0" w:after="0"/>
        <w:ind w:left="0" w:right="0" w:firstLine="187"/>
        <w:jc w:val="center"/>
        <w:rPr>
          <w:rFonts w:ascii="Arial;Helvetica;Sans-Serif" w:hAnsi="Arial;Helvetica;Sans-Serif"/>
          <w:b w:val="false"/>
          <w:i w:val="false"/>
          <w:caps w:val="false"/>
          <w:smallCaps w:val="false"/>
          <w:color w:val="007DC6"/>
          <w:sz w:val="24"/>
        </w:rPr>
      </w:pPr>
      <w:r>
        <w:rPr>
          <w:rFonts w:ascii="Arial;Helvetica;Sans-Serif" w:hAnsi="Arial;Helvetica;Sans-Serif"/>
          <w:b w:val="false"/>
          <w:i w:val="false"/>
          <w:caps w:val="false"/>
          <w:smallCaps w:val="false"/>
          <w:color w:val="007DC6"/>
          <w:sz w:val="24"/>
        </w:rPr>
        <w:t>WITH LHOIST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Raleigh, N.C. (August 24, 2026)</w:t>
      </w:r>
      <w:r>
        <w:rPr>
          <w:rFonts w:ascii="Arial;Helvetica;Sans-Serif" w:hAnsi="Arial;Helvetica;Sans-Serif"/>
          <w:b w:val="false"/>
          <w:i w:val="false"/>
          <w:caps w:val="false"/>
          <w:smallCaps w:val="false"/>
          <w:sz w:val="20"/>
        </w:rPr>
        <w:t xml:space="preserve"> – Martin Marietta Materials, Inc. (NYSE: MLM) (Martin Marietta or the Company) today announced the completion of its previously announced combination with Lhoist North America, Inc. (LNA), a subsidiary of Lhoist Group, on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LNA is a leading producer of high calcium lime, dolomitic lime and industrial mineral products, serving a diverse range of end markets, including domestic steel manufacturing, infrastructure, heavy nonresidential construction and environmental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Ward Nye, Chair, President and CEO of Martin Marietta, stated, "We are pleased to announce the successful completion of the LNA combination. This transformative transaction advances our SOAR 2030 objectives by expanding our Specialties platform and further enhancing the quality, scale and resilience of our business. With one of the most strategically advantaged limestone positions in North America, comprised of more than 2 billion tons of high-quality reserves, the combination establishes Martin Marietta as the nation's leading producer of limestone products and strengthens our portfolio of essential upstream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Nye concluded, "We are excited to welcome LNA and its talented employees to Martin Marietta. Together, we have created a uniquely advantaged portfolio of essential materials supported by industry-leading reserves, strategically located assets and differentiated end-market exposure. As the United States continues to invest in infrastructure modernization, domestic manufacturing and industrial growth, we believe Martin Marietta is exceptionally well positioned to create sustainable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expects to provide updated full-year 2026 revenue and Adjusted EBITDA guidance reflecting the completion of this transaction in connection with the release of its third-quarter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7DC6"/>
          <w:sz w:val="20"/>
        </w:rPr>
      </w:pPr>
      <w:r>
        <w:rPr>
          <w:rFonts w:ascii="Arial;Helvetica;Sans-Serif" w:hAnsi="Arial;Helvetica;Sans-Serif"/>
          <w:b w:val="false"/>
          <w:i w:val="false"/>
          <w:caps w:val="false"/>
          <w:smallCaps w:val="false"/>
          <w:color w:val="007DC6"/>
          <w:sz w:val="20"/>
        </w:rPr>
        <w:t>About Martin Marietta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Martin Marietta, a member of the S&amp;P 500 Index, is an American-based company and a leading supplier of aggregates, lime and limestone products, magnesia-based products and other building materials. Supported by industry-leading reserves and a network of operations spanning 29 states, Canada and The Bahamas, Martin Marietta supplies the essential materials that help build, connect and sustain communities across North America. For more information, visit </w:t>
      </w:r>
      <w:r>
        <w:rPr>
          <w:rFonts w:ascii="Arial;Helvetica;Sans-Serif" w:hAnsi="Arial;Helvetica;Sans-Serif"/>
          <w:b w:val="false"/>
          <w:i w:val="false"/>
          <w:caps w:val="false"/>
          <w:smallCaps w:val="false"/>
          <w:color w:val="007DC6"/>
          <w:sz w:val="20"/>
        </w:rPr>
        <w:t>www.martinmarietta.com</w:t>
      </w:r>
      <w:r>
        <w:rPr>
          <w:rFonts w:ascii="Arial;Helvetica;Sans-Serif" w:hAnsi="Arial;Helvetica;Sans-Serif"/>
          <w:b w:val="false"/>
          <w:i w:val="false"/>
          <w:caps w:val="false"/>
          <w:smallCaps w:val="false"/>
          <w:sz w:val="20"/>
        </w:rPr>
        <w:t xml:space="preserve"> or </w:t>
      </w:r>
      <w:r>
        <w:rPr>
          <w:rFonts w:ascii="Arial;Helvetica;Sans-Serif" w:hAnsi="Arial;Helvetica;Sans-Serif"/>
          <w:b w:val="false"/>
          <w:i w:val="false"/>
          <w:caps w:val="false"/>
          <w:smallCaps w:val="false"/>
          <w:color w:val="007DC6"/>
          <w:sz w:val="20"/>
        </w:rPr>
        <w:t>www.magnesiaspecialties.com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Contact:</w:t>
      </w:r>
    </w:p>
    <w:p>
      <w:pPr>
        <w:pStyle w:val="TextBody"/>
        <w:bidi w:val="0"/>
        <w:spacing w:before="0" w:after="0"/>
        <w:ind w:left="0" w:right="0" w:hanging="0"/>
        <w:jc w:val="both"/>
        <w:rPr>
          <w:rFonts w:ascii="Arial;Helvetica;Sans-Serif" w:hAnsi="Arial;Helvetica;Sans-Serif"/>
          <w:b/>
          <w:i w:val="false"/>
          <w:caps w:val="false"/>
          <w:smallCaps w:val="false"/>
          <w:color w:val="007DC6"/>
          <w:sz w:val="20"/>
        </w:rPr>
      </w:pPr>
      <w:r>
        <w:rPr>
          <w:rFonts w:ascii="Arial;Helvetica;Sans-Serif" w:hAnsi="Arial;Helvetica;Sans-Serif"/>
          <w:b/>
          <w:i w:val="false"/>
          <w:caps w:val="false"/>
          <w:smallCaps w:val="false"/>
          <w:color w:val="007DC6"/>
          <w:sz w:val="20"/>
        </w:rPr>
        <w:t>Jacklyn Rooker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Vice President, Investor Relations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(919) 510-4736</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Jacklyn.Rooker@martinmarietta.com</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75"/>
        <w:gridCol w:w="2175"/>
      </w:tblGrid>
      <w:tr>
        <w:trPr/>
        <w:tc>
          <w:tcPr>
            <w:tcW w:w="75"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3716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61975"/>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MLM-G.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press release contains forward-looking statements under the federal securities laws, including the Private Securities Litigation Reform Act of 1995. These statements include: the anticipated benefits of the transaction including increased profitability, synergies and advancement of SOAR 2030 priorities, and costs and other anticipated financial impacts of the transaction. These statements involve risks and uncertainties and are based on assumptions that the Company believes are reasonable, but which may differ materially from actual results, including, among others, risks and uncertainties relating to adverse industry conditions, and potential business uncertainty. These statements reflect the Company’s current expectations or forecasts of future events. You can identify these statements because they do not relate only to historical or current facts and may use words such as “guidance”, “anticipate”, “may”, “expect”, “should”, “believe”, “will”, and other words of similar meaning in connection with future events or future performance. Any or all of the Company’s forward-looking statements herein and in other publications may prove to be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Statements regarding the LNA combination contain forward-looking statements that are based on current expectations and assumptions and are subject to risks and uncertainties. Actual results may differ materially from those expressed or implied due to various factors including but not limited to: Martin Marietta’s long-term leverage targets, transaction costs, integration challenges, market conditions, and other risks described in the Company’s Securities and Exchange Commission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 further list and description of risks, uncertainties and other matters can be found in Martin Marietta’s Annual Report on Form 10-K for the year ended December 31, 2025 and in Martin Marietta’s subsequent reports on Form 10-Q, including the sections thereof captioned “Other Matters” and “Item 1A. Risk Factors”, and in Martin Marietta’s subsequent reports on Form 8-K. Except as required by law, Martin Marietta does not undertake any obligation to publicly update any forward-looking statements whether as a result of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24760</Words>
  <Characters>135304</Characters>
  <CharactersWithSpaces>161181</CharactersWithSpaces>
  <Paragraphs>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